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OS2rollekatalog</w:t>
      </w:r>
    </w:p>
    <w:p>
      <w:pPr>
        <w:pStyle w:val="Subtitle"/>
        <w:rPr/>
      </w:pPr>
      <w:r>
        <w:rPr/>
        <w:t>Email notifikation ved fejl i ADSyncService</w:t>
      </w:r>
    </w:p>
    <w:p>
      <w:pPr>
        <w:pStyle w:val="Normal"/>
        <w:rPr/>
      </w:pPr>
      <w:r>
        <w:rPr>
          <w:b/>
          <w:bCs/>
        </w:rPr>
        <w:t>Version</w:t>
      </w:r>
      <w:r>
        <w:rPr/>
        <w:t>: 1.0.0</w:t>
      </w:r>
    </w:p>
    <w:p>
      <w:pPr>
        <w:pStyle w:val="Normal"/>
        <w:rPr/>
      </w:pPr>
      <w:r>
        <w:rPr>
          <w:b/>
          <w:bCs/>
        </w:rPr>
        <w:t>Date</w:t>
      </w:r>
      <w:r>
        <w:rPr/>
        <w:t>: 10.08.2026</w:t>
      </w:r>
    </w:p>
    <w:p>
      <w:pPr>
        <w:pStyle w:val="Normal"/>
        <w:rPr/>
      </w:pPr>
      <w:r>
        <w:rPr>
          <w:b/>
          <w:bCs/>
        </w:rPr>
        <w:t>Author</w:t>
      </w:r>
      <w:r>
        <w:rPr/>
        <w:t>: KBP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Indholdsfortegnelse</w:t>
          </w:r>
        </w:p>
        <w:p>
          <w:pPr>
            <w:pStyle w:val="TOC1"/>
            <w:tabs>
              <w:tab w:val="clear" w:pos="1304"/>
              <w:tab w:val="left" w:pos="440" w:leader="none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"1-2"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178_1929286160" w:tooltip="Indledning">
            <w:r>
              <w:rPr>
                <w:rStyle w:val="IndexLink"/>
                <w:webHidden/>
              </w:rPr>
              <w:t>1</w:t>
              <w:tab/>
              <w:t>Indledning</w:t>
              <w:tab/>
              <w:t>1</w:t>
            </w:r>
          </w:hyperlink>
        </w:p>
        <w:p>
          <w:pPr>
            <w:pStyle w:val="TOC1"/>
            <w:tabs>
              <w:tab w:val="clear" w:pos="1304"/>
              <w:tab w:val="left" w:pos="440" w:leader="none"/>
              <w:tab w:val="right" w:pos="9637" w:leader="dot"/>
            </w:tabs>
            <w:rPr/>
          </w:pPr>
          <w:hyperlink w:anchor="__RefHeading___Toc1180_1929286160" w:tooltip="Forudsætninger">
            <w:r>
              <w:rPr>
                <w:rStyle w:val="IndexLink"/>
                <w:webHidden/>
              </w:rPr>
              <w:t>2</w:t>
              <w:tab/>
              <w:t>Forudsætninger</w:t>
              <w:tab/>
              <w:t>2</w:t>
            </w:r>
          </w:hyperlink>
        </w:p>
        <w:p>
          <w:pPr>
            <w:pStyle w:val="TOC1"/>
            <w:tabs>
              <w:tab w:val="clear" w:pos="1304"/>
              <w:tab w:val="left" w:pos="440" w:leader="none"/>
              <w:tab w:val="right" w:pos="9637" w:leader="dot"/>
            </w:tabs>
            <w:rPr/>
          </w:pPr>
          <w:hyperlink w:anchor="__RefHeading___Toc1182_1929286160" w:tooltip="App registration">
            <w:r>
              <w:rPr>
                <w:rStyle w:val="IndexLink"/>
                <w:webHidden/>
              </w:rPr>
              <w:t>3</w:t>
              <w:tab/>
              <w:t>App registration</w:t>
              <w:tab/>
              <w:t>2</w:t>
            </w:r>
          </w:hyperlink>
        </w:p>
        <w:p>
          <w:pPr>
            <w:pStyle w:val="TOC2"/>
            <w:tabs>
              <w:tab w:val="clear" w:pos="1304"/>
              <w:tab w:val="left" w:pos="880" w:leader="none"/>
              <w:tab w:val="right" w:pos="9637" w:leader="dot"/>
            </w:tabs>
            <w:rPr/>
          </w:pPr>
          <w:hyperlink w:anchor="__RefHeading___Toc1184_1929286160" w:tooltip="Oprettelse af App Registration">
            <w:r>
              <w:rPr>
                <w:rStyle w:val="IndexLink"/>
                <w:webHidden/>
              </w:rPr>
              <w:t>3.1</w:t>
              <w:tab/>
              <w:t>Oprettelse af App Registration</w:t>
              <w:tab/>
              <w:t>2</w:t>
            </w:r>
          </w:hyperlink>
        </w:p>
        <w:p>
          <w:pPr>
            <w:pStyle w:val="TOC2"/>
            <w:tabs>
              <w:tab w:val="clear" w:pos="1304"/>
              <w:tab w:val="left" w:pos="880" w:leader="none"/>
              <w:tab w:val="right" w:pos="9637" w:leader="dot"/>
            </w:tabs>
            <w:rPr/>
          </w:pPr>
          <w:hyperlink w:anchor="__RefHeading___Toc1186_1929286160" w:tooltip="Tildeling af rettigheder">
            <w:r>
              <w:rPr>
                <w:rStyle w:val="IndexLink"/>
                <w:webHidden/>
              </w:rPr>
              <w:t>3.2</w:t>
              <w:tab/>
              <w:t>Tildeling af rettigheder</w:t>
              <w:tab/>
              <w:t>4</w:t>
            </w:r>
          </w:hyperlink>
        </w:p>
        <w:p>
          <w:pPr>
            <w:pStyle w:val="TOC2"/>
            <w:tabs>
              <w:tab w:val="clear" w:pos="1304"/>
              <w:tab w:val="left" w:pos="880" w:leader="none"/>
              <w:tab w:val="right" w:pos="9637" w:leader="dot"/>
            </w:tabs>
            <w:rPr/>
          </w:pPr>
          <w:hyperlink w:anchor="__RefHeading___Toc1188_1929286160" w:tooltip="Oprettelse af client secret">
            <w:r>
              <w:rPr>
                <w:rStyle w:val="IndexLink"/>
                <w:webHidden/>
              </w:rPr>
              <w:t>3.3</w:t>
              <w:tab/>
              <w:t>Oprettelse af client secret</w:t>
              <w:tab/>
              <w:t>5</w:t>
            </w:r>
          </w:hyperlink>
        </w:p>
        <w:p>
          <w:pPr>
            <w:pStyle w:val="TOC2"/>
            <w:tabs>
              <w:tab w:val="clear" w:pos="1304"/>
              <w:tab w:val="left" w:pos="880" w:leader="none"/>
              <w:tab w:val="right" w:pos="9637" w:leader="dot"/>
            </w:tabs>
            <w:rPr/>
          </w:pPr>
          <w:hyperlink w:anchor="__RefHeading___Toc1190_1929286160" w:tooltip="Begrænsning af adgang til én postkasse (anbefalet)">
            <w:r>
              <w:rPr>
                <w:rStyle w:val="IndexLink"/>
                <w:webHidden/>
              </w:rPr>
              <w:t>3.4</w:t>
              <w:tab/>
              <w:t>Begrænsning af adgang til én postkasse (anbefalet)</w:t>
              <w:tab/>
              <w:t>6</w:t>
            </w:r>
          </w:hyperlink>
        </w:p>
        <w:p>
          <w:pPr>
            <w:pStyle w:val="TOC1"/>
            <w:tabs>
              <w:tab w:val="clear" w:pos="1304"/>
              <w:tab w:val="left" w:pos="440" w:leader="none"/>
              <w:tab w:val="right" w:pos="9637" w:leader="dot"/>
            </w:tabs>
            <w:rPr/>
          </w:pPr>
          <w:hyperlink w:anchor="__RefHeading___Toc1192_1929286160" w:tooltip="Opsætning i rollekataloget">
            <w:r>
              <w:rPr>
                <w:rStyle w:val="IndexLink"/>
                <w:webHidden/>
              </w:rPr>
              <w:t>4</w:t>
              <w:tab/>
              <w:t>Opsætning i rollekataloget</w:t>
              <w:tab/>
              <w:t>7</w:t>
            </w:r>
          </w:hyperlink>
        </w:p>
        <w:p>
          <w:pPr>
            <w:pStyle w:val="TOC1"/>
            <w:tabs>
              <w:tab w:val="clear" w:pos="1304"/>
              <w:tab w:val="left" w:pos="440" w:leader="none"/>
              <w:tab w:val="right" w:pos="9637" w:leader="dot"/>
            </w:tabs>
            <w:rPr/>
          </w:pPr>
          <w:hyperlink w:anchor="__RefHeading___Toc1194_1929286160" w:tooltip="Test af opsætningen">
            <w:r>
              <w:rPr>
                <w:rStyle w:val="IndexLink"/>
                <w:webHidden/>
              </w:rPr>
              <w:t>5</w:t>
              <w:tab/>
              <w:t>Test af opsætningen</w:t>
              <w:tab/>
              <w:t>9</w:t>
            </w:r>
          </w:hyperlink>
        </w:p>
        <w:p>
          <w:pPr>
            <w:pStyle w:val="TOC1"/>
            <w:tabs>
              <w:tab w:val="clear" w:pos="1304"/>
              <w:tab w:val="left" w:pos="440" w:leader="none"/>
              <w:tab w:val="right" w:pos="9637" w:leader="dot"/>
            </w:tabs>
            <w:rPr/>
          </w:pPr>
          <w:hyperlink w:anchor="__RefHeading___Toc1196_1929286160" w:tooltip="Sådan virker notifikationerne">
            <w:r>
              <w:rPr>
                <w:rStyle w:val="IndexLink"/>
                <w:webHidden/>
              </w:rPr>
              <w:t>6</w:t>
              <w:tab/>
              <w:t>Sådan virker notifikationerne</w:t>
              <w:tab/>
              <w:t>10</w:t>
            </w:r>
          </w:hyperlink>
        </w:p>
        <w:p>
          <w:pPr>
            <w:pStyle w:val="TOC1"/>
            <w:tabs>
              <w:tab w:val="clear" w:pos="1304"/>
              <w:tab w:val="left" w:pos="440" w:leader="none"/>
              <w:tab w:val="right" w:pos="9637" w:leader="dot"/>
            </w:tabs>
            <w:rPr/>
          </w:pPr>
          <w:hyperlink w:anchor="__RefHeading___Toc1198_1929286160" w:tooltip="Fejlsøgning">
            <w:r>
              <w:rPr>
                <w:rStyle w:val="IndexLink"/>
                <w:webHidden/>
              </w:rPr>
              <w:t>7</w:t>
              <w:tab/>
              <w:t>Fejlsøgning</w:t>
              <w:tab/>
              <w:t>10</w:t>
            </w:r>
          </w:hyperlink>
        </w:p>
        <w:p>
          <w:pPr>
            <w:pStyle w:val="TOC1"/>
            <w:tabs>
              <w:tab w:val="clear" w:pos="1304"/>
              <w:tab w:val="left" w:pos="440" w:leader="none"/>
              <w:tab w:val="right" w:pos="9637" w:leader="dot"/>
            </w:tabs>
            <w:rPr/>
          </w:pPr>
          <w:hyperlink w:anchor="__RefHeading___Toc1200_1929286160" w:tooltip="Vedligehold">
            <w:r>
              <w:rPr>
                <w:rStyle w:val="IndexLink"/>
                <w:webHidden/>
              </w:rPr>
              <w:t>8</w:t>
              <w:tab/>
              <w:t>Vedligehold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ind w:hanging="567" w:start="567"/>
        <w:rPr/>
      </w:pPr>
      <w:bookmarkStart w:id="0" w:name="__RefHeading___Toc1178_1929286160"/>
      <w:bookmarkStart w:id="1" w:name="indledning"/>
      <w:bookmarkEnd w:id="0"/>
      <w:r>
        <w:rPr/>
        <w:t>Indledning</w:t>
      </w:r>
    </w:p>
    <w:p>
      <w:pPr>
        <w:pStyle w:val="Normal"/>
        <w:rPr/>
      </w:pPr>
      <w:r>
        <w:rPr/>
        <w:t>ADSyncService kan sende en email, hver gang der opstår en fejl i synkroniseringen mellem Active Directory og OS2rollekataloget — herunder fejl i BackSync. Dermed er det ikke længere nødvendigt at logge ind og kigge efter fejl manuelt.</w:t>
      </w:r>
    </w:p>
    <w:p>
      <w:pPr>
        <w:pStyle w:val="Normal"/>
        <w:rPr/>
      </w:pPr>
      <w:r>
        <w:rPr/>
        <w:t>Emailen sendes via Microsoft Graph. Det kræver derfor, at der oprettes en App Registration i Azure, som har lov til at sende mails, og at oplysningerne fra denne App Registration indtastes i ADSyncService-konfigurationen i rollekataloget.</w:t>
      </w:r>
    </w:p>
    <w:p>
      <w:pPr>
        <w:pStyle w:val="Normal"/>
        <w:rPr/>
      </w:pPr>
      <w:r>
        <w:rPr/>
        <w:t>Opsætningen består af to dele:</w:t>
      </w:r>
    </w:p>
    <w:p>
      <w:pPr>
        <w:pStyle w:val="ListParagraph"/>
        <w:numPr>
          <w:ilvl w:val="0"/>
          <w:numId w:val="7"/>
        </w:numPr>
        <w:rPr/>
      </w:pPr>
      <w:r>
        <w:rPr>
          <w:b/>
          <w:bCs/>
        </w:rPr>
        <w:t>I Azure</w:t>
      </w:r>
      <w:r>
        <w:rPr/>
        <w:t xml:space="preserve"> — oprettelse af en App Registration med rettigheden </w:t>
      </w:r>
      <w:r>
        <w:rPr>
          <w:rStyle w:val="VerbatimChar"/>
        </w:rPr>
        <w:t>Mail.Send</w:t>
      </w:r>
      <w:r>
        <w:rPr/>
        <w:t xml:space="preserve"> (afsnit 3).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I rollekataloget</w:t>
      </w:r>
      <w:r>
        <w:rPr/>
        <w:t xml:space="preserve"> — indtastning af TenantID, ClientID, ClientSecret samt afsender- og modtageradresse (afsnit 4).</w:t>
      </w:r>
    </w:p>
    <w:p>
      <w:pPr>
        <w:pStyle w:val="Quote"/>
        <w:rPr/>
      </w:pPr>
      <w:r>
        <w:rPr>
          <w:b/>
          <w:bCs/>
        </w:rPr>
        <w:t>Bemærk:</w:t>
      </w:r>
      <w:r>
        <w:rPr/>
        <w:t xml:space="preserve"> Notifikationerne dækker alle fejl i ADSyncService, ikke kun BackSync. Man får altså også besked ved f.eks. fejl i medlemskabssynkronisering eller ved manglende kontakt til rollekataloget.</w:t>
      </w:r>
      <w:bookmarkEnd w:id="1"/>
    </w:p>
    <w:p>
      <w:pPr>
        <w:pStyle w:val="Heading1"/>
        <w:ind w:hanging="567" w:start="567"/>
        <w:rPr/>
      </w:pPr>
      <w:bookmarkStart w:id="2" w:name="__RefHeading___Toc1180_1929286160"/>
      <w:bookmarkEnd w:id="2"/>
      <w:r>
        <w:rPr/>
        <w:t>Forudsætninger</w:t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1" w:val="0020"/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>Forudsætning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>Beskrivelse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>ADSyncService version 2.4.3 eller nyere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 xml:space="preserve">Fra denne version hentes konfigurationen fra rollekataloget. Versionen kan ses i rollekataloget under </w:t>
            </w:r>
            <w:r>
              <w:rPr>
                <w:rFonts w:eastAsia="Calibri" w:cs=""/>
                <w:b/>
                <w:bCs/>
                <w:kern w:val="0"/>
                <w:lang w:val="da-DK" w:eastAsia="en-US" w:bidi="ar-SA"/>
              </w:rPr>
              <w:t>Klienter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i venstremenuen, i kolonnen </w:t>
            </w:r>
            <w:r>
              <w:rPr>
                <w:rFonts w:eastAsia="Calibri" w:cs=""/>
                <w:i/>
                <w:iCs/>
                <w:kern w:val="0"/>
                <w:lang w:val="da-DK" w:eastAsia="en-US" w:bidi="ar-SA"/>
              </w:rPr>
              <w:t>Version</w:t>
            </w:r>
            <w:r>
              <w:rPr>
                <w:rFonts w:eastAsia="Calibri" w:cs=""/>
                <w:kern w:val="0"/>
                <w:lang w:val="da-DK" w:eastAsia="en-US" w:bidi="ar-SA"/>
              </w:rPr>
              <w:t>.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>Adgang til Azure-portalen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 xml:space="preserve">Der skal bruges en konto, som må oprette App Registrations og give </w:t>
            </w:r>
            <w:r>
              <w:rPr>
                <w:rFonts w:eastAsia="Calibri" w:cs=""/>
                <w:i/>
                <w:iCs/>
                <w:kern w:val="0"/>
                <w:lang w:val="da-DK" w:eastAsia="en-US" w:bidi="ar-SA"/>
              </w:rPr>
              <w:t>admin consent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til Graph-rettigheder (typisk Application Administrator eller Global Administrator).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>Adgang til rollekatalogets konfiguration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 xml:space="preserve">Brugeren skal have læse- og skriveadgang til </w:t>
            </w:r>
            <w:r>
              <w:rPr>
                <w:rFonts w:eastAsia="Calibri" w:cs=""/>
                <w:b/>
                <w:bCs/>
                <w:kern w:val="0"/>
                <w:lang w:val="da-DK" w:eastAsia="en-US" w:bidi="ar-SA"/>
              </w:rPr>
              <w:t>Konfiguration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i rollekataloget for at kunne se og redigere klientopsætningen.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>En afsenderpostkasse i Exchange Online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 xml:space="preserve">Der skal findes en postkasse, som mailen sendes fra. Det kan med fordel være en delt postkasse, f.eks. </w:t>
            </w: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noreply@kommune.dk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eller </w:t>
            </w: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rollekatalog@kommune.dk</w:t>
            </w:r>
            <w:r>
              <w:rPr>
                <w:rFonts w:eastAsia="Calibri" w:cs=""/>
                <w:kern w:val="0"/>
                <w:lang w:val="da-DK" w:eastAsia="en-US" w:bidi="ar-SA"/>
              </w:rPr>
              <w:t>.</w:t>
            </w:r>
            <w:bookmarkStart w:id="3" w:name="forudsætninger"/>
            <w:bookmarkEnd w:id="3"/>
          </w:p>
        </w:tc>
      </w:tr>
    </w:tbl>
    <w:p>
      <w:pPr>
        <w:pStyle w:val="Heading1"/>
        <w:ind w:hanging="567" w:start="567"/>
        <w:rPr/>
      </w:pPr>
      <w:bookmarkStart w:id="4" w:name="__RefHeading___Toc1182_1929286160"/>
      <w:bookmarkEnd w:id="4"/>
      <w:r>
        <w:rPr/>
        <w:t>App registration</w:t>
      </w:r>
    </w:p>
    <w:p>
      <w:pPr>
        <w:pStyle w:val="Heading2"/>
        <w:ind w:hanging="862" w:start="851"/>
        <w:rPr/>
      </w:pPr>
      <w:bookmarkStart w:id="5" w:name="__RefHeading___Toc1184_1929286160"/>
      <w:bookmarkStart w:id="6" w:name="oprettelse-af-app-registration"/>
      <w:bookmarkEnd w:id="5"/>
      <w:r>
        <w:rPr/>
        <w:t>Oprettelse af App Registration</w:t>
      </w:r>
    </w:p>
    <w:p>
      <w:pPr>
        <w:pStyle w:val="Normal"/>
        <w:rPr/>
      </w:pPr>
      <w:r>
        <w:rPr/>
        <w:t xml:space="preserve">Log ind i Azure på </w:t>
      </w:r>
      <w:hyperlink r:id="rId2">
        <w:r>
          <w:rPr>
            <w:rStyle w:val="Hyperlink"/>
          </w:rPr>
          <w:t>https://portal.azure.com/</w:t>
        </w:r>
      </w:hyperlink>
    </w:p>
    <w:p>
      <w:pPr>
        <w:pStyle w:val="Normal"/>
        <w:rPr/>
      </w:pPr>
      <w:r>
        <w:rPr/>
        <w:t xml:space="preserve">Vælg </w:t>
      </w:r>
      <w:r>
        <w:rPr>
          <w:b/>
          <w:bCs/>
        </w:rPr>
        <w:t>More services</w:t>
      </w:r>
      <w:r>
        <w:rPr/>
        <w:t>.</w:t>
      </w:r>
    </w:p>
    <w:p>
      <w:pPr>
        <w:pStyle w:val="Normal"/>
        <w:rPr/>
      </w:pPr>
      <w:r>
        <w:rPr/>
        <w:drawing>
          <wp:inline distT="0" distB="0" distL="0" distR="0">
            <wp:extent cx="6108700" cy="295783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5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Under </w:t>
      </w:r>
      <w:r>
        <w:rPr>
          <w:b/>
          <w:bCs/>
        </w:rPr>
        <w:t>All services</w:t>
      </w:r>
      <w:r>
        <w:rPr/>
        <w:t xml:space="preserve"> vælges </w:t>
      </w:r>
      <w:r>
        <w:rPr>
          <w:b/>
          <w:bCs/>
        </w:rPr>
        <w:t>App registrations</w:t>
      </w:r>
      <w:r>
        <w:rPr/>
        <w:t xml:space="preserve"> — søgefeltet kan med fordel benyttes.</w:t>
      </w:r>
    </w:p>
    <w:p>
      <w:pPr>
        <w:pStyle w:val="Normal"/>
        <w:rPr/>
      </w:pPr>
      <w:r>
        <w:rPr/>
        <w:drawing>
          <wp:inline distT="0" distB="0" distL="0" distR="0">
            <wp:extent cx="6108700" cy="205803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58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I billedet </w:t>
      </w:r>
      <w:r>
        <w:rPr>
          <w:b/>
          <w:bCs/>
        </w:rPr>
        <w:t>App registrations</w:t>
      </w:r>
      <w:r>
        <w:rPr/>
        <w:t xml:space="preserve"> vælges </w:t>
      </w:r>
      <w:r>
        <w:rPr>
          <w:b/>
          <w:bCs/>
        </w:rPr>
        <w:t>New registration</w:t>
      </w:r>
      <w:r>
        <w:rPr/>
        <w:t>.</w:t>
      </w:r>
    </w:p>
    <w:p>
      <w:pPr>
        <w:pStyle w:val="Normal"/>
        <w:rPr/>
      </w:pPr>
      <w:r>
        <w:rPr/>
        <w:drawing>
          <wp:inline distT="0" distB="0" distL="0" distR="0">
            <wp:extent cx="6108700" cy="168148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68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Angiv et sigende navn, f.eks. </w:t>
      </w:r>
      <w:r>
        <w:rPr>
          <w:rStyle w:val="VerbatimChar"/>
        </w:rPr>
        <w:t>OS2rollekatalog ADSyncService Notifikation</w:t>
      </w:r>
      <w:r>
        <w:rPr/>
        <w:t xml:space="preserve">, vælg </w:t>
      </w:r>
      <w:r>
        <w:rPr>
          <w:b/>
          <w:bCs/>
        </w:rPr>
        <w:t>Single tenant</w:t>
      </w:r>
      <w:r>
        <w:rPr/>
        <w:t xml:space="preserve"> og tryk </w:t>
      </w:r>
      <w:r>
        <w:rPr>
          <w:b/>
          <w:bCs/>
        </w:rPr>
        <w:t>Register</w:t>
      </w:r>
      <w:r>
        <w:rPr/>
        <w:t>.</w:t>
      </w:r>
    </w:p>
    <w:p>
      <w:pPr>
        <w:pStyle w:val="Normal"/>
        <w:rPr/>
      </w:pPr>
      <w:r>
        <w:rPr/>
        <w:drawing>
          <wp:inline distT="0" distB="0" distL="0" distR="0">
            <wp:extent cx="5029200" cy="310197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0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App Registration er nu oprettet. Noter følgende to værdier fra oversigtssiden — de skal bruges i afsnit 4: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Application (client) ID</w:t>
      </w:r>
      <w:r>
        <w:rPr/>
        <w:t xml:space="preserve"> → indtastes som </w:t>
      </w:r>
      <w:r>
        <w:rPr>
          <w:i/>
          <w:iCs/>
        </w:rPr>
        <w:t>ClientID</w:t>
      </w:r>
      <w:r>
        <w:rPr/>
        <w:t xml:space="preserve"> i rollekataloget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Directory (tenant) ID</w:t>
      </w:r>
      <w:r>
        <w:rPr/>
        <w:t xml:space="preserve"> → indtastes som </w:t>
      </w:r>
      <w:r>
        <w:rPr>
          <w:i/>
          <w:iCs/>
        </w:rPr>
        <w:t>TenantID</w:t>
      </w:r>
      <w:r>
        <w:rPr/>
        <w:t xml:space="preserve"> i rollekataloget</w:t>
      </w:r>
    </w:p>
    <w:p>
      <w:pPr>
        <w:pStyle w:val="Normal"/>
        <w:rPr/>
      </w:pPr>
      <w:r>
        <w:rPr/>
        <w:drawing>
          <wp:inline distT="0" distB="0" distL="0" distR="0">
            <wp:extent cx="6108700" cy="207518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7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6"/>
    </w:p>
    <w:p>
      <w:pPr>
        <w:pStyle w:val="Heading2"/>
        <w:ind w:hanging="862" w:start="851"/>
        <w:rPr/>
      </w:pPr>
      <w:bookmarkStart w:id="7" w:name="__RefHeading___Toc1186_1929286160"/>
      <w:bookmarkStart w:id="8" w:name="tildeling-af-rettigheder"/>
      <w:bookmarkEnd w:id="7"/>
      <w:r>
        <w:rPr/>
        <w:t>Tildeling af rettigheder</w:t>
      </w:r>
    </w:p>
    <w:p>
      <w:pPr>
        <w:pStyle w:val="Normal"/>
        <w:rPr/>
      </w:pPr>
      <w:r>
        <w:rPr/>
        <w:t>For at applikationen må sende mails, skal der tilføjes en rettighed til den App Registration, som blev oprettet ovenfor.</w:t>
      </w:r>
    </w:p>
    <w:p>
      <w:pPr>
        <w:pStyle w:val="Normal"/>
        <w:rPr/>
      </w:pPr>
      <w:r>
        <w:rPr/>
        <w:t xml:space="preserve">Vælg </w:t>
      </w:r>
      <w:r>
        <w:rPr>
          <w:b/>
          <w:bCs/>
        </w:rPr>
        <w:t>API permissions</w:t>
      </w:r>
      <w:r>
        <w:rPr/>
        <w:t xml:space="preserve"> og herefter </w:t>
      </w:r>
      <w:r>
        <w:rPr>
          <w:b/>
          <w:bCs/>
        </w:rPr>
        <w:t>Add a permission</w:t>
      </w:r>
      <w:r>
        <w:rPr/>
        <w:t xml:space="preserve">. Vælg </w:t>
      </w:r>
      <w:r>
        <w:rPr>
          <w:b/>
          <w:bCs/>
        </w:rPr>
        <w:t>Microsoft Graph</w:t>
      </w:r>
      <w:r>
        <w:rPr/>
        <w:t>.</w:t>
      </w:r>
    </w:p>
    <w:p>
      <w:pPr>
        <w:pStyle w:val="Normal"/>
        <w:rPr/>
      </w:pPr>
      <w:r>
        <w:rPr/>
        <w:drawing>
          <wp:inline distT="0" distB="0" distL="0" distR="0">
            <wp:extent cx="6108700" cy="237236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7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Vælg </w:t>
      </w:r>
      <w:r>
        <w:rPr>
          <w:b/>
          <w:bCs/>
        </w:rPr>
        <w:t>Application permissions</w:t>
      </w:r>
      <w:r>
        <w:rPr/>
        <w:t xml:space="preserve"> (ikke </w:t>
      </w:r>
      <w:r>
        <w:rPr>
          <w:i/>
          <w:iCs/>
        </w:rPr>
        <w:t>Delegated permissions</w:t>
      </w:r>
      <w:r>
        <w:rPr/>
        <w:t>), og find og markér følgende rettighed:</w:t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1" w:val="0020"/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>Rettighed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>Anvendelse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Mail.Send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>Bruges til at sende fejlnotifikationen fra afsenderpostkassen.</w:t>
            </w:r>
          </w:p>
        </w:tc>
      </w:tr>
    </w:tbl>
    <w:p>
      <w:pPr>
        <w:pStyle w:val="Normal"/>
        <w:rPr/>
      </w:pPr>
      <w:r>
        <w:rPr/>
        <w:drawing>
          <wp:inline distT="0" distB="0" distL="0" distR="0">
            <wp:extent cx="4114800" cy="320484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204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Tryk </w:t>
      </w:r>
      <w:r>
        <w:rPr>
          <w:b/>
          <w:bCs/>
        </w:rPr>
        <w:t>Add permissions</w:t>
      </w:r>
      <w:r>
        <w:rPr/>
        <w:t>.</w:t>
      </w:r>
    </w:p>
    <w:p>
      <w:pPr>
        <w:pStyle w:val="Normal"/>
        <w:rPr/>
      </w:pPr>
      <w:r>
        <w:rPr/>
        <w:t xml:space="preserve">Rettigheden skal herefter godkendes. Tryk på </w:t>
      </w:r>
      <w:r>
        <w:rPr>
          <w:b/>
          <w:bCs/>
        </w:rPr>
        <w:t>Grant admin consent for &lt;organisation&gt;</w:t>
      </w:r>
      <w:r>
        <w:rPr/>
        <w:t xml:space="preserve"> og bekræft. Kolonnen </w:t>
      </w:r>
      <w:r>
        <w:rPr>
          <w:i/>
          <w:iCs/>
        </w:rPr>
        <w:t>Status</w:t>
      </w:r>
      <w:r>
        <w:rPr/>
        <w:t xml:space="preserve"> skal stå med et grønt flueben, før opsætningen virker.</w:t>
      </w:r>
    </w:p>
    <w:p>
      <w:pPr>
        <w:pStyle w:val="Normal"/>
        <w:rPr/>
      </w:pPr>
      <w:r>
        <w:rPr/>
        <w:drawing>
          <wp:inline distT="0" distB="0" distL="0" distR="0">
            <wp:extent cx="6108700" cy="151638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51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Quote"/>
        <w:rPr/>
      </w:pPr>
      <w:r>
        <w:rPr>
          <w:b/>
          <w:bCs/>
        </w:rPr>
        <w:t>Vigtigt:</w:t>
      </w:r>
      <w:r>
        <w:rPr/>
        <w:t xml:space="preserve"> Uden </w:t>
      </w:r>
      <w:r>
        <w:rPr>
          <w:i/>
          <w:iCs/>
        </w:rPr>
        <w:t>admin consent</w:t>
      </w:r>
      <w:r>
        <w:rPr/>
        <w:t xml:space="preserve"> vil afsendelsen fejle, selvom rettigheden er tilføjet.</w:t>
      </w:r>
      <w:bookmarkEnd w:id="8"/>
    </w:p>
    <w:p>
      <w:pPr>
        <w:pStyle w:val="Heading2"/>
        <w:ind w:hanging="862" w:start="851"/>
        <w:rPr/>
      </w:pPr>
      <w:bookmarkStart w:id="9" w:name="__RefHeading___Toc1188_1929286160"/>
      <w:bookmarkStart w:id="10" w:name="oprettelse-af-client-secret"/>
      <w:bookmarkEnd w:id="9"/>
      <w:r>
        <w:rPr/>
        <w:t>Oprettelse af client secret</w:t>
      </w:r>
    </w:p>
    <w:p>
      <w:pPr>
        <w:pStyle w:val="Normal"/>
        <w:rPr/>
      </w:pPr>
      <w:r>
        <w:rPr/>
        <w:t xml:space="preserve">Vælg </w:t>
      </w:r>
      <w:r>
        <w:rPr>
          <w:b/>
          <w:bCs/>
        </w:rPr>
        <w:t>Certificates &amp; secrets</w:t>
      </w:r>
      <w:r>
        <w:rPr/>
        <w:t xml:space="preserve"> og herefter </w:t>
      </w:r>
      <w:r>
        <w:rPr>
          <w:b/>
          <w:bCs/>
        </w:rPr>
        <w:t>New client secret</w:t>
      </w:r>
      <w:r>
        <w:rPr/>
        <w:t>.</w:t>
      </w:r>
    </w:p>
    <w:p>
      <w:pPr>
        <w:pStyle w:val="Normal"/>
        <w:rPr/>
      </w:pPr>
      <w:r>
        <w:rPr/>
        <w:t>Udfyld beskrivelse samt gyldighed. Bemærk, at der skal oprettes en ny nøgle og indtastes i rollekataloget, når den udløber — vælg derfor gerne en lang gyldighed, og noter udløbsdatoen (se afsnit 8).</w:t>
      </w:r>
    </w:p>
    <w:p>
      <w:pPr>
        <w:pStyle w:val="Normal"/>
        <w:rPr/>
      </w:pPr>
      <w:r>
        <w:rPr/>
        <w:drawing>
          <wp:inline distT="0" distB="0" distL="0" distR="0">
            <wp:extent cx="6108700" cy="2426335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2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Kopier værdien i kolonnen </w:t>
      </w:r>
      <w:r>
        <w:rPr>
          <w:b/>
          <w:bCs/>
        </w:rPr>
        <w:t>Value</w:t>
      </w:r>
      <w:r>
        <w:rPr/>
        <w:t xml:space="preserve"> med det samme. Værdien kan kun ses umiddelbart efter oprettelsen — herefter er den skjult permanent.</w:t>
      </w:r>
    </w:p>
    <w:p>
      <w:pPr>
        <w:pStyle w:val="Normal"/>
        <w:rPr/>
      </w:pPr>
      <w:r>
        <w:rPr/>
        <w:drawing>
          <wp:inline distT="0" distB="0" distL="0" distR="0">
            <wp:extent cx="6108700" cy="243840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Denne værdi indtastes som </w:t>
      </w:r>
      <w:r>
        <w:rPr>
          <w:i/>
          <w:iCs/>
        </w:rPr>
        <w:t>ClientSecret</w:t>
      </w:r>
      <w:r>
        <w:rPr/>
        <w:t xml:space="preserve"> i rollekataloget i afsnit 4. Behandl den som et kodeord: den giver adgang til at sende mails i organisationens navn.</w:t>
      </w:r>
      <w:bookmarkEnd w:id="10"/>
    </w:p>
    <w:p>
      <w:pPr>
        <w:pStyle w:val="Heading2"/>
        <w:ind w:hanging="862" w:start="851"/>
        <w:rPr/>
      </w:pPr>
      <w:bookmarkStart w:id="11" w:name="__RefHeading___Toc1190_1929286160"/>
      <w:bookmarkStart w:id="12" w:name="X3a1098439f13b6c2df7224be45e59809cfac9d0"/>
      <w:bookmarkEnd w:id="11"/>
      <w:r>
        <w:rPr/>
        <w:t>Begrænsning af adgang til én postkasse (anbefalet)</w:t>
      </w:r>
    </w:p>
    <w:p>
      <w:pPr>
        <w:pStyle w:val="Normal"/>
        <w:rPr/>
      </w:pPr>
      <w:r>
        <w:rPr/>
        <w:t xml:space="preserve">Rettigheden </w:t>
      </w:r>
      <w:r>
        <w:rPr>
          <w:rStyle w:val="VerbatimChar"/>
        </w:rPr>
        <w:t>Mail.Send</w:t>
      </w:r>
      <w:r>
        <w:rPr/>
        <w:t xml:space="preserve"> som </w:t>
      </w:r>
      <w:r>
        <w:rPr>
          <w:i/>
          <w:iCs/>
        </w:rPr>
        <w:t>Application permission</w:t>
      </w:r>
      <w:r>
        <w:rPr/>
        <w:t xml:space="preserve"> giver som udgangspunkt applikationen lov til at sende mail fra </w:t>
      </w:r>
      <w:r>
        <w:rPr>
          <w:b/>
          <w:bCs/>
        </w:rPr>
        <w:t>alle</w:t>
      </w:r>
      <w:r>
        <w:rPr/>
        <w:t xml:space="preserve"> postkasser i organisationen. Det anbefales derfor at begrænse adgangen til den ene postkasse, der rent faktisk skal bruges.</w:t>
      </w:r>
    </w:p>
    <w:p>
      <w:pPr>
        <w:pStyle w:val="Normal"/>
        <w:rPr/>
      </w:pPr>
      <w:r>
        <w:rPr/>
        <w:t xml:space="preserve">Dette gøres med en </w:t>
      </w:r>
      <w:r>
        <w:rPr>
          <w:i/>
          <w:iCs/>
        </w:rPr>
        <w:t>Application Access Policy</w:t>
      </w:r>
      <w:r>
        <w:rPr/>
        <w:t xml:space="preserve"> i Exchange Online PowerShell:</w:t>
      </w:r>
    </w:p>
    <w:p>
      <w:pPr>
        <w:pStyle w:val="SourceCode"/>
        <w:rPr/>
      </w:pPr>
      <w:r>
        <w:rPr>
          <w:rStyle w:val="CommentTok"/>
        </w:rPr>
        <w:t># Opret først en mail-enabled sikkerhedsgruppe, som kun indeholder afsenderpostkassen</w:t>
      </w:r>
      <w:r>
        <w:rPr/>
        <w:br/>
      </w:r>
      <w:r>
        <w:rPr>
          <w:rStyle w:val="NormalTok"/>
        </w:rPr>
        <w:t xml:space="preserve">New-DistributionGroup </w:t>
      </w:r>
      <w:r>
        <w:rPr>
          <w:rStyle w:val="OperatorTok"/>
        </w:rPr>
        <w:t>-</w:t>
      </w:r>
      <w:r>
        <w:rPr>
          <w:rStyle w:val="NormalTok"/>
        </w:rPr>
        <w:t xml:space="preserve">Name </w:t>
      </w:r>
      <w:r>
        <w:rPr>
          <w:rStyle w:val="StringTok"/>
        </w:rPr>
        <w:t>"ADSyncService afsender"</w:t>
      </w:r>
      <w:r>
        <w:rPr>
          <w:rStyle w:val="NormalTok"/>
        </w:rPr>
        <w:t xml:space="preserve"> `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Alias </w:t>
      </w:r>
      <w:r>
        <w:rPr>
          <w:rStyle w:val="StringTok"/>
        </w:rPr>
        <w:t>"adsyncservice-afsender"</w:t>
      </w:r>
      <w:r>
        <w:rPr>
          <w:rStyle w:val="NormalTok"/>
        </w:rPr>
        <w:t xml:space="preserve"> `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>Type Security `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Members </w:t>
      </w:r>
      <w:r>
        <w:rPr>
          <w:rStyle w:val="StringTok"/>
        </w:rPr>
        <w:t>"noreply@kommune.dk"</w:t>
      </w:r>
      <w:r>
        <w:rPr/>
        <w:br/>
        <w:br/>
      </w:r>
      <w:r>
        <w:rPr>
          <w:rStyle w:val="CommentTok"/>
        </w:rPr>
        <w:t># Tilknyt politikken til App Registration'ens Application (client) ID</w:t>
      </w:r>
      <w:r>
        <w:rPr/>
        <w:br/>
      </w:r>
      <w:r>
        <w:rPr>
          <w:rStyle w:val="NormalTok"/>
        </w:rPr>
        <w:t>New-ApplicationAccessPolicy `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AppId </w:t>
      </w:r>
      <w:r>
        <w:rPr>
          <w:rStyle w:val="StringTok"/>
        </w:rPr>
        <w:t>"&lt;Application (client) ID&gt;"</w:t>
      </w:r>
      <w:r>
        <w:rPr>
          <w:rStyle w:val="NormalTok"/>
        </w:rPr>
        <w:t xml:space="preserve"> `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PolicyScopeGroupId </w:t>
      </w:r>
      <w:r>
        <w:rPr>
          <w:rStyle w:val="StringTok"/>
        </w:rPr>
        <w:t>"adsyncservice-afsender@kommune.dk"</w:t>
      </w:r>
      <w:r>
        <w:rPr>
          <w:rStyle w:val="NormalTok"/>
        </w:rPr>
        <w:t xml:space="preserve"> `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>AccessRight RestrictAccess `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Description </w:t>
      </w:r>
      <w:r>
        <w:rPr>
          <w:rStyle w:val="StringTok"/>
        </w:rPr>
        <w:t>"Begraenser OS2rollekatalog ADSyncService til kun at sende fra noreply-postkassen"</w:t>
      </w:r>
      <w:r>
        <w:rPr/>
        <w:br/>
        <w:br/>
      </w:r>
      <w:r>
        <w:rPr>
          <w:rStyle w:val="CommentTok"/>
        </w:rPr>
        <w:t># Kontroller at politikken virker som forventet</w:t>
      </w:r>
      <w:r>
        <w:rPr/>
        <w:br/>
      </w:r>
      <w:r>
        <w:rPr>
          <w:rStyle w:val="NormalTok"/>
        </w:rPr>
        <w:t xml:space="preserve">Test-ApplicationAccessPolicy </w:t>
      </w:r>
      <w:r>
        <w:rPr>
          <w:rStyle w:val="OperatorTok"/>
        </w:rPr>
        <w:t>-</w:t>
      </w:r>
      <w:r>
        <w:rPr>
          <w:rStyle w:val="NormalTok"/>
        </w:rPr>
        <w:t xml:space="preserve">Identity </w:t>
      </w:r>
      <w:r>
        <w:rPr>
          <w:rStyle w:val="StringTok"/>
        </w:rPr>
        <w:t>"noreply@kommune.dk"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AppId </w:t>
      </w:r>
      <w:r>
        <w:rPr>
          <w:rStyle w:val="StringTok"/>
        </w:rPr>
        <w:t>"&lt;Application (client) ID&gt;"</w:t>
      </w:r>
    </w:p>
    <w:p>
      <w:pPr>
        <w:pStyle w:val="Normal"/>
        <w:rPr/>
      </w:pPr>
      <w:r>
        <w:rPr>
          <w:rStyle w:val="VerbatimChar"/>
        </w:rPr>
        <w:t>Test-ApplicationAccessPolicy</w:t>
      </w:r>
      <w:r>
        <w:rPr/>
        <w:t xml:space="preserve"> skal returnere </w:t>
      </w:r>
      <w:r>
        <w:rPr>
          <w:rStyle w:val="VerbatimChar"/>
        </w:rPr>
        <w:t>AccessCheckResult: Granted</w:t>
      </w:r>
      <w:r>
        <w:rPr/>
        <w:t xml:space="preserve"> for afsenderpostkassen og </w:t>
      </w:r>
      <w:r>
        <w:rPr>
          <w:rStyle w:val="VerbatimChar"/>
        </w:rPr>
        <w:t>Denied</w:t>
      </w:r>
      <w:r>
        <w:rPr/>
        <w:t xml:space="preserve"> for øvrige postkasser.</w:t>
      </w:r>
    </w:p>
    <w:p>
      <w:pPr>
        <w:pStyle w:val="Quote"/>
        <w:rPr/>
      </w:pPr>
      <w:r>
        <w:rPr/>
        <w:t>Det kan tage op til 30 minutter, før en nyoprettet politik slår igennem.</w:t>
      </w:r>
      <w:bookmarkEnd w:id="12"/>
    </w:p>
    <w:p>
      <w:pPr>
        <w:pStyle w:val="Heading1"/>
        <w:ind w:hanging="567" w:start="567"/>
        <w:rPr/>
      </w:pPr>
      <w:bookmarkStart w:id="13" w:name="__RefHeading___Toc1192_1929286160"/>
      <w:bookmarkStart w:id="14" w:name="opsætning-i-rollekataloget"/>
      <w:bookmarkEnd w:id="13"/>
      <w:r>
        <w:rPr/>
        <w:t>Opsætning i rollekataloget</w:t>
      </w:r>
    </w:p>
    <w:p>
      <w:pPr>
        <w:pStyle w:val="Normal"/>
        <w:rPr/>
      </w:pPr>
      <w:r>
        <w:rPr/>
        <w:t xml:space="preserve">Log ind i rollekataloget og vælg </w:t>
      </w:r>
      <w:r>
        <w:rPr>
          <w:b/>
          <w:bCs/>
        </w:rPr>
        <w:t>Administration</w:t>
      </w:r>
      <w:r>
        <w:rPr/>
        <w:t xml:space="preserve"> i topmenuen. Nederst i venstremenuen står afsnittet </w:t>
      </w:r>
      <w:r>
        <w:rPr>
          <w:b/>
          <w:bCs/>
        </w:rPr>
        <w:t>Klienter</w:t>
      </w:r>
      <w:r>
        <w:rPr/>
        <w:t>, hvor hver ADSyncService-klient er sit eget punkt. Klik på navnet på den klient, der skal opsættes.</w:t>
      </w:r>
    </w:p>
    <w:p>
      <w:pPr>
        <w:pStyle w:val="Normal"/>
        <w:rPr/>
      </w:pPr>
      <w:r>
        <w:rPr/>
        <w:drawing>
          <wp:inline distT="0" distB="0" distL="0" distR="0">
            <wp:extent cx="4114800" cy="412496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2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Fold panelet </w:t>
      </w:r>
      <w:r>
        <w:rPr>
          <w:b/>
          <w:bCs/>
        </w:rPr>
        <w:t>Indstillinger for Email</w:t>
      </w:r>
      <w:r>
        <w:rPr/>
        <w:t xml:space="preserve"> ud.</w:t>
      </w:r>
    </w:p>
    <w:p>
      <w:pPr>
        <w:pStyle w:val="Normal"/>
        <w:rPr/>
      </w:pPr>
      <w:r>
        <w:rPr/>
        <w:drawing>
          <wp:inline distT="0" distB="0" distL="0" distR="0">
            <wp:extent cx="6108700" cy="3620770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620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Udfyld felterne:</w:t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1" w:val="0020"/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>Felt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>Værdi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lang w:val="da-DK" w:eastAsia="en-US" w:bidi="ar-SA"/>
              </w:rPr>
              <w:t>Send email ved fejl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>Sæt flueben. Uden dette flueben sendes der ingen mails, uanset hvad de øvrige felter indeholder.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lang w:val="da-DK" w:eastAsia="en-US" w:bidi="ar-SA"/>
              </w:rPr>
              <w:t>Email der sendes fra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 xml:space="preserve">Adressen på afsenderpostkassen, f.eks. </w:t>
            </w: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noreply@kommune.dk</w:t>
            </w:r>
            <w:r>
              <w:rPr>
                <w:rFonts w:eastAsia="Calibri" w:cs=""/>
                <w:kern w:val="0"/>
                <w:lang w:val="da-DK" w:eastAsia="en-US" w:bidi="ar-SA"/>
              </w:rPr>
              <w:t>. Skal være en eksisterende postkasse i Exchange Online.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lang w:val="da-DK" w:eastAsia="en-US" w:bidi="ar-SA"/>
              </w:rPr>
              <w:t>Email der sendes til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>Adressen, som fejlbeskederne skal sendes til. Med fordel en fællespostkasse eller en distributionsgruppe, så beskederne ikke går til én enkelt medarbejder.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lang w:val="da-DK" w:eastAsia="en-US" w:bidi="ar-SA"/>
              </w:rPr>
              <w:t>TenantID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i/>
                <w:iCs/>
                <w:kern w:val="0"/>
                <w:lang w:val="da-DK" w:eastAsia="en-US" w:bidi="ar-SA"/>
              </w:rPr>
              <w:t>Directory (tenant) ID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fra afsnit 3.1.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lang w:val="da-DK" w:eastAsia="en-US" w:bidi="ar-SA"/>
              </w:rPr>
              <w:t>ClientID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i/>
                <w:iCs/>
                <w:kern w:val="0"/>
                <w:lang w:val="da-DK" w:eastAsia="en-US" w:bidi="ar-SA"/>
              </w:rPr>
              <w:t>Application (client) ID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fra afsnit 3.1.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lang w:val="da-DK" w:eastAsia="en-US" w:bidi="ar-SA"/>
              </w:rPr>
              <w:t>ClientSecret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i/>
                <w:iCs/>
                <w:kern w:val="0"/>
                <w:lang w:val="da-DK" w:eastAsia="en-US" w:bidi="ar-SA"/>
              </w:rPr>
              <w:t>Value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fra client secret’en i afsnit 3.3.</w:t>
            </w:r>
          </w:p>
        </w:tc>
      </w:tr>
    </w:tbl>
    <w:p>
      <w:pPr>
        <w:pStyle w:val="Normal"/>
        <w:rPr/>
      </w:pPr>
      <w:r>
        <w:rPr/>
        <w:t>Gem konfigurationen.</w:t>
      </w:r>
    </w:p>
    <w:p>
      <w:pPr>
        <w:pStyle w:val="Normal"/>
        <w:rPr/>
      </w:pPr>
      <w:r>
        <w:rPr/>
        <w:t xml:space="preserve">ADSyncService henter sin konfiguration fra rollekataloget hvert </w:t>
      </w:r>
      <w:r>
        <w:rPr>
          <w:b/>
          <w:bCs/>
        </w:rPr>
        <w:t>5. minut</w:t>
      </w:r>
      <w:r>
        <w:rPr/>
        <w:t>. Der går derfor op til 5 minutter, før ændringen er slået igennem på serveren.</w:t>
      </w:r>
    </w:p>
    <w:p>
      <w:pPr>
        <w:pStyle w:val="Quote"/>
        <w:rPr/>
      </w:pPr>
      <w:r>
        <w:rPr>
          <w:b/>
          <w:bCs/>
        </w:rPr>
        <w:t>Vigtigt ved ændring af credentials:</w:t>
      </w:r>
      <w:r>
        <w:rPr/>
        <w:t xml:space="preserve"> Forbindelsen til Microsoft Graph oprettes én gang, første gang tjenesten bruger opsætningen. Hvis TenantID, ClientID eller ClientSecret ændres, </w:t>
      </w:r>
      <w:r>
        <w:rPr>
          <w:b/>
          <w:bCs/>
        </w:rPr>
        <w:t>efter</w:t>
      </w:r>
      <w:r>
        <w:rPr/>
        <w:t xml:space="preserve"> at tjenesten allerede har taget dem i brug, skal Windows-tjenesten </w:t>
      </w:r>
      <w:r>
        <w:rPr>
          <w:b/>
          <w:bCs/>
        </w:rPr>
        <w:t>ADSyncService</w:t>
      </w:r>
      <w:r>
        <w:rPr/>
        <w:t xml:space="preserve"> genstartes, før de nye værdier anvendes. Afsender- og modtageradresse læses derimod ved hver afsendelse og kræver ikke genstart.</w:t>
      </w:r>
      <w:bookmarkEnd w:id="14"/>
    </w:p>
    <w:p>
      <w:pPr>
        <w:pStyle w:val="Heading1"/>
        <w:ind w:hanging="567" w:start="567"/>
        <w:rPr/>
      </w:pPr>
      <w:bookmarkStart w:id="15" w:name="__RefHeading___Toc1194_1929286160"/>
      <w:bookmarkStart w:id="16" w:name="test-af-opsætningen"/>
      <w:bookmarkEnd w:id="15"/>
      <w:r>
        <w:rPr/>
        <w:t>Test af opsætningen</w:t>
      </w:r>
    </w:p>
    <w:p>
      <w:pPr>
        <w:pStyle w:val="Normal"/>
        <w:rPr/>
      </w:pPr>
      <w:r>
        <w:rPr/>
        <w:t>Den enkleste test er at fremprovokere en fejl, som ADSyncService opdager:</w:t>
      </w:r>
    </w:p>
    <w:p>
      <w:pPr>
        <w:pStyle w:val="ListParagraph"/>
        <w:numPr>
          <w:ilvl w:val="0"/>
          <w:numId w:val="8"/>
        </w:numPr>
        <w:rPr/>
      </w:pPr>
      <w:r>
        <w:rPr/>
        <w:t xml:space="preserve">Sæt fluebenet </w:t>
      </w:r>
      <w:r>
        <w:rPr>
          <w:b/>
          <w:bCs/>
        </w:rPr>
        <w:t>Send email ved fejl</w:t>
      </w:r>
      <w:r>
        <w:rPr/>
        <w:t xml:space="preserve"> og udfyld felterne som beskrevet i afsnit 4.</w:t>
      </w:r>
    </w:p>
    <w:p>
      <w:pPr>
        <w:pStyle w:val="ListParagraph"/>
        <w:numPr>
          <w:ilvl w:val="0"/>
          <w:numId w:val="2"/>
        </w:numPr>
        <w:rPr/>
      </w:pPr>
      <w:r>
        <w:rPr/>
        <w:t>Vent 5 minutter, så konfigurationen er hentet ned af tjenesten.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Fremprovoker en fejl — f.eks. ved i panelet </w:t>
      </w:r>
      <w:r>
        <w:rPr>
          <w:b/>
          <w:bCs/>
        </w:rPr>
        <w:t>Indstillinger for BackSync</w:t>
      </w:r>
      <w:r>
        <w:rPr/>
        <w:t xml:space="preserve"> midlertidigt at angive en OU, der ikke findes i Active Directory.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Vent til næste synkronisering samt op til 15 minutter (se afsnit 6), og kontrollér at der er modtaget en mail med emnet </w:t>
      </w:r>
      <w:r>
        <w:rPr>
          <w:b/>
          <w:bCs/>
        </w:rPr>
        <w:t>“ADSyncService error log.”</w:t>
      </w:r>
    </w:p>
    <w:p>
      <w:pPr>
        <w:pStyle w:val="ListParagraph"/>
        <w:numPr>
          <w:ilvl w:val="0"/>
          <w:numId w:val="2"/>
        </w:numPr>
        <w:rPr/>
      </w:pPr>
      <w:r>
        <w:rPr/>
        <w:t>Ret opsætningen tilbage bagefter.</w:t>
      </w:r>
    </w:p>
    <w:p>
      <w:pPr>
        <w:pStyle w:val="Normal"/>
        <w:rPr/>
      </w:pPr>
      <w:r>
        <w:rPr/>
        <w:t>Alternativt kan afsendelsen verificeres direkte mod Graph fra serveren, uden at involvere ADSyncService:</w:t>
      </w:r>
    </w:p>
    <w:p>
      <w:pPr>
        <w:pStyle w:val="SourceCode"/>
        <w:rPr/>
      </w:pPr>
      <w:r>
        <w:rPr>
          <w:rStyle w:val="VariableTok"/>
        </w:rPr>
        <w:t>$tenantId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"&lt;TenantID&gt;"</w:t>
      </w:r>
      <w:r>
        <w:rPr/>
        <w:br/>
      </w:r>
      <w:r>
        <w:rPr>
          <w:rStyle w:val="VariableTok"/>
        </w:rPr>
        <w:t>$clientId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"&lt;ClientID&gt;"</w:t>
      </w:r>
      <w:r>
        <w:rPr/>
        <w:br/>
      </w:r>
      <w:r>
        <w:rPr>
          <w:rStyle w:val="VariableTok"/>
        </w:rPr>
        <w:t>$clientSecret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"&lt;ClientSecret&gt;"</w:t>
      </w:r>
      <w:r>
        <w:rPr/>
        <w:br/>
      </w:r>
      <w:r>
        <w:rPr>
          <w:rStyle w:val="VariableTok"/>
        </w:rPr>
        <w:t>$sender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"noreply@kommune.dk"</w:t>
      </w:r>
      <w:r>
        <w:rPr/>
        <w:br/>
      </w:r>
      <w:r>
        <w:rPr>
          <w:rStyle w:val="VariableTok"/>
        </w:rPr>
        <w:t>$recipient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"it-drift@kommune.dk"</w:t>
      </w:r>
      <w:r>
        <w:rPr/>
        <w:br/>
        <w:br/>
      </w:r>
      <w:r>
        <w:rPr>
          <w:rStyle w:val="VariableTok"/>
        </w:rPr>
        <w:t>$token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Invoke-RestMethod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Method POST `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Uri </w:t>
      </w:r>
      <w:r>
        <w:rPr>
          <w:rStyle w:val="StringTok"/>
        </w:rPr>
        <w:t>"https://login.microsoftonline.com/</w:t>
      </w:r>
      <w:r>
        <w:rPr>
          <w:rStyle w:val="VariableTok"/>
        </w:rPr>
        <w:t>$tenantId</w:t>
      </w:r>
      <w:r>
        <w:rPr>
          <w:rStyle w:val="StringTok"/>
        </w:rPr>
        <w:t>/oauth2/v2.0/token"</w:t>
      </w:r>
      <w:r>
        <w:rPr>
          <w:rStyle w:val="NormalTok"/>
        </w:rPr>
        <w:t xml:space="preserve"> `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>Body @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client_id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$clientId</w:t>
      </w:r>
      <w:r>
        <w:rPr/>
        <w:br/>
      </w:r>
      <w:r>
        <w:rPr>
          <w:rStyle w:val="NormalTok"/>
        </w:rPr>
        <w:t xml:space="preserve">        client_secret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$clientSecret</w:t>
      </w:r>
      <w:r>
        <w:rPr/>
        <w:br/>
      </w:r>
      <w:r>
        <w:rPr>
          <w:rStyle w:val="NormalTok"/>
        </w:rPr>
        <w:t xml:space="preserve">        scope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"https://graph.microsoft.com/.default"</w:t>
      </w:r>
      <w:r>
        <w:rPr/>
        <w:br/>
      </w:r>
      <w:r>
        <w:rPr>
          <w:rStyle w:val="NormalTok"/>
        </w:rPr>
        <w:t xml:space="preserve">        grant_type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"client_credentials"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}).</w:t>
      </w:r>
      <w:r>
        <w:rPr>
          <w:rStyle w:val="FunctionTok"/>
        </w:rPr>
        <w:t>access_token</w:t>
      </w:r>
      <w:r>
        <w:rPr/>
        <w:br/>
        <w:br/>
      </w:r>
      <w:r>
        <w:rPr>
          <w:rStyle w:val="VariableTok"/>
        </w:rPr>
        <w:t>$body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@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>=</w:t>
      </w:r>
      <w:r>
        <w:rPr>
          <w:rStyle w:val="NormalTok"/>
        </w:rPr>
        <w:t xml:space="preserve"> @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subject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"Test fra ADSyncService opsaetning"</w:t>
      </w:r>
      <w:r>
        <w:rPr/>
        <w:br/>
      </w:r>
      <w:r>
        <w:rPr>
          <w:rStyle w:val="NormalTok"/>
        </w:rPr>
        <w:t xml:space="preserve">        body    </w:t>
      </w:r>
      <w:r>
        <w:rPr>
          <w:rStyle w:val="OperatorTok"/>
        </w:rPr>
        <w:t>=</w:t>
      </w:r>
      <w:r>
        <w:rPr>
          <w:rStyle w:val="NormalTok"/>
        </w:rPr>
        <w:t xml:space="preserve"> @</w:t>
      </w:r>
      <w:r>
        <w:rPr>
          <w:rStyle w:val="OperatorTok"/>
        </w:rPr>
        <w:t>{</w:t>
      </w:r>
      <w:r>
        <w:rPr>
          <w:rStyle w:val="NormalTok"/>
        </w:rPr>
        <w:t xml:space="preserve"> contentType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;</w:t>
      </w:r>
      <w:r>
        <w:rPr>
          <w:rStyle w:val="NormalTok"/>
        </w:rPr>
        <w:t xml:space="preserve"> content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"Testmail - opsaetningen virker."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    toRecipients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@(</w:t>
      </w:r>
      <w:r>
        <w:rPr>
          <w:rStyle w:val="NormalTok"/>
        </w:rPr>
        <w:t>@</w:t>
      </w:r>
      <w:r>
        <w:rPr>
          <w:rStyle w:val="OperatorTok"/>
        </w:rPr>
        <w:t>{</w:t>
      </w:r>
      <w:r>
        <w:rPr>
          <w:rStyle w:val="NormalTok"/>
        </w:rPr>
        <w:t xml:space="preserve"> emailAddress </w:t>
      </w:r>
      <w:r>
        <w:rPr>
          <w:rStyle w:val="OperatorTok"/>
        </w:rPr>
        <w:t>=</w:t>
      </w:r>
      <w:r>
        <w:rPr>
          <w:rStyle w:val="NormalTok"/>
        </w:rPr>
        <w:t xml:space="preserve"> @</w:t>
      </w:r>
      <w:r>
        <w:rPr>
          <w:rStyle w:val="OperatorTok"/>
        </w:rPr>
        <w:t>{</w:t>
      </w:r>
      <w:r>
        <w:rPr>
          <w:rStyle w:val="NormalTok"/>
        </w:rPr>
        <w:t xml:space="preserve"> address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$recipient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})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saveToSentItems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$false</w:t>
      </w:r>
      <w:r>
        <w:rPr/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ConvertTo-Json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Depth </w:t>
      </w:r>
      <w:r>
        <w:rPr>
          <w:rStyle w:val="DecValTok"/>
        </w:rPr>
        <w:t>6</w:t>
      </w:r>
      <w:r>
        <w:rPr/>
        <w:br/>
        <w:br/>
      </w:r>
      <w:r>
        <w:rPr>
          <w:rStyle w:val="DataTypeTok"/>
        </w:rPr>
        <w:t>Invoke</w:t>
      </w:r>
      <w:r>
        <w:rPr>
          <w:rStyle w:val="OperatorTok"/>
        </w:rPr>
        <w:t>-</w:t>
      </w:r>
      <w:r>
        <w:rPr>
          <w:rStyle w:val="NormalTok"/>
        </w:rPr>
        <w:t xml:space="preserve">RestMethod </w:t>
      </w:r>
      <w:r>
        <w:rPr>
          <w:rStyle w:val="OperatorTok"/>
        </w:rPr>
        <w:t>-</w:t>
      </w:r>
      <w:r>
        <w:rPr>
          <w:rStyle w:val="NormalTok"/>
        </w:rPr>
        <w:t>Method POST `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Uri </w:t>
      </w:r>
      <w:r>
        <w:rPr>
          <w:rStyle w:val="StringTok"/>
        </w:rPr>
        <w:t>"https://graph.microsoft.com/v1.0/users/</w:t>
      </w:r>
      <w:r>
        <w:rPr>
          <w:rStyle w:val="VariableTok"/>
        </w:rPr>
        <w:t>$sender</w:t>
      </w:r>
      <w:r>
        <w:rPr>
          <w:rStyle w:val="StringTok"/>
        </w:rPr>
        <w:t>/sendMail"</w:t>
      </w:r>
      <w:r>
        <w:rPr>
          <w:rStyle w:val="NormalTok"/>
        </w:rPr>
        <w:t xml:space="preserve"> `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>Headers @</w:t>
      </w:r>
      <w:r>
        <w:rPr>
          <w:rStyle w:val="OperatorTok"/>
        </w:rPr>
        <w:t>{</w:t>
      </w:r>
      <w:r>
        <w:rPr>
          <w:rStyle w:val="NormalTok"/>
        </w:rPr>
        <w:t xml:space="preserve"> Authorization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StringTok"/>
        </w:rPr>
        <w:t>"Content-Type"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`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Body </w:t>
      </w:r>
      <w:r>
        <w:rPr>
          <w:rStyle w:val="VariableTok"/>
        </w:rPr>
        <w:t>$body</w:t>
      </w:r>
    </w:p>
    <w:p>
      <w:pPr>
        <w:pStyle w:val="Normal"/>
        <w:rPr/>
      </w:pPr>
      <w:r>
        <w:rPr/>
        <w:t>Kaldet returnerer intet ved succes. Fejler det, giver svaret en præcis årsag — se afsnit 7.</w:t>
      </w:r>
      <w:bookmarkEnd w:id="16"/>
    </w:p>
    <w:p>
      <w:pPr>
        <w:pStyle w:val="Heading1"/>
        <w:ind w:hanging="567" w:start="567"/>
        <w:rPr/>
      </w:pPr>
      <w:bookmarkStart w:id="17" w:name="__RefHeading___Toc1196_1929286160"/>
      <w:bookmarkStart w:id="18" w:name="sådan-virker-notifikationerne"/>
      <w:bookmarkEnd w:id="17"/>
      <w:r>
        <w:rPr/>
        <w:t>Sådan virker notifikationerne</w:t>
      </w:r>
    </w:p>
    <w:p>
      <w:pPr>
        <w:pStyle w:val="Normal"/>
        <w:rPr/>
      </w:pPr>
      <w:r>
        <w:rPr/>
        <w:t>Det er nyttigt at kende rytmen i afsendelsen, så man ved, hvad man skal forvente:</w:t>
      </w:r>
    </w:p>
    <w:p>
      <w:pPr>
        <w:pStyle w:val="ListParagraph"/>
        <w:numPr>
          <w:ilvl w:val="0"/>
          <w:numId w:val="3"/>
        </w:numPr>
        <w:rPr/>
      </w:pPr>
      <w:r>
        <w:rPr/>
        <w:t>Når ADSyncService støder på en fejl, lægges fejlbeskeden i en kø i tjenesten.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Hvert </w:t>
      </w:r>
      <w:r>
        <w:rPr>
          <w:b/>
          <w:bCs/>
        </w:rPr>
        <w:t>15. minut</w:t>
      </w:r>
      <w:r>
        <w:rPr/>
        <w:t xml:space="preserve"> afsendes </w:t>
      </w:r>
      <w:r>
        <w:rPr>
          <w:b/>
          <w:bCs/>
        </w:rPr>
        <w:t>én</w:t>
      </w:r>
      <w:r>
        <w:rPr/>
        <w:t xml:space="preserve"> mail fra køen. Opstår der mange fejl på kort tid, drypper beskederne altså ud over et stykke tid frem for at komme samlet.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Emnet på mailen er altid </w:t>
      </w:r>
      <w:r>
        <w:rPr>
          <w:b/>
          <w:bCs/>
        </w:rPr>
        <w:t>“ADSyncService error log.”</w:t>
      </w:r>
      <w:r>
        <w:rPr/>
        <w:t xml:space="preserve"> Selve fejlbeskeden står i mailteksten, og for undtagelser vedhæftes et komplet stacktrace som tekstfil.</w:t>
      </w:r>
    </w:p>
    <w:p>
      <w:pPr>
        <w:pStyle w:val="ListParagraph"/>
        <w:numPr>
          <w:ilvl w:val="0"/>
          <w:numId w:val="3"/>
        </w:numPr>
        <w:rPr/>
      </w:pPr>
      <w:r>
        <w:rPr/>
        <w:t>Køen ligger i hukommelsen. Genstartes tjenesten, mens der ligger fejl i køen, sendes de ikke.</w:t>
      </w:r>
    </w:p>
    <w:p>
      <w:pPr>
        <w:pStyle w:val="Normal"/>
        <w:rPr/>
      </w:pPr>
      <w:r>
        <w:rPr/>
        <w:t>Uafhængigt af emails viser rollekataloget også fejl direkte i brugerfladen: hvis ADSyncService har indrapporteret en fejl, vises et gult advarselsikon ud for klientens navn i venstremenuen, og fejlteksten vises, når musen holdes over ikonet.</w:t>
      </w:r>
      <w:bookmarkEnd w:id="18"/>
    </w:p>
    <w:p>
      <w:pPr>
        <w:pStyle w:val="Heading1"/>
        <w:ind w:hanging="567" w:start="567"/>
        <w:rPr/>
      </w:pPr>
      <w:bookmarkStart w:id="19" w:name="__RefHeading___Toc1198_1929286160"/>
      <w:bookmarkEnd w:id="19"/>
      <w:r>
        <w:rPr/>
        <w:t>Fejlsøgning</w:t>
      </w:r>
    </w:p>
    <w:p>
      <w:pPr>
        <w:pStyle w:val="Normal"/>
        <w:rPr/>
      </w:pPr>
      <w:r>
        <w:rPr/>
        <w:t>Logfilen for ADSyncService på serveren er det bedste udgangspunkt. Den ligger som standard i:</w:t>
      </w:r>
    </w:p>
    <w:p>
      <w:pPr>
        <w:pStyle w:val="SourceCode"/>
        <w:rPr/>
      </w:pPr>
      <w:r>
        <w:rPr>
          <w:rStyle w:val="VerbatimChar"/>
        </w:rPr>
        <w:t>C:\logs\ADSyncService\system.log</w:t>
      </w:r>
    </w:p>
    <w:p>
      <w:pPr>
        <w:pStyle w:val="Normal"/>
        <w:rPr/>
      </w:pPr>
      <w:r>
        <w:rPr/>
        <w:t xml:space="preserve">Standardlogniveauet er </w:t>
      </w:r>
      <w:r>
        <w:rPr>
          <w:rStyle w:val="VerbatimChar"/>
        </w:rPr>
        <w:t>INFO</w:t>
      </w:r>
      <w:r>
        <w:rPr/>
        <w:t xml:space="preserve">. Fejlbeskederne i tabellen nedenfor, som er markeret med </w:t>
      </w:r>
      <w:r>
        <w:rPr>
          <w:i/>
          <w:iCs/>
        </w:rPr>
        <w:t>(DEBUG)</w:t>
      </w:r>
      <w:r>
        <w:rPr/>
        <w:t xml:space="preserve">, vises derfor først, når logniveauet skrues op. Det gøres ved i filen </w:t>
      </w:r>
      <w:r>
        <w:rPr>
          <w:rStyle w:val="VerbatimChar"/>
        </w:rPr>
        <w:t>Log.config</w:t>
      </w:r>
      <w:r>
        <w:rPr/>
        <w:t xml:space="preserve"> i installationsmappen at ændre linjen under </w:t>
      </w:r>
      <w:r>
        <w:rPr>
          <w:rStyle w:val="VerbatimChar"/>
        </w:rPr>
        <w:t>&lt;root&gt;</w:t>
      </w:r>
      <w:r>
        <w:rPr/>
        <w:t xml:space="preserve"> fra </w:t>
      </w:r>
      <w:r>
        <w:rPr>
          <w:rStyle w:val="VerbatimChar"/>
        </w:rPr>
        <w:t>&lt;level value="INFO" /&gt;</w:t>
      </w:r>
      <w:r>
        <w:rPr/>
        <w:t xml:space="preserve"> til </w:t>
      </w:r>
      <w:r>
        <w:rPr>
          <w:rStyle w:val="VerbatimChar"/>
        </w:rPr>
        <w:t>&lt;level value="DEBUG" /&gt;</w:t>
      </w:r>
      <w:r>
        <w:rPr/>
        <w:t xml:space="preserve"> og herefter genstarte Windows-tjenesten </w:t>
      </w:r>
      <w:r>
        <w:rPr>
          <w:b/>
          <w:bCs/>
        </w:rPr>
        <w:t>ADSyncService</w:t>
      </w:r>
      <w:r>
        <w:rPr/>
        <w:t xml:space="preserve">. Husk at sætte niveauet tilbage til </w:t>
      </w:r>
      <w:r>
        <w:rPr>
          <w:rStyle w:val="VerbatimChar"/>
        </w:rPr>
        <w:t>INFO</w:t>
      </w:r>
      <w:r>
        <w:rPr/>
        <w:t xml:space="preserve">, når fejlsøgningen er afsluttet — </w:t>
      </w:r>
      <w:r>
        <w:rPr>
          <w:rStyle w:val="VerbatimChar"/>
        </w:rPr>
        <w:t>DEBUG</w:t>
      </w:r>
      <w:r>
        <w:rPr/>
        <w:t xml:space="preserve"> fylder betydeligt i logfilen.</w:t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1" w:val="0020"/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>Symptom / log-linje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>Årsag og løsning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i/>
                <w:iCs/>
                <w:kern w:val="0"/>
                <w:lang w:val="da-DK" w:eastAsia="en-US" w:bidi="ar-SA"/>
              </w:rPr>
              <w:t>(DEBUG)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</w:t>
            </w: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Sending emails with error messages is DISABLED.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 xml:space="preserve">Fluebenet </w:t>
            </w:r>
            <w:r>
              <w:rPr>
                <w:rFonts w:eastAsia="Calibri" w:cs=""/>
                <w:b/>
                <w:bCs/>
                <w:kern w:val="0"/>
                <w:lang w:val="da-DK" w:eastAsia="en-US" w:bidi="ar-SA"/>
              </w:rPr>
              <w:t>Send email ved fejl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er ikke sat, eller konfigurationen er endnu ikke hentet ned. Kontrollér opsætningen og vent 5 minutter.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Invalid email configuration.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 xml:space="preserve">Et af felterne </w:t>
            </w:r>
            <w:r>
              <w:rPr>
                <w:rFonts w:eastAsia="Calibri" w:cs=""/>
                <w:i/>
                <w:iCs/>
                <w:kern w:val="0"/>
                <w:lang w:val="da-DK" w:eastAsia="en-US" w:bidi="ar-SA"/>
              </w:rPr>
              <w:t>Email der sendes fra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, </w:t>
            </w:r>
            <w:r>
              <w:rPr>
                <w:rFonts w:eastAsia="Calibri" w:cs=""/>
                <w:i/>
                <w:iCs/>
                <w:kern w:val="0"/>
                <w:lang w:val="da-DK" w:eastAsia="en-US" w:bidi="ar-SA"/>
              </w:rPr>
              <w:t>TenantID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, </w:t>
            </w:r>
            <w:r>
              <w:rPr>
                <w:rFonts w:eastAsia="Calibri" w:cs=""/>
                <w:i/>
                <w:iCs/>
                <w:kern w:val="0"/>
                <w:lang w:val="da-DK" w:eastAsia="en-US" w:bidi="ar-SA"/>
              </w:rPr>
              <w:t>ClientID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eller </w:t>
            </w:r>
            <w:r>
              <w:rPr>
                <w:rFonts w:eastAsia="Calibri" w:cs=""/>
                <w:i/>
                <w:iCs/>
                <w:kern w:val="0"/>
                <w:lang w:val="da-DK" w:eastAsia="en-US" w:bidi="ar-SA"/>
              </w:rPr>
              <w:t>ClientSecret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er tomt. Udfyld alle fire.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Email sending failed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med </w:t>
            </w: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ErrorAccessDenied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 xml:space="preserve">Rettigheden </w:t>
            </w: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Mail.Send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mangler, eller der er ikke givet </w:t>
            </w:r>
            <w:r>
              <w:rPr>
                <w:rFonts w:eastAsia="Calibri" w:cs=""/>
                <w:i/>
                <w:iCs/>
                <w:kern w:val="0"/>
                <w:lang w:val="da-DK" w:eastAsia="en-US" w:bidi="ar-SA"/>
              </w:rPr>
              <w:t>admin consent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(afsnit 3.2). Er der oprettet en Application Access Policy, kontrollér med </w:t>
            </w: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Test-ApplicationAccessPolicy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, at afsenderpostkassen er </w:t>
            </w: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Granted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(afsnit 3.4).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Email sending failed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med </w:t>
            </w: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invalid_client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eller </w:t>
            </w: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AADSTS7000215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 xml:space="preserve">ClientSecret er forkert eller udløbet. Opret en ny (afsnit 3.3), indtast den i rollekataloget og genstart Windows-tjenesten </w:t>
            </w:r>
            <w:r>
              <w:rPr>
                <w:rFonts w:eastAsia="Calibri" w:cs=""/>
                <w:b/>
                <w:bCs/>
                <w:kern w:val="0"/>
                <w:lang w:val="da-DK" w:eastAsia="en-US" w:bidi="ar-SA"/>
              </w:rPr>
              <w:t>ADSyncService</w:t>
            </w:r>
            <w:r>
              <w:rPr>
                <w:rFonts w:eastAsia="Calibri" w:cs=""/>
                <w:kern w:val="0"/>
                <w:lang w:val="da-DK" w:eastAsia="en-US" w:bidi="ar-SA"/>
              </w:rPr>
              <w:t>.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Email sending failed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med </w:t>
            </w: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ResourceNotFound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eller </w:t>
            </w: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MailboxNotEnabledForRESTAPI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 xml:space="preserve">Adressen i </w:t>
            </w:r>
            <w:r>
              <w:rPr>
                <w:rFonts w:eastAsia="Calibri" w:cs=""/>
                <w:i/>
                <w:iCs/>
                <w:kern w:val="0"/>
                <w:lang w:val="da-DK" w:eastAsia="en-US" w:bidi="ar-SA"/>
              </w:rPr>
              <w:t>Email der sendes fra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svarer ikke til en postkasse i Exchange Online.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>Ingen mails, selvom der er fejl i synkroniseringen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 xml:space="preserve">Kontrollér at Windows-tjenesten </w:t>
            </w:r>
            <w:r>
              <w:rPr>
                <w:rFonts w:eastAsia="Calibri" w:cs=""/>
                <w:b/>
                <w:bCs/>
                <w:kern w:val="0"/>
                <w:lang w:val="da-DK" w:eastAsia="en-US" w:bidi="ar-SA"/>
              </w:rPr>
              <w:t>ADSyncService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kører, og at serveren kan nå </w:t>
            </w: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login.microsoftonline.com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og </w:t>
            </w: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graph.microsoft.com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på port 443 — typisk et spørgsmål om proxy eller firewall. Med logniveau </w:t>
            </w: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DEBUG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kan man i logfilen følge, om fejlene overhovedet lægges i køen (</w:t>
            </w: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Adding email to queue</w:t>
            </w:r>
            <w:r>
              <w:rPr>
                <w:rFonts w:eastAsia="Calibri" w:cs=""/>
                <w:kern w:val="0"/>
                <w:lang w:val="da-DK" w:eastAsia="en-US" w:bidi="ar-SA"/>
              </w:rPr>
              <w:t>), og om de forsøges sendt (</w:t>
            </w:r>
            <w:r>
              <w:rPr>
                <w:rStyle w:val="VerbatimChar"/>
                <w:rFonts w:eastAsia="Calibri" w:cs=""/>
                <w:kern w:val="0"/>
                <w:lang w:val="da-DK" w:eastAsia="en-US" w:bidi="ar-SA"/>
              </w:rPr>
              <w:t>Sending email</w:t>
            </w:r>
            <w:r>
              <w:rPr>
                <w:rFonts w:eastAsia="Calibri" w:cs=""/>
                <w:kern w:val="0"/>
                <w:lang w:val="da-DK" w:eastAsia="en-US" w:bidi="ar-SA"/>
              </w:rPr>
              <w:t>).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>Nye credentials virker ikke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lang w:val="da-DK" w:eastAsia="en-US" w:bidi="ar-SA"/>
              </w:rPr>
            </w:pPr>
            <w:r>
              <w:rPr>
                <w:rFonts w:eastAsia="Calibri" w:cs=""/>
                <w:kern w:val="0"/>
                <w:lang w:val="da-DK" w:eastAsia="en-US" w:bidi="ar-SA"/>
              </w:rPr>
              <w:t xml:space="preserve">Tjenesten holder på den eksisterende Graph-forbindelse. Genstart Windows-tjenesten </w:t>
            </w:r>
            <w:r>
              <w:rPr>
                <w:rFonts w:eastAsia="Calibri" w:cs=""/>
                <w:b/>
                <w:bCs/>
                <w:kern w:val="0"/>
                <w:lang w:val="da-DK" w:eastAsia="en-US" w:bidi="ar-SA"/>
              </w:rPr>
              <w:t>ADSyncService</w:t>
            </w:r>
            <w:r>
              <w:rPr>
                <w:rFonts w:eastAsia="Calibri" w:cs=""/>
                <w:kern w:val="0"/>
                <w:lang w:val="da-DK" w:eastAsia="en-US" w:bidi="ar-SA"/>
              </w:rPr>
              <w:t xml:space="preserve"> (se bemærkningen i afsnit 4).</w:t>
            </w:r>
            <w:bookmarkStart w:id="20" w:name="fejlsøgning"/>
            <w:bookmarkEnd w:id="20"/>
          </w:p>
        </w:tc>
      </w:tr>
    </w:tbl>
    <w:p>
      <w:pPr>
        <w:pStyle w:val="Heading1"/>
        <w:ind w:hanging="567" w:start="567"/>
        <w:rPr/>
      </w:pPr>
      <w:bookmarkStart w:id="21" w:name="__RefHeading___Toc1200_1929286160"/>
      <w:bookmarkEnd w:id="21"/>
      <w:r>
        <w:rPr/>
        <w:t>Vedligehold</w:t>
      </w:r>
    </w:p>
    <w:p>
      <w:pPr>
        <w:pStyle w:val="Normal"/>
        <w:rPr/>
      </w:pPr>
      <w:r>
        <w:rPr>
          <w:b/>
          <w:bCs/>
        </w:rPr>
        <w:t>Client secret udløber.</w:t>
      </w:r>
      <w:r>
        <w:rPr/>
        <w:t xml:space="preserve"> Når den udløber, holder fejlnotifikationerne op med at virke — og da det netop er notifikationerne, der skulle gøre opmærksom på problemer, opdages det ikke af sig selv. Sæt derfor en påmindelse i god tid, f.eks. en måned før udløbsdatoen fra afsnit 3.3.</w:t>
      </w:r>
    </w:p>
    <w:p>
      <w:pPr>
        <w:pStyle w:val="Normal"/>
        <w:rPr/>
      </w:pPr>
      <w:r>
        <w:rPr/>
        <w:t>Fornyelse gøres sådan:</w:t>
      </w:r>
    </w:p>
    <w:p>
      <w:pPr>
        <w:pStyle w:val="ListParagraph"/>
        <w:numPr>
          <w:ilvl w:val="0"/>
          <w:numId w:val="9"/>
        </w:numPr>
        <w:rPr/>
      </w:pPr>
      <w:r>
        <w:rPr/>
        <w:t>Opret en ny client secret på App Registration (afsnit 3.3).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Indtast den nye værdi i feltet </w:t>
      </w:r>
      <w:r>
        <w:rPr>
          <w:b/>
          <w:bCs/>
        </w:rPr>
        <w:t>ClientSecret</w:t>
      </w:r>
      <w:r>
        <w:rPr/>
        <w:t xml:space="preserve"> i rollekataloget (afsnit 4) og gem.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Genstart Windows-tjenesten </w:t>
      </w:r>
      <w:r>
        <w:rPr>
          <w:b/>
          <w:bCs/>
        </w:rPr>
        <w:t>ADSyncService</w:t>
      </w:r>
      <w:r>
        <w:rPr/>
        <w:t xml:space="preserve"> på serveren.</w:t>
      </w:r>
    </w:p>
    <w:p>
      <w:pPr>
        <w:pStyle w:val="ListParagraph"/>
        <w:numPr>
          <w:ilvl w:val="0"/>
          <w:numId w:val="2"/>
        </w:numPr>
        <w:spacing w:before="0" w:after="160"/>
        <w:contextualSpacing/>
        <w:rPr/>
      </w:pPr>
      <w:r>
        <w:rPr/>
        <w:t>Verificér afsendelsen (afsnit 5), og slet først derefter den gamle secret i Azure.</w:t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1906" w:h="16838"/>
      <w:pgMar w:left="1134" w:right="1134" w:gutter="0" w:header="709" w:top="1701" w:footer="709" w:bottom="170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728636285"/>
      <w:docPartObj>
        <w:docPartGallery w:val="Page Numbers (Top of Page)"/>
        <w:docPartUnique w:val="true"/>
      </w:docPartObj>
    </w:sdtPr>
    <w:sdtContent>
      <w:p>
        <w:pPr>
          <w:pStyle w:val="Footer"/>
          <w:jc w:val="start"/>
          <w:rPr>
            <w:b/>
            <w:bCs/>
            <w:sz w:val="16"/>
            <w:szCs w:val="16"/>
            <w:lang w:val="da-DK"/>
          </w:rPr>
        </w:pPr>
        <w:r>
          <w:rPr>
            <w:sz w:val="16"/>
            <w:szCs w:val="16"/>
          </w:rPr>
          <w:t>Digital Identity ApS, Sletvej 2E, 8310 Tranbjerg</w:t>
        </w:r>
        <w:r>
          <w:rPr/>
          <w:tab/>
        </w:r>
        <w:r>
          <w:rPr>
            <w:sz w:val="16"/>
            <w:szCs w:val="16"/>
          </w:rPr>
          <w:t xml:space="preserve">                                                                  </w:t>
        </w:r>
        <w:r>
          <w:rPr>
            <w:b/>
            <w:bCs/>
            <w:sz w:val="16"/>
            <w:szCs w:val="16"/>
            <w:lang w:val="da-DK"/>
          </w:rPr>
          <w:fldChar w:fldCharType="begin"/>
        </w:r>
        <w:r>
          <w:rPr>
            <w:b/>
            <w:bCs/>
            <w:sz w:val="16"/>
            <w:szCs w:val="16"/>
            <w:lang w:val="da-DK"/>
          </w:rPr>
          <w:instrText xml:space="preserve"> PAGE </w:instrText>
        </w:r>
        <w:r>
          <w:rPr>
            <w:b/>
            <w:bCs/>
            <w:sz w:val="16"/>
            <w:szCs w:val="16"/>
            <w:lang w:val="da-DK"/>
          </w:rPr>
          <w:fldChar w:fldCharType="separate"/>
        </w:r>
        <w:r>
          <w:rPr>
            <w:b/>
            <w:bCs/>
            <w:sz w:val="16"/>
            <w:szCs w:val="16"/>
            <w:lang w:val="da-DK"/>
          </w:rPr>
          <w:t>12</w:t>
        </w:r>
        <w:r>
          <w:rPr>
            <w:b/>
            <w:bCs/>
            <w:sz w:val="16"/>
            <w:szCs w:val="16"/>
            <w:lang w:val="da-DK"/>
          </w:rPr>
          <w:fldChar w:fldCharType="end"/>
        </w:r>
        <w:r>
          <w:rPr>
            <w:sz w:val="16"/>
            <w:szCs w:val="16"/>
          </w:rPr>
          <w:t xml:space="preserve"> / </w:t>
        </w:r>
        <w:r>
          <w:rPr>
            <w:b/>
            <w:bCs/>
            <w:sz w:val="16"/>
            <w:szCs w:val="16"/>
            <w:lang w:val="da-DK"/>
          </w:rPr>
          <w:fldChar w:fldCharType="begin"/>
        </w:r>
        <w:r>
          <w:rPr>
            <w:b/>
            <w:bCs/>
            <w:sz w:val="16"/>
            <w:szCs w:val="16"/>
            <w:lang w:val="da-DK"/>
          </w:rPr>
          <w:instrText xml:space="preserve"> NUMPAGES </w:instrText>
        </w:r>
        <w:r>
          <w:rPr>
            <w:b/>
            <w:bCs/>
            <w:sz w:val="16"/>
            <w:szCs w:val="16"/>
            <w:lang w:val="da-DK"/>
          </w:rPr>
          <w:fldChar w:fldCharType="separate"/>
        </w:r>
        <w:r>
          <w:rPr>
            <w:b/>
            <w:bCs/>
            <w:sz w:val="16"/>
            <w:szCs w:val="16"/>
            <w:lang w:val="da-DK"/>
          </w:rPr>
          <w:t>12</w:t>
        </w:r>
        <w:r>
          <w:rPr>
            <w:b/>
            <w:bCs/>
            <w:sz w:val="16"/>
            <w:szCs w:val="16"/>
            <w:lang w:val="da-DK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63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210"/>
      <w:gridCol w:w="3210"/>
      <w:gridCol w:w="3210"/>
    </w:tblGrid>
    <w:tr>
      <w:trPr>
        <w:trHeight w:val="300" w:hRule="atLeast"/>
      </w:trPr>
      <w:tc>
        <w:tcPr>
          <w:tcW w:w="3210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eastAsia="Calibri" w:cs=""/>
              <w:kern w:val="0"/>
              <w:lang w:val="da-DK" w:eastAsia="en-US" w:bidi="ar-SA"/>
            </w:rPr>
          </w:pPr>
          <w:r>
            <w:rPr>
              <w:rFonts w:eastAsia="Calibri" w:cs=""/>
              <w:kern w:val="0"/>
              <w:lang w:val="da-DK" w:eastAsia="en-US" w:bidi="ar-SA"/>
            </w:rPr>
          </w:r>
        </w:p>
      </w:tc>
      <w:tc>
        <w:tcPr>
          <w:tcW w:w="321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eastAsia="Calibri" w:cs=""/>
              <w:kern w:val="0"/>
              <w:lang w:val="da-DK" w:eastAsia="en-US" w:bidi="ar-SA"/>
            </w:rPr>
          </w:pPr>
          <w:r>
            <w:rPr>
              <w:rFonts w:eastAsia="Calibri" w:cs=""/>
              <w:kern w:val="0"/>
              <w:lang w:val="da-DK" w:eastAsia="en-US" w:bidi="ar-SA"/>
            </w:rPr>
          </w:r>
        </w:p>
      </w:tc>
      <w:tc>
        <w:tcPr>
          <w:tcW w:w="3210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eastAsia="Calibri" w:cs=""/>
              <w:kern w:val="0"/>
              <w:lang w:val="da-DK" w:eastAsia="en-US" w:bidi="ar-SA"/>
            </w:rPr>
          </w:pPr>
          <w:r>
            <w:rPr>
              <w:rFonts w:eastAsia="Calibri" w:cs=""/>
              <w:kern w:val="0"/>
              <w:lang w:val="da-DK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drawing>
        <wp:inline distT="0" distB="0" distL="0" distR="0">
          <wp:extent cx="1569720" cy="429895"/>
          <wp:effectExtent l="0" t="0" r="0" b="0"/>
          <wp:docPr id="13" name="Billed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Billede 2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69720" cy="429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63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210"/>
      <w:gridCol w:w="3210"/>
      <w:gridCol w:w="3210"/>
    </w:tblGrid>
    <w:tr>
      <w:trPr>
        <w:trHeight w:val="300" w:hRule="atLeast"/>
      </w:trPr>
      <w:tc>
        <w:tcPr>
          <w:tcW w:w="3210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eastAsia="Calibri" w:cs=""/>
              <w:kern w:val="0"/>
              <w:lang w:val="da-DK" w:eastAsia="en-US" w:bidi="ar-SA"/>
            </w:rPr>
          </w:pPr>
          <w:r>
            <w:rPr>
              <w:rFonts w:eastAsia="Calibri" w:cs=""/>
              <w:kern w:val="0"/>
              <w:lang w:val="da-DK" w:eastAsia="en-US" w:bidi="ar-SA"/>
            </w:rPr>
          </w:r>
        </w:p>
      </w:tc>
      <w:tc>
        <w:tcPr>
          <w:tcW w:w="321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eastAsia="Calibri" w:cs=""/>
              <w:kern w:val="0"/>
              <w:lang w:val="da-DK" w:eastAsia="en-US" w:bidi="ar-SA"/>
            </w:rPr>
          </w:pPr>
          <w:r>
            <w:rPr>
              <w:rFonts w:eastAsia="Calibri" w:cs=""/>
              <w:kern w:val="0"/>
              <w:lang w:val="da-DK" w:eastAsia="en-US" w:bidi="ar-SA"/>
            </w:rPr>
          </w:r>
        </w:p>
      </w:tc>
      <w:tc>
        <w:tcPr>
          <w:tcW w:w="3210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eastAsia="Calibri" w:cs=""/>
              <w:kern w:val="0"/>
              <w:lang w:val="da-DK" w:eastAsia="en-US" w:bidi="ar-SA"/>
            </w:rPr>
          </w:pPr>
          <w:r>
            <w:rPr>
              <w:rFonts w:eastAsia="Calibri" w:cs=""/>
              <w:kern w:val="0"/>
              <w:lang w:val="da-DK" w:eastAsia="en-US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pStyle w:val="Heading2"/>
      <w:isLgl/>
      <w:lvlText w:val="%1.%2"/>
      <w:lvlJc w:val="start"/>
      <w:pPr>
        <w:tabs>
          <w:tab w:val="num" w:pos="0"/>
        </w:tabs>
        <w:ind w:start="1080" w:hanging="720"/>
      </w:pPr>
      <w:rPr/>
    </w:lvl>
    <w:lvl w:ilvl="2">
      <w:start w:val="1"/>
      <w:numFmt w:val="decimal"/>
      <w:pStyle w:val="Heading3"/>
      <w:isLgl/>
      <w:lvlText w:val="%1.%2.%3"/>
      <w:lvlJc w:val="start"/>
      <w:pPr>
        <w:tabs>
          <w:tab w:val="num" w:pos="0"/>
        </w:tabs>
        <w:ind w:start="1440" w:hanging="108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1800" w:hanging="144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2160" w:hanging="180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2160" w:hanging="180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2520" w:hanging="216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2880" w:hanging="252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3240" w:hanging="28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50"/>
  <w:embedSystemFonts/>
  <w:defaultTabStop w:val="1304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a-DK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a-DK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uiPriority w:val="0"/>
    <w:qFormat/>
    <w:rsid w:val="2f00d48d"/>
    <w:pPr>
      <w:widowControl/>
      <w:bidi w:val="0"/>
      <w:spacing w:lineRule="auto" w:line="259" w:before="0" w:after="160"/>
      <w:jc w:val="start"/>
    </w:pPr>
    <w:rPr>
      <w:rFonts w:ascii="Verdana" w:hAnsi="Verdana" w:eastAsia="Calibri" w:cs="" w:cstheme="minorBidi" w:eastAsiaTheme="minorHAnsi"/>
      <w:color w:val="auto"/>
      <w:kern w:val="0"/>
      <w:sz w:val="20"/>
      <w:szCs w:val="20"/>
      <w:lang w:val="da-DK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2f00d48d"/>
    <w:pPr>
      <w:keepNext w:val="true"/>
      <w:keepLines/>
      <w:numPr>
        <w:ilvl w:val="0"/>
        <w:numId w:val="1"/>
      </w:numPr>
      <w:spacing w:before="240" w:after="120"/>
      <w:ind w:hanging="567" w:start="567"/>
      <w:outlineLvl w:val="0"/>
    </w:pPr>
    <w:rPr>
      <w:rFonts w:eastAsia="" w:cs="" w:cstheme="majorBidi" w:eastAsiaTheme="majorEastAsia"/>
      <w:color w:val="373D54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2f00d48d"/>
    <w:pPr>
      <w:keepNext w:val="true"/>
      <w:keepLines/>
      <w:numPr>
        <w:ilvl w:val="1"/>
        <w:numId w:val="1"/>
      </w:numPr>
      <w:spacing w:before="40" w:after="120"/>
      <w:ind w:hanging="862" w:start="851"/>
      <w:outlineLvl w:val="1"/>
    </w:pPr>
    <w:rPr>
      <w:rFonts w:eastAsia="" w:cs="" w:cstheme="majorBidi" w:eastAsiaTheme="majorEastAsia"/>
      <w:color w:val="525E7E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2f00d48d"/>
    <w:pPr>
      <w:keepNext w:val="true"/>
      <w:keepLines/>
      <w:numPr>
        <w:ilvl w:val="2"/>
        <w:numId w:val="1"/>
      </w:numPr>
      <w:spacing w:before="40" w:after="120"/>
      <w:ind w:hanging="851" w:start="851"/>
      <w:outlineLvl w:val="2"/>
    </w:pPr>
    <w:rPr>
      <w:rFonts w:eastAsia="" w:cs="" w:cstheme="majorBidi" w:eastAsiaTheme="majorEastAsia"/>
      <w:color w:val="525E7E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2f00d48d"/>
    <w:pPr>
      <w:keepNext w:val="true"/>
      <w:keepLines/>
      <w:spacing w:before="40" w:after="0"/>
      <w:outlineLvl w:val="3"/>
    </w:pPr>
    <w:rPr>
      <w:rFonts w:ascii="Calibri Light" w:hAnsi="Calibri Light" w:eastAsia="" w:cs="" w:asciiTheme="majorAscii" w:cstheme="majorBidi" w:eastAsiaTheme="majorEastAsia" w:hAnsiTheme="majorAsci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2f00d48d"/>
    <w:pPr>
      <w:keepNext w:val="true"/>
      <w:keepLines/>
      <w:spacing w:before="40" w:after="0"/>
      <w:outlineLvl w:val="4"/>
    </w:pPr>
    <w:rPr>
      <w:rFonts w:ascii="Calibri Light" w:hAnsi="Calibri Light" w:eastAsia="" w:cs="" w:asciiTheme="majorAscii" w:cstheme="majorBidi" w:eastAsiaTheme="majorEastAsia" w:hAnsiTheme="majorAscii"/>
      <w:color w:themeColor="accent1" w:themeShade="bf" w:val="2E74B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2f00d48d"/>
    <w:pPr>
      <w:keepNext w:val="true"/>
      <w:keepLines/>
      <w:spacing w:before="40" w:after="0"/>
      <w:outlineLvl w:val="5"/>
    </w:pPr>
    <w:rPr>
      <w:rFonts w:ascii="Calibri Light" w:hAnsi="Calibri Light" w:eastAsia="" w:cs="" w:asciiTheme="majorAscii" w:cstheme="majorBidi" w:eastAsiaTheme="majorEastAsia" w:hAnsiTheme="majorAscii"/>
      <w:color w:val="1F4D7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2f00d48d"/>
    <w:pPr>
      <w:keepNext w:val="true"/>
      <w:keepLines/>
      <w:spacing w:before="40" w:after="0"/>
      <w:outlineLvl w:val="6"/>
    </w:pPr>
    <w:rPr>
      <w:rFonts w:ascii="Calibri Light" w:hAnsi="Calibri Light" w:eastAsia="" w:cs="" w:asciiTheme="majorAscii" w:cstheme="majorBidi" w:eastAsiaTheme="majorEastAsia" w:hAnsiTheme="majorAscii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2f00d48d"/>
    <w:pPr>
      <w:keepNext w:val="true"/>
      <w:keepLines/>
      <w:spacing w:before="40" w:after="0"/>
      <w:outlineLvl w:val="7"/>
    </w:pPr>
    <w:rPr>
      <w:rFonts w:ascii="Calibri Light" w:hAnsi="Calibri Light" w:eastAsia="" w:cs="" w:asciiTheme="majorAscii" w:cstheme="majorBidi" w:eastAsiaTheme="majorEastAsia" w:hAnsiTheme="majorAsci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2f00d48d"/>
    <w:pPr>
      <w:keepNext w:val="true"/>
      <w:keepLines/>
      <w:spacing w:before="40" w:after="0"/>
      <w:outlineLvl w:val="8"/>
    </w:pPr>
    <w:rPr>
      <w:rFonts w:ascii="Calibri Light" w:hAnsi="Calibri Light" w:eastAsia="" w:cs="" w:asciiTheme="majorAscii" w:cstheme="majorBidi" w:eastAsiaTheme="majorEastAsia" w:hAnsiTheme="majorAscii"/>
      <w:i/>
      <w:iCs/>
      <w:color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a794a"/>
    <w:rPr>
      <w:rFonts w:ascii="Verdana" w:hAnsi="Verdana" w:eastAsia="" w:cs="" w:cstheme="majorBidi" w:eastAsiaTheme="majorEastAsia"/>
      <w:color w:val="373D54"/>
      <w:sz w:val="36"/>
      <w:szCs w:val="36"/>
      <w:lang w:val="da-DK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ba794a"/>
    <w:rPr>
      <w:rFonts w:ascii="Verdana" w:hAnsi="Verdana" w:eastAsia="" w:cs="" w:cstheme="majorBidi" w:eastAsiaTheme="majorEastAsia"/>
      <w:color w:val="525E7E"/>
      <w:sz w:val="28"/>
      <w:szCs w:val="28"/>
      <w:lang w:val="da-DK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a794a"/>
    <w:rPr>
      <w:rFonts w:ascii="Verdana" w:hAnsi="Verdana"/>
      <w:sz w:val="20"/>
      <w:szCs w:val="20"/>
      <w:lang w:val="da-DK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a794a"/>
    <w:rPr>
      <w:rFonts w:ascii="Verdana" w:hAnsi="Verdana"/>
      <w:sz w:val="20"/>
      <w:szCs w:val="20"/>
      <w:lang w:val="da-DK"/>
    </w:rPr>
  </w:style>
  <w:style w:type="character" w:styleId="Hyperlink">
    <w:name w:val="Hyperlink"/>
    <w:basedOn w:val="DefaultParagraphFont"/>
    <w:uiPriority w:val="99"/>
    <w:unhideWhenUsed/>
    <w:rsid w:val="00ba794a"/>
    <w:rPr>
      <w:color w:themeColor="hyperlink" w:val="0563C1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ba7153"/>
    <w:rPr>
      <w:rFonts w:ascii="Verdana" w:hAnsi="Verdana" w:eastAsia="" w:cs="" w:cstheme="majorBidi" w:eastAsiaTheme="majorEastAsia"/>
      <w:color w:val="525E7E"/>
      <w:sz w:val="24"/>
      <w:szCs w:val="24"/>
      <w:lang w:val="da-DK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Calibri Light" w:hAnsi="Calibri Light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2f00d48d"/>
    <w:pPr>
      <w:tabs>
        <w:tab w:val="clear" w:pos="1304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2f00d48d"/>
    <w:pPr>
      <w:tabs>
        <w:tab w:val="clear" w:pos="1304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ba794a"/>
    <w:pPr>
      <w:numPr>
        <w:ilvl w:val="0"/>
        <w:numId w:val="0"/>
      </w:numPr>
      <w:spacing w:before="240" w:after="0"/>
      <w:ind w:hanging="567" w:start="567"/>
      <w:outlineLvl w:val="9"/>
    </w:pPr>
    <w:rPr>
      <w:rFonts w:ascii="Calibri Light" w:hAnsi="Calibri Light" w:asciiTheme="majorHAnsi" w:hAnsiTheme="majorHAnsi"/>
      <w:color w:themeColor="accent1" w:themeShade="bf" w:val="2E74B5"/>
      <w:lang w:val="da-DK" w:eastAsia="da-DK"/>
    </w:rPr>
  </w:style>
  <w:style w:type="paragraph" w:styleId="TOC1">
    <w:name w:val="toc 1"/>
    <w:basedOn w:val="Normal"/>
    <w:next w:val="Normal"/>
    <w:uiPriority w:val="39"/>
    <w:unhideWhenUsed/>
    <w:rsid w:val="2f00d48d"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rsid w:val="2f00d48d"/>
    <w:pPr>
      <w:spacing w:before="0" w:after="100"/>
      <w:ind w:start="200"/>
    </w:pPr>
    <w:rPr/>
  </w:style>
  <w:style w:type="paragraph" w:styleId="TOC3">
    <w:name w:val="toc 3"/>
    <w:basedOn w:val="Normal"/>
    <w:next w:val="Normal"/>
    <w:uiPriority w:val="39"/>
    <w:unhideWhenUsed/>
    <w:rsid w:val="2f00d48d"/>
    <w:pPr>
      <w:spacing w:before="0" w:after="100"/>
      <w:ind w:start="440"/>
    </w:pPr>
    <w:rPr/>
  </w:style>
  <w:style w:type="paragraph" w:styleId="Title">
    <w:name w:val="Title"/>
    <w:basedOn w:val="Normal"/>
    <w:next w:val="Normal"/>
    <w:qFormat/>
    <w:pPr>
      <w:spacing w:lineRule="auto" w:line="240" w:before="0" w:after="0"/>
      <w:contextualSpacing/>
      <w:jc w:val="center"/>
    </w:pPr>
    <w:rPr>
      <w:sz w:val="48"/>
      <w:szCs w:val="48"/>
    </w:rPr>
  </w:style>
  <w:style w:type="paragraph" w:styleId="Subtitle">
    <w:name w:val="Subtitle"/>
    <w:basedOn w:val="Normal"/>
    <w:next w:val="Normal"/>
    <w:qFormat/>
    <w:pPr>
      <w:spacing w:lineRule="auto" w:line="240" w:before="0" w:after="240"/>
      <w:contextualSpacing/>
      <w:jc w:val="center"/>
    </w:pPr>
    <w:rPr>
      <w:sz w:val="32"/>
      <w:szCs w:val="32"/>
    </w:rPr>
  </w:style>
  <w:style w:type="paragraph" w:styleId="Quote">
    <w:name w:val="Quote"/>
    <w:basedOn w:val="Normal"/>
    <w:next w:val="Normal"/>
    <w:uiPriority w:val="29"/>
    <w:qFormat/>
    <w:rsid w:val="2f00d48d"/>
    <w:pPr>
      <w:spacing w:before="200" w:after="160"/>
      <w:ind w:start="864" w:end="864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uiPriority w:val="30"/>
    <w:qFormat/>
    <w:rsid w:val="2f00d48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start="864" w:end="864"/>
      <w:jc w:val="center"/>
    </w:pPr>
    <w:rPr>
      <w:i/>
      <w:iCs/>
      <w:color w:themeColor="accent1" w:val="5B9BD5"/>
    </w:rPr>
  </w:style>
  <w:style w:type="paragraph" w:styleId="ListParagraph">
    <w:name w:val="List Paragraph"/>
    <w:basedOn w:val="Normal"/>
    <w:uiPriority w:val="34"/>
    <w:qFormat/>
    <w:rsid w:val="2f00d48d"/>
    <w:pPr>
      <w:spacing w:before="0" w:after="160"/>
      <w:ind w:start="720"/>
      <w:contextualSpacing/>
    </w:pPr>
    <w:rPr/>
  </w:style>
  <w:style w:type="paragraph" w:styleId="TOC4">
    <w:name w:val="toc 4"/>
    <w:basedOn w:val="Normal"/>
    <w:next w:val="Normal"/>
    <w:uiPriority w:val="39"/>
    <w:unhideWhenUsed/>
    <w:rsid w:val="2f00d48d"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rsid w:val="2f00d48d"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rsid w:val="2f00d48d"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rsid w:val="2f00d48d"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rsid w:val="2f00d48d"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rsid w:val="2f00d48d"/>
    <w:pPr>
      <w:spacing w:before="0" w:after="100"/>
      <w:ind w:start="1760"/>
    </w:pPr>
    <w:rPr/>
  </w:style>
  <w:style w:type="paragraph" w:styleId="EndnoteText">
    <w:name w:val="endnote text"/>
    <w:basedOn w:val="Normal"/>
    <w:uiPriority w:val="99"/>
    <w:semiHidden/>
    <w:unhideWhenUsed/>
    <w:rsid w:val="2f00d48d"/>
    <w:pPr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rsid w:val="2f00d48d"/>
    <w:pPr>
      <w:spacing w:lineRule="auto" w:line="240" w:before="0" w:after="0"/>
    </w:pPr>
    <w:rPr/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start="480" w:end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SourceCode" w:customStyle="1">
    <w:name w:val="Source Code"/>
    <w:basedOn w:val="Normal"/>
    <w:link w:val="VerbatimCha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ortal.azure.com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3.png"/>
</Relationships>
</file>

<file path=word/theme/theme1.xml><?xml version="1.0" encoding="utf-8"?>
<a:theme xmlns:a="http://schemas.openxmlformats.org/drawingml/2006/main" xmlns:r="http://schemas.openxmlformats.org/officeDocument/2006/relationships" name="Office-tema">
  <a:themeElements>
    <a:clrScheme name="Kontor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LibreOffice/26.2.5.2$Linux_X86_64 LibreOffice_project/6d2b0d33fb0f5da53a12f98bed3e9973e56ff1f0</Application>
  <AppVersion>15.0000</AppVersion>
  <Pages>12</Pages>
  <Words>1676</Words>
  <Characters>10308</Characters>
  <CharactersWithSpaces>12045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2026-08-10T08:57:30Z</dcterms:created>
  <dc:creator>Version: 1.0.0; Date: 10.08.2026; Author: KBP</dc:creator>
  <dc:description/>
  <dc:language>da-DK</dc:language>
  <cp:lastModifiedBy/>
  <dcterms:modified xsi:type="dcterms:W3CDTF">2026-08-10T11:01:53Z</dcterms:modified>
  <cp:revision>2</cp:revision>
  <dc:subject/>
  <dc:title>OS2rollekatalog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Email notifikation ved fejl i ADSyncService</vt:lpwstr>
  </property>
  <property fmtid="{D5CDD505-2E9C-101B-9397-08002B2CF9AE}" pid="3" name="toc-title">
    <vt:lpwstr>Indholdsfortegnelse</vt:lpwstr>
  </property>
</Properties>
</file>