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jc w:val="center"/>
        <w:rPr>
          <w:lang w:val="da-DK"/>
        </w:rPr>
      </w:pPr>
      <w:r>
        <w:rPr>
          <w:color w:val="373D54"/>
          <w:sz w:val="48"/>
          <w:szCs w:val="48"/>
          <w:lang w:val="da-DK"/>
        </w:rPr>
        <w:t>OS2sofd</w:t>
      </w:r>
    </w:p>
    <w:p>
      <w:pPr>
        <w:pStyle w:val="Normal"/>
        <w:jc w:val="center"/>
        <w:rPr>
          <w:lang w:val="da-DK"/>
        </w:rPr>
      </w:pPr>
      <w:r>
        <w:rPr>
          <w:color w:val="525E7E"/>
          <w:sz w:val="32"/>
          <w:szCs w:val="32"/>
          <w:lang w:val="da-DK"/>
        </w:rPr>
        <w:t>AD Replikator</w:t>
      </w:r>
    </w:p>
    <w:p>
      <w:pPr>
        <w:pStyle w:val="Normal"/>
        <w:jc w:val="center"/>
        <w:rPr>
          <w:lang w:val="da-DK"/>
        </w:rPr>
      </w:pPr>
      <w:r>
        <w:rPr>
          <w:lang w:val="da-DK"/>
        </w:rPr>
      </w:r>
    </w:p>
    <w:p>
      <w:pPr>
        <w:pStyle w:val="Normal"/>
        <w:jc w:val="center"/>
        <w:rPr>
          <w:lang w:val="da-DK"/>
        </w:rPr>
      </w:pPr>
      <w:r>
        <w:rPr>
          <w:lang w:val="da-DK"/>
        </w:rPr>
      </w:r>
    </w:p>
    <w:p>
      <w:pPr>
        <w:pStyle w:val="Normal"/>
        <w:jc w:val="center"/>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rPr>
          <w:lang w:val="da-DK"/>
        </w:rPr>
      </w:pPr>
      <w:r>
        <w:rPr>
          <w:lang w:val="da-DK"/>
        </w:rPr>
      </w:r>
    </w:p>
    <w:p>
      <w:pPr>
        <w:pStyle w:val="Normal"/>
        <w:spacing w:before="0" w:after="40"/>
        <w:ind w:hanging="1134" w:left="1134"/>
        <w:rPr>
          <w:lang w:val="da-DK"/>
        </w:rPr>
      </w:pPr>
      <w:r>
        <w:rPr>
          <w:b/>
          <w:lang w:val="da-DK"/>
        </w:rPr>
        <w:t>Version</w:t>
      </w:r>
      <w:r>
        <w:rPr>
          <w:lang w:val="da-DK"/>
        </w:rPr>
        <w:t>:</w:t>
        <w:tab/>
        <w:t>1.14.</w:t>
      </w:r>
      <w:r>
        <w:rPr>
          <w:lang w:val="da-DK"/>
        </w:rPr>
        <w:t>1</w:t>
      </w:r>
    </w:p>
    <w:p>
      <w:pPr>
        <w:pStyle w:val="Normal"/>
        <w:spacing w:before="0" w:after="40"/>
        <w:ind w:hanging="1134" w:left="1134"/>
        <w:rPr>
          <w:lang w:val="da-DK"/>
        </w:rPr>
      </w:pPr>
      <w:r>
        <w:rPr>
          <w:b/>
          <w:lang w:val="da-DK"/>
        </w:rPr>
        <w:t>Date</w:t>
      </w:r>
      <w:r>
        <w:rPr>
          <w:lang w:val="da-DK"/>
        </w:rPr>
        <w:t>:</w:t>
        <w:tab/>
      </w:r>
      <w:r>
        <w:rPr>
          <w:lang w:val="da-DK"/>
        </w:rPr>
        <w:t>27</w:t>
      </w:r>
      <w:r>
        <w:rPr>
          <w:lang w:val="da-DK"/>
        </w:rPr>
        <w:t>.1</w:t>
      </w:r>
      <w:r>
        <w:rPr>
          <w:lang w:val="da-DK"/>
        </w:rPr>
        <w:t>1</w:t>
      </w:r>
      <w:r>
        <w:rPr>
          <w:lang w:val="da-DK"/>
        </w:rPr>
        <w:t>.2025</w:t>
      </w:r>
    </w:p>
    <w:p>
      <w:pPr>
        <w:pStyle w:val="Normal"/>
        <w:spacing w:before="0" w:after="40"/>
        <w:ind w:hanging="1134" w:left="1134"/>
        <w:rPr>
          <w:lang w:val="da-DK"/>
        </w:rPr>
      </w:pPr>
      <w:r>
        <w:rPr>
          <w:b/>
          <w:lang w:val="da-DK"/>
        </w:rPr>
        <w:t>Author</w:t>
      </w:r>
      <w:r>
        <w:rPr>
          <w:lang w:val="da-DK"/>
        </w:rPr>
        <w:t>:</w:t>
        <w:tab/>
        <w:t>PSO</w:t>
      </w:r>
    </w:p>
    <w:p>
      <w:pPr>
        <w:pStyle w:val="Normal"/>
        <w:rPr>
          <w:lang w:val="da-DK"/>
        </w:rPr>
      </w:pPr>
      <w:r>
        <w:rPr>
          <w:lang w:val="da-DK"/>
        </w:rPr>
      </w:r>
    </w:p>
    <w:sdt>
      <w:sdtPr>
        <w:docPartObj>
          <w:docPartGallery w:val="Table of Contents"/>
          <w:docPartUnique w:val="true"/>
        </w:docPartObj>
      </w:sdtPr>
      <w:sdtContent>
        <w:p>
          <w:pPr>
            <w:pStyle w:val="TOCHeading"/>
            <w:spacing w:before="0" w:after="0"/>
            <w:ind w:hanging="0" w:left="0"/>
            <w:rPr>
              <w:lang w:val="da-DK"/>
            </w:rPr>
          </w:pPr>
          <w:r>
            <w:br w:type="page"/>
          </w:r>
          <w:r>
            <w:rPr>
              <w:rFonts w:ascii="Verdana" w:hAnsi="Verdana"/>
              <w:color w:val="525E7E"/>
              <w:lang w:val="da-DK"/>
            </w:rPr>
            <w:t>Indhold</w:t>
          </w:r>
        </w:p>
        <w:p>
          <w:pPr>
            <w:pStyle w:val="TOC1"/>
            <w:tabs>
              <w:tab w:val="clear" w:pos="1304"/>
              <w:tab w:val="left" w:pos="400" w:leader="none"/>
              <w:tab w:val="right" w:pos="9628" w:leader="dot"/>
            </w:tabs>
            <w:rPr/>
          </w:pPr>
          <w:r>
            <w:fldChar w:fldCharType="begin"/>
          </w:r>
          <w:r>
            <w:rPr>
              <w:webHidden/>
              <w:rStyle w:val="IndexLink"/>
              <w:lang w:val="da-DK"/>
            </w:rPr>
            <w:instrText xml:space="preserve"> TOC \z \o "1-3" \u \h</w:instrText>
          </w:r>
          <w:r>
            <w:rPr>
              <w:webHidden/>
              <w:rStyle w:val="IndexLink"/>
              <w:lang w:val="da-DK"/>
            </w:rPr>
            <w:fldChar w:fldCharType="separate"/>
          </w:r>
          <w:hyperlink w:anchor="_Toc212110568">
            <w:r>
              <w:rPr>
                <w:webHidden/>
                <w:rStyle w:val="IndexLink"/>
                <w:lang w:val="da-DK"/>
              </w:rPr>
              <w:t>1</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Indledning</w:t>
            </w:r>
            <w:r>
              <w:rPr>
                <w:webHidden/>
              </w:rPr>
              <w:fldChar w:fldCharType="begin"/>
            </w:r>
            <w:r>
              <w:rPr>
                <w:webHidden/>
              </w:rPr>
              <w:instrText xml:space="preserve">PAGEREF _Toc212110568 \h</w:instrText>
            </w:r>
            <w:r>
              <w:rPr>
                <w:webHidden/>
              </w:rPr>
              <w:fldChar w:fldCharType="separate"/>
            </w:r>
            <w:r>
              <w:rPr>
                <w:rStyle w:val="IndexLink"/>
                <w:vanish w:val="false"/>
                <w:lang w:val="da-DK"/>
              </w:rPr>
              <w:tab/>
              <w:t>3</w:t>
            </w:r>
            <w:r>
              <w:rPr>
                <w:webHidden/>
              </w:rPr>
              <w:fldChar w:fldCharType="end"/>
            </w:r>
          </w:hyperlink>
        </w:p>
        <w:p>
          <w:pPr>
            <w:pStyle w:val="TOC2"/>
            <w:tabs>
              <w:tab w:val="clear" w:pos="1304"/>
              <w:tab w:val="left" w:pos="960" w:leader="none"/>
              <w:tab w:val="right" w:pos="9628" w:leader="dot"/>
            </w:tabs>
            <w:rPr/>
          </w:pPr>
          <w:hyperlink w:anchor="_Toc212110569">
            <w:r>
              <w:rPr>
                <w:webHidden/>
                <w:rStyle w:val="IndexLink"/>
                <w:lang w:val="da-DK"/>
              </w:rPr>
              <w:t>1.1</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Forudsætninger</w:t>
            </w:r>
            <w:r>
              <w:rPr>
                <w:webHidden/>
              </w:rPr>
              <w:fldChar w:fldCharType="begin"/>
            </w:r>
            <w:r>
              <w:rPr>
                <w:webHidden/>
              </w:rPr>
              <w:instrText xml:space="preserve">PAGEREF _Toc212110569 \h</w:instrText>
            </w:r>
            <w:r>
              <w:rPr>
                <w:webHidden/>
              </w:rPr>
              <w:fldChar w:fldCharType="separate"/>
            </w:r>
            <w:r>
              <w:rPr>
                <w:rStyle w:val="IndexLink"/>
                <w:vanish w:val="false"/>
                <w:lang w:val="da-DK"/>
              </w:rPr>
              <w:tab/>
              <w:t>3</w:t>
            </w:r>
            <w:r>
              <w:rPr>
                <w:webHidden/>
              </w:rPr>
              <w:fldChar w:fldCharType="end"/>
            </w:r>
          </w:hyperlink>
        </w:p>
        <w:p>
          <w:pPr>
            <w:pStyle w:val="TOC3"/>
            <w:tabs>
              <w:tab w:val="clear" w:pos="1304"/>
              <w:tab w:val="left" w:pos="1200" w:leader="none"/>
              <w:tab w:val="right" w:pos="9628" w:leader="dot"/>
            </w:tabs>
            <w:rPr/>
          </w:pPr>
          <w:hyperlink w:anchor="_Toc212110570">
            <w:r>
              <w:rPr>
                <w:webHidden/>
                <w:rStyle w:val="IndexLink"/>
                <w:lang w:val="da-DK"/>
              </w:rPr>
              <w:t>1.1.1</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Windows Server</w:t>
            </w:r>
            <w:r>
              <w:rPr>
                <w:webHidden/>
              </w:rPr>
              <w:fldChar w:fldCharType="begin"/>
            </w:r>
            <w:r>
              <w:rPr>
                <w:webHidden/>
              </w:rPr>
              <w:instrText xml:space="preserve">PAGEREF _Toc212110570 \h</w:instrText>
            </w:r>
            <w:r>
              <w:rPr>
                <w:webHidden/>
              </w:rPr>
              <w:fldChar w:fldCharType="separate"/>
            </w:r>
            <w:r>
              <w:rPr>
                <w:rStyle w:val="IndexLink"/>
                <w:vanish w:val="false"/>
                <w:lang w:val="da-DK"/>
              </w:rPr>
              <w:tab/>
              <w:t>3</w:t>
            </w:r>
            <w:r>
              <w:rPr>
                <w:webHidden/>
              </w:rPr>
              <w:fldChar w:fldCharType="end"/>
            </w:r>
          </w:hyperlink>
        </w:p>
        <w:p>
          <w:pPr>
            <w:pStyle w:val="TOC3"/>
            <w:tabs>
              <w:tab w:val="clear" w:pos="1304"/>
              <w:tab w:val="left" w:pos="1200" w:leader="none"/>
              <w:tab w:val="right" w:pos="9628" w:leader="dot"/>
            </w:tabs>
            <w:rPr/>
          </w:pPr>
          <w:hyperlink w:anchor="_Toc212110571">
            <w:r>
              <w:rPr>
                <w:webHidden/>
                <w:rStyle w:val="IndexLink"/>
                <w:lang w:val="da-DK"/>
              </w:rPr>
              <w:t>1.1.2</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Service konto i AD</w:t>
            </w:r>
            <w:r>
              <w:rPr>
                <w:webHidden/>
              </w:rPr>
              <w:fldChar w:fldCharType="begin"/>
            </w:r>
            <w:r>
              <w:rPr>
                <w:webHidden/>
              </w:rPr>
              <w:instrText xml:space="preserve">PAGEREF _Toc212110571 \h</w:instrText>
            </w:r>
            <w:r>
              <w:rPr>
                <w:webHidden/>
              </w:rPr>
              <w:fldChar w:fldCharType="separate"/>
            </w:r>
            <w:r>
              <w:rPr>
                <w:rStyle w:val="IndexLink"/>
                <w:vanish w:val="false"/>
                <w:lang w:val="da-DK"/>
              </w:rPr>
              <w:tab/>
              <w:t>3</w:t>
            </w:r>
            <w:r>
              <w:rPr>
                <w:webHidden/>
              </w:rPr>
              <w:fldChar w:fldCharType="end"/>
            </w:r>
          </w:hyperlink>
        </w:p>
        <w:p>
          <w:pPr>
            <w:pStyle w:val="TOC3"/>
            <w:tabs>
              <w:tab w:val="clear" w:pos="1304"/>
              <w:tab w:val="left" w:pos="1200" w:leader="none"/>
              <w:tab w:val="right" w:pos="9628" w:leader="dot"/>
            </w:tabs>
            <w:rPr/>
          </w:pPr>
          <w:hyperlink w:anchor="_Toc212110572">
            <w:r>
              <w:rPr>
                <w:webHidden/>
                <w:rStyle w:val="IndexLink"/>
                <w:lang w:val="da-DK"/>
              </w:rPr>
              <w:t>1.1.3</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API bruger til SOFD Core backend</w:t>
            </w:r>
            <w:r>
              <w:rPr>
                <w:webHidden/>
              </w:rPr>
              <w:fldChar w:fldCharType="begin"/>
            </w:r>
            <w:r>
              <w:rPr>
                <w:webHidden/>
              </w:rPr>
              <w:instrText xml:space="preserve">PAGEREF _Toc212110572 \h</w:instrText>
            </w:r>
            <w:r>
              <w:rPr>
                <w:webHidden/>
              </w:rPr>
              <w:fldChar w:fldCharType="separate"/>
            </w:r>
            <w:r>
              <w:rPr>
                <w:rStyle w:val="IndexLink"/>
                <w:vanish w:val="false"/>
                <w:lang w:val="da-DK"/>
              </w:rPr>
              <w:tab/>
              <w:t>3</w:t>
            </w:r>
            <w:r>
              <w:rPr>
                <w:webHidden/>
              </w:rPr>
              <w:fldChar w:fldCharType="end"/>
            </w:r>
          </w:hyperlink>
        </w:p>
        <w:p>
          <w:pPr>
            <w:pStyle w:val="TOC1"/>
            <w:tabs>
              <w:tab w:val="clear" w:pos="1304"/>
              <w:tab w:val="left" w:pos="400" w:leader="none"/>
              <w:tab w:val="right" w:pos="9628" w:leader="dot"/>
            </w:tabs>
            <w:rPr/>
          </w:pPr>
          <w:hyperlink w:anchor="_Toc212110573">
            <w:r>
              <w:rPr>
                <w:webHidden/>
                <w:rStyle w:val="IndexLink"/>
                <w:lang w:val="da-DK"/>
              </w:rPr>
              <w:t>2</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Konfiguration</w:t>
            </w:r>
            <w:r>
              <w:rPr>
                <w:webHidden/>
              </w:rPr>
              <w:fldChar w:fldCharType="begin"/>
            </w:r>
            <w:r>
              <w:rPr>
                <w:webHidden/>
              </w:rPr>
              <w:instrText xml:space="preserve">PAGEREF _Toc212110573 \h</w:instrText>
            </w:r>
            <w:r>
              <w:rPr>
                <w:webHidden/>
              </w:rPr>
              <w:fldChar w:fldCharType="separate"/>
            </w:r>
            <w:r>
              <w:rPr>
                <w:rStyle w:val="IndexLink"/>
                <w:vanish w:val="false"/>
                <w:lang w:val="da-DK"/>
              </w:rPr>
              <w:tab/>
              <w:t>3</w:t>
            </w:r>
            <w:r>
              <w:rPr>
                <w:webHidden/>
              </w:rPr>
              <w:fldChar w:fldCharType="end"/>
            </w:r>
          </w:hyperlink>
        </w:p>
        <w:p>
          <w:pPr>
            <w:pStyle w:val="TOC2"/>
            <w:tabs>
              <w:tab w:val="clear" w:pos="1304"/>
              <w:tab w:val="left" w:pos="960" w:leader="none"/>
              <w:tab w:val="right" w:pos="9628" w:leader="dot"/>
            </w:tabs>
            <w:rPr/>
          </w:pPr>
          <w:hyperlink w:anchor="_Toc212110574">
            <w:r>
              <w:rPr>
                <w:webHidden/>
                <w:rStyle w:val="IndexLink"/>
                <w:lang w:val="da-DK"/>
              </w:rPr>
              <w:t>2.1</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Download service</w:t>
            </w:r>
            <w:r>
              <w:rPr>
                <w:webHidden/>
              </w:rPr>
              <w:fldChar w:fldCharType="begin"/>
            </w:r>
            <w:r>
              <w:rPr>
                <w:webHidden/>
              </w:rPr>
              <w:instrText xml:space="preserve">PAGEREF _Toc212110574 \h</w:instrText>
            </w:r>
            <w:r>
              <w:rPr>
                <w:webHidden/>
              </w:rPr>
              <w:fldChar w:fldCharType="separate"/>
            </w:r>
            <w:r>
              <w:rPr>
                <w:rStyle w:val="IndexLink"/>
                <w:vanish w:val="false"/>
                <w:lang w:val="da-DK"/>
              </w:rPr>
              <w:tab/>
              <w:t>3</w:t>
            </w:r>
            <w:r>
              <w:rPr>
                <w:webHidden/>
              </w:rPr>
              <w:fldChar w:fldCharType="end"/>
            </w:r>
          </w:hyperlink>
        </w:p>
        <w:p>
          <w:pPr>
            <w:pStyle w:val="TOC2"/>
            <w:tabs>
              <w:tab w:val="clear" w:pos="1304"/>
              <w:tab w:val="left" w:pos="960" w:leader="none"/>
              <w:tab w:val="right" w:pos="9628" w:leader="dot"/>
            </w:tabs>
            <w:rPr/>
          </w:pPr>
          <w:hyperlink w:anchor="_Toc212110575">
            <w:r>
              <w:rPr>
                <w:webHidden/>
                <w:rStyle w:val="IndexLink"/>
                <w:lang w:val="da-DK"/>
              </w:rPr>
              <w:t>2.2</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Konfiguration af service</w:t>
            </w:r>
            <w:r>
              <w:rPr>
                <w:webHidden/>
              </w:rPr>
              <w:fldChar w:fldCharType="begin"/>
            </w:r>
            <w:r>
              <w:rPr>
                <w:webHidden/>
              </w:rPr>
              <w:instrText xml:space="preserve">PAGEREF _Toc212110575 \h</w:instrText>
            </w:r>
            <w:r>
              <w:rPr>
                <w:webHidden/>
              </w:rPr>
              <w:fldChar w:fldCharType="separate"/>
            </w:r>
            <w:r>
              <w:rPr>
                <w:rStyle w:val="IndexLink"/>
                <w:vanish w:val="false"/>
                <w:lang w:val="da-DK"/>
              </w:rPr>
              <w:tab/>
              <w:t>3</w:t>
            </w:r>
            <w:r>
              <w:rPr>
                <w:webHidden/>
              </w:rPr>
              <w:fldChar w:fldCharType="end"/>
            </w:r>
          </w:hyperlink>
        </w:p>
        <w:p>
          <w:pPr>
            <w:pStyle w:val="TOC3"/>
            <w:tabs>
              <w:tab w:val="clear" w:pos="1304"/>
              <w:tab w:val="left" w:pos="1200" w:leader="none"/>
              <w:tab w:val="right" w:pos="9628" w:leader="dot"/>
            </w:tabs>
            <w:rPr/>
          </w:pPr>
          <w:hyperlink w:anchor="_Toc212110576">
            <w:r>
              <w:rPr>
                <w:webHidden/>
                <w:rStyle w:val="IndexLink"/>
                <w:lang w:val="da-DK"/>
              </w:rPr>
              <w:t>2.2.1</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SofdSettings</w:t>
            </w:r>
            <w:r>
              <w:rPr>
                <w:webHidden/>
              </w:rPr>
              <w:fldChar w:fldCharType="begin"/>
            </w:r>
            <w:r>
              <w:rPr>
                <w:webHidden/>
              </w:rPr>
              <w:instrText xml:space="preserve">PAGEREF _Toc212110576 \h</w:instrText>
            </w:r>
            <w:r>
              <w:rPr>
                <w:webHidden/>
              </w:rPr>
              <w:fldChar w:fldCharType="separate"/>
            </w:r>
            <w:r>
              <w:rPr>
                <w:rStyle w:val="IndexLink"/>
                <w:vanish w:val="false"/>
                <w:lang w:val="da-DK"/>
              </w:rPr>
              <w:tab/>
              <w:t>3</w:t>
            </w:r>
            <w:r>
              <w:rPr>
                <w:webHidden/>
              </w:rPr>
              <w:fldChar w:fldCharType="end"/>
            </w:r>
          </w:hyperlink>
        </w:p>
        <w:p>
          <w:pPr>
            <w:pStyle w:val="TOC3"/>
            <w:tabs>
              <w:tab w:val="clear" w:pos="1304"/>
              <w:tab w:val="left" w:pos="1200" w:leader="none"/>
              <w:tab w:val="right" w:pos="9628" w:leader="dot"/>
            </w:tabs>
            <w:rPr/>
          </w:pPr>
          <w:hyperlink w:anchor="_Toc212110577">
            <w:r>
              <w:rPr>
                <w:webHidden/>
                <w:rStyle w:val="IndexLink"/>
                <w:lang w:val="da-DK"/>
              </w:rPr>
              <w:t>2.2.2</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PAMSettings</w:t>
            </w:r>
            <w:r>
              <w:rPr>
                <w:webHidden/>
              </w:rPr>
              <w:fldChar w:fldCharType="begin"/>
            </w:r>
            <w:r>
              <w:rPr>
                <w:webHidden/>
              </w:rPr>
              <w:instrText xml:space="preserve">PAGEREF _Toc212110577 \h</w:instrText>
            </w:r>
            <w:r>
              <w:rPr>
                <w:webHidden/>
              </w:rPr>
              <w:fldChar w:fldCharType="separate"/>
            </w:r>
            <w:r>
              <w:rPr>
                <w:rStyle w:val="IndexLink"/>
                <w:vanish w:val="false"/>
                <w:lang w:val="da-DK"/>
              </w:rPr>
              <w:tab/>
              <w:t>4</w:t>
            </w:r>
            <w:r>
              <w:rPr>
                <w:webHidden/>
              </w:rPr>
              <w:fldChar w:fldCharType="end"/>
            </w:r>
          </w:hyperlink>
        </w:p>
        <w:p>
          <w:pPr>
            <w:pStyle w:val="TOC3"/>
            <w:tabs>
              <w:tab w:val="clear" w:pos="1304"/>
              <w:tab w:val="left" w:pos="1200" w:leader="none"/>
              <w:tab w:val="right" w:pos="9628" w:leader="dot"/>
            </w:tabs>
            <w:rPr/>
          </w:pPr>
          <w:hyperlink w:anchor="_Toc212110578">
            <w:r>
              <w:rPr>
                <w:webHidden/>
                <w:rStyle w:val="IndexLink"/>
                <w:lang w:val="da-DK"/>
              </w:rPr>
              <w:t>2.2.3</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ActiveDirectorySettings</w:t>
            </w:r>
            <w:r>
              <w:rPr>
                <w:webHidden/>
              </w:rPr>
              <w:fldChar w:fldCharType="begin"/>
            </w:r>
            <w:r>
              <w:rPr>
                <w:webHidden/>
              </w:rPr>
              <w:instrText xml:space="preserve">PAGEREF _Toc212110578 \h</w:instrText>
            </w:r>
            <w:r>
              <w:rPr>
                <w:webHidden/>
              </w:rPr>
              <w:fldChar w:fldCharType="separate"/>
            </w:r>
            <w:r>
              <w:rPr>
                <w:rStyle w:val="IndexLink"/>
                <w:vanish w:val="false"/>
                <w:lang w:val="da-DK"/>
              </w:rPr>
              <w:tab/>
              <w:t>4</w:t>
            </w:r>
            <w:r>
              <w:rPr>
                <w:webHidden/>
              </w:rPr>
              <w:fldChar w:fldCharType="end"/>
            </w:r>
          </w:hyperlink>
        </w:p>
        <w:p>
          <w:pPr>
            <w:pStyle w:val="TOC3"/>
            <w:tabs>
              <w:tab w:val="clear" w:pos="1304"/>
              <w:tab w:val="left" w:pos="1200" w:leader="none"/>
              <w:tab w:val="right" w:pos="9628" w:leader="dot"/>
            </w:tabs>
            <w:rPr/>
          </w:pPr>
          <w:hyperlink w:anchor="_Toc212110579">
            <w:r>
              <w:rPr>
                <w:webHidden/>
                <w:rStyle w:val="IndexLink"/>
                <w:lang w:val="da-DK"/>
              </w:rPr>
              <w:t>2.2.4</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GroupSettings</w:t>
            </w:r>
            <w:r>
              <w:rPr>
                <w:webHidden/>
              </w:rPr>
              <w:fldChar w:fldCharType="begin"/>
            </w:r>
            <w:r>
              <w:rPr>
                <w:webHidden/>
              </w:rPr>
              <w:instrText xml:space="preserve">PAGEREF _Toc212110579 \h</w:instrText>
            </w:r>
            <w:r>
              <w:rPr>
                <w:webHidden/>
              </w:rPr>
              <w:fldChar w:fldCharType="separate"/>
            </w:r>
            <w:r>
              <w:rPr>
                <w:rStyle w:val="IndexLink"/>
                <w:vanish w:val="false"/>
                <w:lang w:val="da-DK"/>
              </w:rPr>
              <w:tab/>
              <w:t>5</w:t>
            </w:r>
            <w:r>
              <w:rPr>
                <w:webHidden/>
              </w:rPr>
              <w:fldChar w:fldCharType="end"/>
            </w:r>
          </w:hyperlink>
        </w:p>
        <w:p>
          <w:pPr>
            <w:pStyle w:val="TOC2"/>
            <w:tabs>
              <w:tab w:val="clear" w:pos="1304"/>
              <w:tab w:val="left" w:pos="960" w:leader="none"/>
              <w:tab w:val="right" w:pos="9628" w:leader="dot"/>
            </w:tabs>
            <w:rPr/>
          </w:pPr>
          <w:hyperlink w:anchor="_Toc212110580">
            <w:r>
              <w:rPr>
                <w:webHidden/>
                <w:rStyle w:val="IndexLink"/>
                <w:lang w:val="da-DK"/>
              </w:rPr>
              <w:t>2.3</w:t>
            </w:r>
            <w:r>
              <w:rPr>
                <w:rStyle w:val="IndexLink"/>
                <w:rFonts w:eastAsia="" w:ascii="Calibri" w:hAnsi="Calibri" w:asciiTheme="minorHAnsi" w:eastAsiaTheme="minorEastAsia" w:hAnsiTheme="minorHAnsi"/>
                <w:kern w:val="2"/>
                <w:sz w:val="24"/>
                <w:szCs w:val="24"/>
                <w:lang w:val="da-DK" w:eastAsia="en-DK"/>
                <w14:ligatures w14:val="standardContextual"/>
              </w:rPr>
              <w:tab/>
            </w:r>
            <w:r>
              <w:rPr>
                <w:rStyle w:val="IndexLink"/>
                <w:lang w:val="da-DK"/>
              </w:rPr>
              <w:t>Start af service</w:t>
            </w:r>
            <w:r>
              <w:rPr>
                <w:webHidden/>
              </w:rPr>
              <w:fldChar w:fldCharType="begin"/>
            </w:r>
            <w:r>
              <w:rPr>
                <w:webHidden/>
              </w:rPr>
              <w:instrText xml:space="preserve">PAGEREF _Toc212110580 \h</w:instrText>
            </w:r>
            <w:r>
              <w:rPr>
                <w:webHidden/>
              </w:rPr>
              <w:fldChar w:fldCharType="separate"/>
            </w:r>
            <w:r>
              <w:rPr>
                <w:rStyle w:val="IndexLink"/>
                <w:vanish w:val="false"/>
                <w:lang w:val="da-DK"/>
              </w:rPr>
              <w:tab/>
              <w:t>7</w:t>
            </w:r>
            <w:r>
              <w:rPr>
                <w:webHidden/>
              </w:rPr>
              <w:fldChar w:fldCharType="end"/>
            </w:r>
          </w:hyperlink>
        </w:p>
        <w:p>
          <w:pPr>
            <w:pStyle w:val="Normal"/>
            <w:rPr>
              <w:lang w:val="da-DK"/>
            </w:rPr>
          </w:pPr>
          <w:r>
            <w:rPr>
              <w:lang w:val="da-DK"/>
            </w:rPr>
          </w:r>
          <w:r>
            <w:rPr>
              <w:lang w:val="da-DK"/>
            </w:rPr>
            <w:fldChar w:fldCharType="end"/>
          </w:r>
        </w:p>
      </w:sdtContent>
    </w:sdt>
    <w:p>
      <w:pPr>
        <w:pStyle w:val="Normal"/>
        <w:rPr>
          <w:lang w:val="da-DK"/>
        </w:rPr>
      </w:pPr>
      <w:r>
        <w:rPr>
          <w:lang w:val="da-DK"/>
        </w:rPr>
      </w:r>
      <w:r>
        <w:br w:type="page"/>
      </w:r>
    </w:p>
    <w:p>
      <w:pPr>
        <w:pStyle w:val="Heading1"/>
        <w:spacing w:before="0" w:after="120"/>
        <w:ind w:hanging="567" w:left="567"/>
        <w:rPr>
          <w:lang w:val="da-DK"/>
        </w:rPr>
      </w:pPr>
      <w:bookmarkStart w:id="0" w:name="_Toc212110568"/>
      <w:r>
        <w:rPr>
          <w:lang w:val="da-DK"/>
        </w:rPr>
        <w:t>Indledning</w:t>
      </w:r>
      <w:bookmarkEnd w:id="0"/>
    </w:p>
    <w:p>
      <w:pPr>
        <w:pStyle w:val="Normal"/>
        <w:rPr>
          <w:lang w:val="da-DK"/>
        </w:rPr>
      </w:pPr>
      <w:r>
        <w:rPr>
          <w:lang w:val="da-DK"/>
        </w:rPr>
        <w:t>Dette dokument er rettet mod teknikere der skal opsætte og konfigurere kommunens integration fra OS2sofd til Active Directory, så OU struktur og brugeres indplacering holdes ajour på baggrund af stamdata fra OS2sofd.</w:t>
      </w:r>
    </w:p>
    <w:p>
      <w:pPr>
        <w:pStyle w:val="Heading2"/>
        <w:ind w:hanging="862" w:left="851"/>
        <w:rPr>
          <w:lang w:val="da-DK"/>
        </w:rPr>
      </w:pPr>
      <w:bookmarkStart w:id="1" w:name="_Toc212110569"/>
      <w:r>
        <w:rPr>
          <w:lang w:val="da-DK"/>
        </w:rPr>
        <w:t>Forudsætninger</w:t>
      </w:r>
      <w:bookmarkEnd w:id="1"/>
    </w:p>
    <w:p>
      <w:pPr>
        <w:pStyle w:val="Heading3"/>
        <w:ind w:hanging="851" w:left="851"/>
        <w:rPr>
          <w:lang w:val="da-DK"/>
        </w:rPr>
      </w:pPr>
      <w:bookmarkStart w:id="2" w:name="_Toc212110570"/>
      <w:r>
        <w:rPr>
          <w:lang w:val="da-DK"/>
        </w:rPr>
        <w:t>Windows Server</w:t>
      </w:r>
      <w:bookmarkEnd w:id="2"/>
    </w:p>
    <w:p>
      <w:pPr>
        <w:pStyle w:val="Normal"/>
        <w:rPr>
          <w:lang w:val="da-DK"/>
        </w:rPr>
      </w:pPr>
      <w:r>
        <w:rPr>
          <w:lang w:val="da-DK"/>
        </w:rPr>
        <w:t>Servicen skal installeres på en Windows maskine med:</w:t>
      </w:r>
    </w:p>
    <w:p>
      <w:pPr>
        <w:pStyle w:val="ListParagraph"/>
        <w:numPr>
          <w:ilvl w:val="0"/>
          <w:numId w:val="2"/>
        </w:numPr>
        <w:rPr>
          <w:lang w:val="da-DK"/>
        </w:rPr>
      </w:pPr>
      <w:r>
        <w:rPr>
          <w:lang w:val="da-DK"/>
        </w:rPr>
        <w:t>Netværksmæssig adgang til kommunens AD</w:t>
      </w:r>
    </w:p>
    <w:p>
      <w:pPr>
        <w:pStyle w:val="ListParagraph"/>
        <w:numPr>
          <w:ilvl w:val="0"/>
          <w:numId w:val="2"/>
        </w:numPr>
        <w:rPr>
          <w:lang w:val="da-DK"/>
        </w:rPr>
      </w:pPr>
      <w:r>
        <w:rPr>
          <w:lang w:val="da-DK"/>
        </w:rPr>
        <w:t>Netværksmæssig adgang til SOFD Core via HTTPS</w:t>
      </w:r>
    </w:p>
    <w:p>
      <w:pPr>
        <w:pStyle w:val="Heading3"/>
        <w:ind w:hanging="851" w:left="851"/>
        <w:rPr>
          <w:lang w:val="da-DK"/>
        </w:rPr>
      </w:pPr>
      <w:bookmarkStart w:id="3" w:name="_Toc212110571"/>
      <w:r>
        <w:rPr>
          <w:lang w:val="da-DK"/>
        </w:rPr>
        <w:t>Service konto i AD</w:t>
      </w:r>
      <w:bookmarkEnd w:id="3"/>
    </w:p>
    <w:p>
      <w:pPr>
        <w:pStyle w:val="Normal"/>
        <w:rPr>
          <w:lang w:val="da-DK"/>
        </w:rPr>
      </w:pPr>
      <w:r>
        <w:rPr>
          <w:lang w:val="da-DK"/>
        </w:rPr>
        <w:t>Der skal oprettes en servicekonto, som har lov til at</w:t>
      </w:r>
    </w:p>
    <w:p>
      <w:pPr>
        <w:pStyle w:val="ListParagraph"/>
        <w:numPr>
          <w:ilvl w:val="0"/>
          <w:numId w:val="2"/>
        </w:numPr>
        <w:rPr>
          <w:lang w:val="da-DK"/>
        </w:rPr>
      </w:pPr>
      <w:r>
        <w:rPr>
          <w:lang w:val="da-DK"/>
        </w:rPr>
        <w:t>Oprette og redigere OU’ere</w:t>
      </w:r>
    </w:p>
    <w:p>
      <w:pPr>
        <w:pStyle w:val="ListParagraph"/>
        <w:numPr>
          <w:ilvl w:val="0"/>
          <w:numId w:val="2"/>
        </w:numPr>
        <w:rPr>
          <w:lang w:val="da-DK"/>
        </w:rPr>
      </w:pPr>
      <w:r>
        <w:rPr>
          <w:lang w:val="da-DK"/>
        </w:rPr>
        <w:t>Flytte brugere</w:t>
      </w:r>
    </w:p>
    <w:p>
      <w:pPr>
        <w:pStyle w:val="ListParagraph"/>
        <w:numPr>
          <w:ilvl w:val="0"/>
          <w:numId w:val="2"/>
        </w:numPr>
        <w:rPr>
          <w:lang w:val="da-DK"/>
        </w:rPr>
      </w:pPr>
      <w:r>
        <w:rPr>
          <w:lang w:val="da-DK"/>
        </w:rPr>
        <w:t>Oprette og vedligeholde sikkerhedsgrupper</w:t>
      </w:r>
    </w:p>
    <w:p>
      <w:pPr>
        <w:pStyle w:val="Heading3"/>
        <w:ind w:hanging="851" w:left="851"/>
        <w:rPr>
          <w:lang w:val="da-DK"/>
        </w:rPr>
      </w:pPr>
      <w:bookmarkStart w:id="4" w:name="_Toc212110572"/>
      <w:r>
        <w:rPr>
          <w:lang w:val="da-DK"/>
        </w:rPr>
        <w:t>API bruger til SOFD Core backend</w:t>
      </w:r>
      <w:bookmarkEnd w:id="4"/>
    </w:p>
    <w:p>
      <w:pPr>
        <w:pStyle w:val="Normal"/>
        <w:rPr>
          <w:lang w:val="da-DK"/>
        </w:rPr>
      </w:pPr>
      <w:r>
        <w:rPr>
          <w:lang w:val="da-DK"/>
        </w:rPr>
        <w:t>Der skal i konfigurationen tilføjes en API nøgle til OS2sofd. Denne oprettes via OS2sofds administrative brugergrænseflade. Integrationen skal have læseadgang til OS2sofd.</w:t>
      </w:r>
    </w:p>
    <w:p>
      <w:pPr>
        <w:pStyle w:val="Heading1"/>
        <w:ind w:hanging="567" w:left="567"/>
        <w:rPr>
          <w:lang w:val="da-DK"/>
        </w:rPr>
      </w:pPr>
      <w:bookmarkStart w:id="5" w:name="_Toc212110573"/>
      <w:r>
        <w:rPr>
          <w:lang w:val="da-DK"/>
        </w:rPr>
        <w:t>Konfiguration</w:t>
      </w:r>
      <w:bookmarkEnd w:id="5"/>
    </w:p>
    <w:p>
      <w:pPr>
        <w:pStyle w:val="Normal"/>
        <w:rPr>
          <w:lang w:val="da-DK"/>
        </w:rPr>
      </w:pPr>
      <w:r>
        <w:rPr>
          <w:lang w:val="da-DK"/>
        </w:rPr>
        <w:t>Start med at installere servicen, og dernæst opsæt konfigurationen. Endeligt kan der knyttes en servicekonto til servicen og servicen kan startes.</w:t>
      </w:r>
    </w:p>
    <w:p>
      <w:pPr>
        <w:pStyle w:val="Heading2"/>
        <w:ind w:hanging="862" w:left="851"/>
        <w:rPr>
          <w:lang w:val="da-DK"/>
        </w:rPr>
      </w:pPr>
      <w:bookmarkStart w:id="6" w:name="_Toc212110574"/>
      <w:r>
        <w:rPr>
          <w:lang w:val="da-DK"/>
        </w:rPr>
        <w:t>Download service</w:t>
      </w:r>
      <w:bookmarkEnd w:id="6"/>
    </w:p>
    <w:p>
      <w:pPr>
        <w:pStyle w:val="Normal"/>
        <w:rPr/>
      </w:pPr>
      <w:r>
        <w:rPr>
          <w:lang w:val="da-DK"/>
        </w:rPr>
        <w:t xml:space="preserve">Download og installér servicen fra </w:t>
      </w:r>
      <w:r>
        <w:rPr>
          <w:rStyle w:val="Hyperlink"/>
          <w:lang w:val="da-DK"/>
        </w:rPr>
        <w:t>https://www.sofd.io/download.html</w:t>
      </w:r>
    </w:p>
    <w:p>
      <w:pPr>
        <w:pStyle w:val="Heading2"/>
        <w:ind w:hanging="862" w:left="851"/>
        <w:rPr>
          <w:lang w:val="da-DK"/>
        </w:rPr>
      </w:pPr>
      <w:bookmarkStart w:id="7" w:name="_Toc212110575"/>
      <w:r>
        <w:rPr>
          <w:lang w:val="da-DK"/>
        </w:rPr>
        <w:t>Konfiguration af service</w:t>
      </w:r>
      <w:bookmarkEnd w:id="7"/>
    </w:p>
    <w:p>
      <w:pPr>
        <w:pStyle w:val="Normal"/>
        <w:rPr>
          <w:lang w:val="da-DK"/>
        </w:rPr>
      </w:pPr>
      <w:r>
        <w:rPr>
          <w:lang w:val="da-DK"/>
        </w:rPr>
        <w:t>Konfiguration af servicen foretages i filen appsettings.json</w:t>
      </w:r>
    </w:p>
    <w:p>
      <w:pPr>
        <w:pStyle w:val="Heading3"/>
        <w:ind w:hanging="851" w:left="851"/>
        <w:rPr>
          <w:lang w:val="da-DK"/>
        </w:rPr>
      </w:pPr>
      <w:bookmarkStart w:id="8" w:name="_Toc212110576"/>
      <w:r>
        <w:rPr>
          <w:lang w:val="da-DK"/>
        </w:rPr>
        <w:t>SofdSettings</w:t>
      </w:r>
      <w:bookmarkEnd w:id="8"/>
    </w:p>
    <w:tbl>
      <w:tblPr>
        <w:tblStyle w:val="GridTable1Light-Accent1"/>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3"/>
        <w:gridCol w:w="2836"/>
        <w:gridCol w:w="3679"/>
      </w:tblGrid>
      <w:tr>
        <w:trPr>
          <w:cnfStyle w:val="100000000000" w:firstRow="1" w:lastRow="0" w:firstColumn="0" w:lastColumn="0" w:oddVBand="0" w:evenVBand="0" w:oddHBand="0" w:evenHBand="0" w:firstRowFirstColumn="0" w:firstRowLastColumn="0" w:lastRowFirstColumn="0" w:lastRowLastColumn="0"/>
        </w:trPr>
        <w:tc>
          <w:tcPr>
            <w:tcW w:w="3113" w:type="dxa"/>
            <w:cnfStyle w:val="001000000000" w:firstRow="0" w:lastRow="0" w:firstColumn="1" w:lastColumn="0" w:oddVBand="0" w:evenVBand="0" w:oddHBand="0" w:evenHBand="0" w:firstRowFirstColumn="0" w:firstRowLastColumn="0" w:lastRowFirstColumn="0" w:lastRowLastColumn="0"/>
            <w:tcBorders>
              <w:bottom w:val="single" w:sz="12" w:space="0" w:color="9CC2E5"/>
            </w:tcBorders>
          </w:tcPr>
          <w:p>
            <w:pPr>
              <w:pStyle w:val="Normal"/>
              <w:widowControl/>
              <w:spacing w:lineRule="auto" w:line="240" w:before="0" w:after="0"/>
              <w:jc w:val="left"/>
              <w:rPr>
                <w:rFonts w:eastAsia="Calibri" w:cs=""/>
                <w:b/>
                <w:bCs/>
                <w:kern w:val="0"/>
                <w:lang w:val="da-DK" w:eastAsia="en-US" w:bidi="ar-SA"/>
              </w:rPr>
            </w:pPr>
            <w:r>
              <w:rPr>
                <w:rFonts w:eastAsia="Calibri" w:cs=""/>
                <w:b/>
                <w:bCs/>
                <w:kern w:val="0"/>
                <w:lang w:val="da-DK" w:eastAsia="en-US" w:bidi="ar-SA"/>
              </w:rPr>
              <w:t>Indstilling</w:t>
            </w:r>
          </w:p>
        </w:tc>
        <w:tc>
          <w:tcPr>
            <w:tcW w:w="2836" w:type="dxa"/>
            <w:tcBorders>
              <w:bottom w:val="single" w:sz="12" w:space="0" w:color="9CC2E5"/>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Eksempel</w:t>
            </w:r>
          </w:p>
        </w:tc>
        <w:tc>
          <w:tcPr>
            <w:tcW w:w="3679" w:type="dxa"/>
            <w:tcBorders>
              <w:bottom w:val="single" w:sz="12" w:space="0" w:color="9CC2E5"/>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Kommentar</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BaseUrl</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https://kommune.sofd.io</w:t>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URL til SOFD installationen</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ApiKey</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xxx</w:t>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Nøgle til API’et</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OrgUnitPageSize</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2000</w:t>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Max antal enheder der læses ud (sæt til en værdi højere end det samlede antal enheder i OS2sofd)</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ExcludeFromSyncTagName</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Navnet på det (optionelle) Tag der kan sættes på enheder i OS2sofd, som gør at enheden ikke replikeres til AD</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PersonsPageSize</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1000</w:t>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Antal gange der max læses brugere – de to settings til sammen skal være højere end antallet af brugere i OS2sofd</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SOFDToADOrgUnitMap</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Cascadia Mono" w:ascii="Cascadia Mono" w:hAnsi="Cascadia Mono"/>
                <w:color w:val="000000"/>
                <w:kern w:val="0"/>
                <w:sz w:val="19"/>
                <w:szCs w:val="19"/>
                <w:lang w:val="da-DK" w:eastAsia="en-US" w:bidi="ar-SA"/>
              </w:rPr>
              <w:t xml:space="preserve">    </w:t>
            </w:r>
            <w:r>
              <w:rPr>
                <w:rFonts w:eastAsia="Calibri" w:cs="Cascadia Mono" w:ascii="Cascadia Mono" w:hAnsi="Cascadia Mono"/>
                <w:color w:val="2E75B6"/>
                <w:kern w:val="0"/>
                <w:sz w:val="19"/>
                <w:szCs w:val="19"/>
                <w:lang w:val="da-DK" w:eastAsia="en-US" w:bidi="ar-SA"/>
              </w:rPr>
              <w:t>"SOFDToADOrgUnitMap"</w:t>
            </w:r>
            <w:r>
              <w:rPr>
                <w:rFonts w:eastAsia="Calibri" w:cs="Cascadia Mono" w:ascii="Cascadia Mono" w:hAnsi="Cascadia Mono"/>
                <w:color w:val="000000"/>
                <w:kern w:val="0"/>
                <w:sz w:val="19"/>
                <w:szCs w:val="19"/>
                <w:lang w:val="da-DK" w:eastAsia="en-US" w:bidi="ar-SA"/>
              </w:rPr>
              <w:t>: {</w:t>
            </w:r>
          </w:p>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Cascadia Mono" w:ascii="Cascadia Mono" w:hAnsi="Cascadia Mono"/>
                <w:color w:val="000000"/>
                <w:kern w:val="0"/>
                <w:sz w:val="19"/>
                <w:szCs w:val="19"/>
                <w:lang w:val="da-DK" w:eastAsia="en-US" w:bidi="ar-SA"/>
              </w:rPr>
              <w:t xml:space="preserve">      </w:t>
            </w:r>
            <w:r>
              <w:rPr>
                <w:rFonts w:eastAsia="Calibri" w:cs="Cascadia Mono" w:ascii="Cascadia Mono" w:hAnsi="Cascadia Mono"/>
                <w:color w:val="2E75B6"/>
                <w:kern w:val="0"/>
                <w:sz w:val="19"/>
                <w:szCs w:val="19"/>
                <w:lang w:val="da-DK" w:eastAsia="en-US" w:bidi="ar-SA"/>
              </w:rPr>
              <w:t>"sofd_uuid_1"</w:t>
            </w:r>
            <w:r>
              <w:rPr>
                <w:rFonts w:eastAsia="Calibri" w:cs="Cascadia Mono" w:ascii="Cascadia Mono" w:hAnsi="Cascadia Mono"/>
                <w:color w:val="000000"/>
                <w:kern w:val="0"/>
                <w:sz w:val="19"/>
                <w:szCs w:val="19"/>
                <w:lang w:val="da-DK" w:eastAsia="en-US" w:bidi="ar-SA"/>
              </w:rPr>
              <w:t xml:space="preserve">: </w:t>
            </w:r>
            <w:r>
              <w:rPr>
                <w:rFonts w:eastAsia="Calibri" w:cs="Cascadia Mono" w:ascii="Cascadia Mono" w:hAnsi="Cascadia Mono"/>
                <w:color w:val="A31515"/>
                <w:kern w:val="0"/>
                <w:sz w:val="19"/>
                <w:szCs w:val="19"/>
                <w:lang w:val="da-DK" w:eastAsia="en-US" w:bidi="ar-SA"/>
              </w:rPr>
              <w:t>"ad_dn_1"</w:t>
            </w:r>
            <w:r>
              <w:rPr>
                <w:rFonts w:eastAsia="Calibri" w:cs="Cascadia Mono" w:ascii="Cascadia Mono" w:hAnsi="Cascadia Mono"/>
                <w:color w:val="000000"/>
                <w:kern w:val="0"/>
                <w:sz w:val="19"/>
                <w:szCs w:val="19"/>
                <w:lang w:val="da-DK" w:eastAsia="en-US" w:bidi="ar-SA"/>
              </w:rPr>
              <w:t>,</w:t>
            </w:r>
          </w:p>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Cascadia Mono" w:ascii="Cascadia Mono" w:hAnsi="Cascadia Mono"/>
                <w:color w:val="000000"/>
                <w:kern w:val="0"/>
                <w:sz w:val="19"/>
                <w:szCs w:val="19"/>
                <w:lang w:val="da-DK" w:eastAsia="en-US" w:bidi="ar-SA"/>
              </w:rPr>
              <w:t xml:space="preserve">      </w:t>
            </w:r>
            <w:r>
              <w:rPr>
                <w:rFonts w:eastAsia="Calibri" w:cs="Cascadia Mono" w:ascii="Cascadia Mono" w:hAnsi="Cascadia Mono"/>
                <w:color w:val="2E75B6"/>
                <w:kern w:val="0"/>
                <w:sz w:val="19"/>
                <w:szCs w:val="19"/>
                <w:lang w:val="da-DK" w:eastAsia="en-US" w:bidi="ar-SA"/>
              </w:rPr>
              <w:t>"sofd_uuid_2"</w:t>
            </w:r>
            <w:r>
              <w:rPr>
                <w:rFonts w:eastAsia="Calibri" w:cs="Cascadia Mono" w:ascii="Cascadia Mono" w:hAnsi="Cascadia Mono"/>
                <w:color w:val="000000"/>
                <w:kern w:val="0"/>
                <w:sz w:val="19"/>
                <w:szCs w:val="19"/>
                <w:lang w:val="da-DK" w:eastAsia="en-US" w:bidi="ar-SA"/>
              </w:rPr>
              <w:t xml:space="preserve">: </w:t>
            </w:r>
            <w:r>
              <w:rPr>
                <w:rFonts w:eastAsia="Calibri" w:cs="Cascadia Mono" w:ascii="Cascadia Mono" w:hAnsi="Cascadia Mono"/>
                <w:color w:val="A31515"/>
                <w:kern w:val="0"/>
                <w:sz w:val="19"/>
                <w:szCs w:val="19"/>
                <w:lang w:val="da-DK" w:eastAsia="en-US" w:bidi="ar-SA"/>
              </w:rPr>
              <w:t>"ad_dn_2"</w:t>
            </w:r>
          </w:p>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Cascadia Mono" w:ascii="Cascadia Mono" w:hAnsi="Cascadia Mono"/>
                <w:color w:val="000000"/>
                <w:kern w:val="0"/>
                <w:sz w:val="19"/>
                <w:szCs w:val="19"/>
                <w:lang w:val="da-DK" w:eastAsia="en-US" w:bidi="ar-SA"/>
              </w:rPr>
              <w:t xml:space="preserve">    </w:t>
            </w:r>
            <w:r>
              <w:rPr>
                <w:rFonts w:eastAsia="Calibri" w:cs="Cascadia Mono" w:ascii="Cascadia Mono" w:hAnsi="Cascadia Mono"/>
                <w:color w:val="000000"/>
                <w:kern w:val="0"/>
                <w:sz w:val="19"/>
                <w:szCs w:val="19"/>
                <w:lang w:val="da-DK" w:eastAsia="en-US" w:bidi="ar-SA"/>
              </w:rPr>
              <w:t>}</w:t>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Mapning mellem OS2sofd UUIDer og AD OUer (distinguishedName). Der skal minimum angives én mapning her (typisk fra rod-enhed i OS2sofd til en OU i OS2sofd), men det er muligt at splitte op i flere mapninger sådan at organisationen i OS2sofd sendes til forskellige steder i AD.</w:t>
            </w:r>
          </w:p>
        </w:tc>
      </w:tr>
    </w:tbl>
    <w:p>
      <w:pPr>
        <w:pStyle w:val="Normal"/>
        <w:rPr>
          <w:lang w:val="da-DK"/>
        </w:rPr>
      </w:pPr>
      <w:r>
        <w:rPr>
          <w:lang w:val="da-DK"/>
        </w:rPr>
      </w:r>
    </w:p>
    <w:p>
      <w:pPr>
        <w:pStyle w:val="Heading3"/>
        <w:ind w:hanging="851" w:left="851"/>
        <w:rPr>
          <w:lang w:val="da-DK"/>
        </w:rPr>
      </w:pPr>
      <w:bookmarkStart w:id="9" w:name="_Toc212110577"/>
      <w:r>
        <w:rPr>
          <w:lang w:val="da-DK"/>
        </w:rPr>
        <w:t>PAMSettings</w:t>
      </w:r>
      <w:bookmarkEnd w:id="9"/>
    </w:p>
    <w:tbl>
      <w:tblPr>
        <w:tblStyle w:val="GridTable1Light-Accent1"/>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3"/>
        <w:gridCol w:w="2836"/>
        <w:gridCol w:w="3679"/>
      </w:tblGrid>
      <w:tr>
        <w:trPr>
          <w:cnfStyle w:val="100000000000" w:firstRow="1" w:lastRow="0" w:firstColumn="0" w:lastColumn="0" w:oddVBand="0" w:evenVBand="0" w:oddHBand="0" w:evenHBand="0" w:firstRowFirstColumn="0" w:firstRowLastColumn="0" w:lastRowFirstColumn="0" w:lastRowLastColumn="0"/>
        </w:trPr>
        <w:tc>
          <w:tcPr>
            <w:tcW w:w="3113" w:type="dxa"/>
            <w:cnfStyle w:val="001000000000" w:firstRow="0" w:lastRow="0" w:firstColumn="1" w:lastColumn="0" w:oddVBand="0" w:evenVBand="0" w:oddHBand="0" w:evenHBand="0" w:firstRowFirstColumn="0" w:firstRowLastColumn="0" w:lastRowFirstColumn="0" w:lastRowLastColumn="0"/>
            <w:tcBorders>
              <w:bottom w:val="single" w:sz="12" w:space="0" w:color="9CC2E5"/>
            </w:tcBorders>
          </w:tcPr>
          <w:p>
            <w:pPr>
              <w:pStyle w:val="Normal"/>
              <w:widowControl/>
              <w:spacing w:lineRule="auto" w:line="240" w:before="0" w:after="0"/>
              <w:jc w:val="left"/>
              <w:rPr>
                <w:rFonts w:eastAsia="Calibri" w:cs=""/>
                <w:b/>
                <w:bCs/>
                <w:kern w:val="0"/>
                <w:lang w:val="da-DK" w:eastAsia="en-US" w:bidi="ar-SA"/>
              </w:rPr>
            </w:pPr>
            <w:r>
              <w:rPr>
                <w:rFonts w:eastAsia="Calibri" w:cs=""/>
                <w:b/>
                <w:bCs/>
                <w:kern w:val="0"/>
                <w:lang w:val="da-DK" w:eastAsia="en-US" w:bidi="ar-SA"/>
              </w:rPr>
              <w:t>Indstilling</w:t>
            </w:r>
          </w:p>
        </w:tc>
        <w:tc>
          <w:tcPr>
            <w:tcW w:w="2836" w:type="dxa"/>
            <w:tcBorders>
              <w:bottom w:val="single" w:sz="12" w:space="0" w:color="9CC2E5"/>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Eksempel</w:t>
            </w:r>
          </w:p>
        </w:tc>
        <w:tc>
          <w:tcPr>
            <w:tcW w:w="3679" w:type="dxa"/>
            <w:tcBorders>
              <w:bottom w:val="single" w:sz="12" w:space="0" w:color="9CC2E5"/>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Kommentar</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Enabled</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Angiver om PAM er slået til</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CyberArkAppId</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AppId til CyberArk api-kald</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CyberArkSafe</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Safe til CyberArk api-kald</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CyberArkObject</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Object til CyberArk api-kald</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CyberArkAPI</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Base url til CyberArk api</w:t>
            </w:r>
          </w:p>
        </w:tc>
      </w:tr>
    </w:tbl>
    <w:p>
      <w:pPr>
        <w:pStyle w:val="Normal"/>
        <w:rPr>
          <w:lang w:val="da-DK"/>
        </w:rPr>
      </w:pPr>
      <w:r>
        <w:rPr>
          <w:lang w:val="da-DK"/>
        </w:rPr>
      </w:r>
    </w:p>
    <w:p>
      <w:pPr>
        <w:pStyle w:val="Heading3"/>
        <w:ind w:hanging="851" w:left="851"/>
        <w:rPr>
          <w:lang w:val="da-DK"/>
        </w:rPr>
      </w:pPr>
      <w:bookmarkStart w:id="10" w:name="_Toc212110578"/>
      <w:r>
        <w:rPr>
          <w:lang w:val="da-DK"/>
        </w:rPr>
        <w:t>ActiveDirectorySettings</w:t>
      </w:r>
      <w:bookmarkEnd w:id="10"/>
    </w:p>
    <w:tbl>
      <w:tblPr>
        <w:tblStyle w:val="GridTable1Light-Accent1"/>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56"/>
        <w:gridCol w:w="3117"/>
        <w:gridCol w:w="3255"/>
      </w:tblGrid>
      <w:tr>
        <w:trPr>
          <w:cnfStyle w:val="100000000000" w:firstRow="1" w:lastRow="0" w:firstColumn="0" w:lastColumn="0" w:oddVBand="0" w:evenVBand="0" w:oddHBand="0" w:evenHBand="0" w:firstRowFirstColumn="0" w:firstRowLastColumn="0" w:lastRowFirstColumn="0" w:lastRowLastColumn="0"/>
        </w:trPr>
        <w:tc>
          <w:tcPr>
            <w:tcW w:w="3256" w:type="dxa"/>
            <w:cnfStyle w:val="001000000000" w:firstRow="0" w:lastRow="0" w:firstColumn="1" w:lastColumn="0" w:oddVBand="0" w:evenVBand="0" w:oddHBand="0" w:evenHBand="0" w:firstRowFirstColumn="0" w:firstRowLastColumn="0" w:lastRowFirstColumn="0" w:lastRowLastColumn="0"/>
            <w:tcBorders>
              <w:bottom w:val="single" w:sz="12" w:space="0" w:color="9CC2E5"/>
            </w:tcBorders>
          </w:tcPr>
          <w:p>
            <w:pPr>
              <w:pStyle w:val="Normal"/>
              <w:widowControl/>
              <w:spacing w:lineRule="auto" w:line="240" w:before="0" w:after="0"/>
              <w:jc w:val="left"/>
              <w:rPr>
                <w:rFonts w:eastAsia="Calibri" w:cs=""/>
                <w:b/>
                <w:bCs/>
                <w:kern w:val="0"/>
                <w:lang w:val="da-DK" w:eastAsia="en-US" w:bidi="ar-SA"/>
              </w:rPr>
            </w:pPr>
            <w:r>
              <w:rPr>
                <w:rFonts w:eastAsia="Calibri" w:cs=""/>
                <w:b/>
                <w:bCs/>
                <w:kern w:val="0"/>
                <w:lang w:val="da-DK" w:eastAsia="en-US" w:bidi="ar-SA"/>
              </w:rPr>
              <w:t>Indstilling</w:t>
            </w:r>
          </w:p>
        </w:tc>
        <w:tc>
          <w:tcPr>
            <w:tcW w:w="3117" w:type="dxa"/>
            <w:tcBorders>
              <w:bottom w:val="single" w:sz="12" w:space="0" w:color="9CC2E5"/>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Eksempel</w:t>
            </w:r>
          </w:p>
        </w:tc>
        <w:tc>
          <w:tcPr>
            <w:tcW w:w="3255" w:type="dxa"/>
            <w:tcBorders>
              <w:bottom w:val="single" w:sz="12" w:space="0" w:color="9CC2E5"/>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Kommentar</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tabs>
                <w:tab w:val="clear" w:pos="1304"/>
                <w:tab w:val="center" w:pos="1449" w:leader="none"/>
              </w:tabs>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RootOU</w:t>
              <w:tab/>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DN på den OU som hele strukturen skal bygges i.</w:t>
              <w:br/>
            </w:r>
            <w:r>
              <w:rPr>
                <w:rFonts w:eastAsia="Calibri" w:cs=""/>
                <w:b/>
                <w:bCs/>
                <w:kern w:val="0"/>
                <w:lang w:val="da-DK" w:eastAsia="en-US" w:bidi="ar-SA"/>
              </w:rPr>
              <w:t>Indstillingen udfases: Anvend SofdSettings.SOFDToADOrgUnitMap</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RootDeletedOusOu</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OU=Slettede enheder,DC=kommune,DC=dk</w:t>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DN på en OU som integrationen skal flytte slettede enheder til</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RequiredOUFields.OUIdField</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adminDescription</w:t>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Vælg en attribut (single-value tekst attribut) som integrationen kan bruge til at gemme UUID på enheden fra OS2sofd. Dette er et krævet felt.</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OptionalOUFields.</w:t>
              <w:br/>
              <w:t xml:space="preserve">  EanField</w:t>
            </w:r>
          </w:p>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 xml:space="preserve">  </w:t>
            </w:r>
            <w:r>
              <w:rPr>
                <w:rFonts w:eastAsia="Calibri" w:cs=""/>
                <w:b w:val="false"/>
                <w:bCs w:val="false"/>
                <w:kern w:val="0"/>
                <w:lang w:val="da-DK" w:eastAsia="en-US" w:bidi="ar-SA"/>
              </w:rPr>
              <w:t>EanFieldInherit</w:t>
            </w:r>
          </w:p>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 xml:space="preserve">  </w:t>
            </w:r>
            <w:r>
              <w:rPr>
                <w:rFonts w:eastAsia="Calibri" w:cs=""/>
                <w:b w:val="false"/>
                <w:bCs w:val="false"/>
                <w:kern w:val="0"/>
                <w:lang w:val="da-DK" w:eastAsia="en-US" w:bidi="ar-SA"/>
              </w:rPr>
              <w:t>StreetAddressField</w:t>
            </w:r>
          </w:p>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 xml:space="preserve">  </w:t>
            </w:r>
            <w:r>
              <w:rPr>
                <w:rFonts w:eastAsia="Calibri" w:cs=""/>
                <w:b w:val="false"/>
                <w:bCs w:val="false"/>
                <w:kern w:val="0"/>
                <w:lang w:val="da-DK" w:eastAsia="en-US" w:bidi="ar-SA"/>
              </w:rPr>
              <w:t>CityField</w:t>
            </w:r>
          </w:p>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 xml:space="preserve">  </w:t>
            </w:r>
            <w:r>
              <w:rPr>
                <w:rFonts w:eastAsia="Calibri" w:cs=""/>
                <w:b w:val="false"/>
                <w:bCs w:val="false"/>
                <w:kern w:val="0"/>
                <w:lang w:val="da-DK" w:eastAsia="en-US" w:bidi="ar-SA"/>
              </w:rPr>
              <w:t>PostalCodeField</w:t>
            </w:r>
          </w:p>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 xml:space="preserve">  </w:t>
            </w:r>
            <w:r>
              <w:rPr>
                <w:rFonts w:eastAsia="Calibri" w:cs=""/>
                <w:b w:val="false"/>
                <w:bCs w:val="false"/>
                <w:kern w:val="0"/>
                <w:lang w:val="da-DK" w:eastAsia="en-US" w:bidi="ar-SA"/>
              </w:rPr>
              <w:t>LosIDField</w:t>
            </w:r>
          </w:p>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 xml:space="preserve">  </w:t>
            </w:r>
            <w:r>
              <w:rPr>
                <w:rFonts w:eastAsia="Calibri" w:cs=""/>
                <w:b w:val="false"/>
                <w:bCs w:val="false"/>
                <w:kern w:val="0"/>
                <w:lang w:val="da-DK" w:eastAsia="en-US" w:bidi="ar-SA"/>
              </w:rPr>
              <w:t>OrgUnitTypeField</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Valgfri angivelse af AD attributnavne hvor yderligere oplysninger om enheden skal skrives til.</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TestOURun</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Afvikler OU oprettelse/flytning/omdøbning mv. i test-tilstand hvor der ikke ændres i AD, men kun logges hvad der vil ske.</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MoveUsersEnabled</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Sæt til ”false” hvis man ikke ønsker at flytte brugere (også en god startværdi, indtil man er sikker på at OU strukturen er på plads)</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DryRunMoveUsers</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Afvikler flytning af brugere i test-tilstand vhor der ikke ændres i AD, men kun logges hvad der vil ske.</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DontMoveUserRegularExpressions</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Hvis der er brugere som aldrig på flyttes, så kan man angive et regex på de brugernavne som skal være undtaget flytning</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DontMoveUserFromTheseOUs</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Liste af DN på OUer som der ikke må flyttes brugere fra.</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ExcludeExternalUsers</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Undtager eksterne brugere for flytning. Med eksterne menes de brugerkonti som er direkte knyttet til et eksternt tilhørsforhold, eller brugere ikke knyttet til et tilhørsforhold, men hvor det primære tilhørsforhold er eksternt.</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GroupSettings</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Se afsnittet nedenfor</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OUNameReplaceRegexes</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[”s/,//”,”s/[;:]/-/”]</w:t>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Liste af regulære udtræk i sed-replace-syntaks til at erstatte tegn i OU-navnet.</w:t>
              <w:br/>
              <w:t>Eksemplet til venstre erstatter alle kommaer med en tom streng samt alle semikoloner og koloner med en bindestreg.</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OURunScriptOnCreate</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C:/scripts/OnOUCreate.ps1</w:t>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Sti til script der afvikles efter OU oprettelse.</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OURunScriptOnDelete</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C:/scripts/OnOUDelete.ps1</w:t>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Sti til script der afvikles efter OU sletning (flytning til slettet OU).</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OURunScriptOnMove</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C:/scripts/OnOUMove.ps1</w:t>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Sti til script der afvikles efter OU flytning.</w:t>
            </w:r>
          </w:p>
        </w:tc>
      </w:tr>
      <w:tr>
        <w:trPr/>
        <w:tc>
          <w:tcPr>
            <w:tcW w:w="3256"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UserRunScriptOnMove</w:t>
            </w:r>
          </w:p>
        </w:tc>
        <w:tc>
          <w:tcPr>
            <w:tcW w:w="3117"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C:/scripts/OnUserMove.ps1</w:t>
            </w:r>
          </w:p>
        </w:tc>
        <w:tc>
          <w:tcPr>
            <w:tcW w:w="3255"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Sti til script der afvikles efter bruger flytning.</w:t>
            </w:r>
          </w:p>
        </w:tc>
      </w:tr>
    </w:tbl>
    <w:p>
      <w:pPr>
        <w:pStyle w:val="Heading2"/>
        <w:numPr>
          <w:ilvl w:val="0"/>
          <w:numId w:val="0"/>
        </w:numPr>
        <w:ind w:hanging="851" w:left="851"/>
        <w:rPr>
          <w:lang w:val="da-DK"/>
        </w:rPr>
      </w:pPr>
      <w:r>
        <w:rPr>
          <w:lang w:val="da-DK"/>
        </w:rPr>
      </w:r>
    </w:p>
    <w:p>
      <w:pPr>
        <w:pStyle w:val="Heading3"/>
        <w:ind w:hanging="851" w:left="851"/>
        <w:rPr>
          <w:lang w:val="da-DK"/>
        </w:rPr>
      </w:pPr>
      <w:bookmarkStart w:id="11" w:name="_Toc212110579"/>
      <w:r>
        <w:rPr>
          <w:lang w:val="da-DK"/>
        </w:rPr>
        <w:t>GroupSettings</w:t>
      </w:r>
      <w:bookmarkEnd w:id="11"/>
    </w:p>
    <w:p>
      <w:pPr>
        <w:pStyle w:val="Normal"/>
        <w:rPr>
          <w:lang w:val="da-DK"/>
        </w:rPr>
      </w:pPr>
      <w:r>
        <w:rPr>
          <w:lang w:val="da-DK"/>
        </w:rPr>
        <w:t>Dette afsnit er et optionelt sub-set af ActiveDirectoryConfiguration, og bruges til at oprette og vedligeholde et sæt af AD sikkerhedsgrupper</w:t>
      </w:r>
    </w:p>
    <w:tbl>
      <w:tblPr>
        <w:tblStyle w:val="GridTable1Light-Accent1"/>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3"/>
        <w:gridCol w:w="2836"/>
        <w:gridCol w:w="3679"/>
      </w:tblGrid>
      <w:tr>
        <w:trPr>
          <w:cnfStyle w:val="100000000000" w:firstRow="1" w:lastRow="0" w:firstColumn="0" w:lastColumn="0" w:oddVBand="0" w:evenVBand="0" w:oddHBand="0" w:evenHBand="0" w:firstRowFirstColumn="0" w:firstRowLastColumn="0" w:lastRowFirstColumn="0" w:lastRowLastColumn="0"/>
        </w:trPr>
        <w:tc>
          <w:tcPr>
            <w:tcW w:w="3113" w:type="dxa"/>
            <w:cnfStyle w:val="001000000000" w:firstRow="0" w:lastRow="0" w:firstColumn="1" w:lastColumn="0" w:oddVBand="0" w:evenVBand="0" w:oddHBand="0" w:evenHBand="0" w:firstRowFirstColumn="0" w:firstRowLastColumn="0" w:lastRowFirstColumn="0" w:lastRowLastColumn="0"/>
            <w:tcBorders>
              <w:bottom w:val="single" w:sz="12" w:space="0" w:color="9CC2E5"/>
            </w:tcBorders>
          </w:tcPr>
          <w:p>
            <w:pPr>
              <w:pStyle w:val="Normal"/>
              <w:widowControl/>
              <w:spacing w:lineRule="auto" w:line="240" w:before="0" w:after="0"/>
              <w:jc w:val="left"/>
              <w:rPr>
                <w:rFonts w:eastAsia="Calibri" w:cs=""/>
                <w:b/>
                <w:bCs/>
                <w:kern w:val="0"/>
                <w:lang w:val="da-DK" w:eastAsia="en-US" w:bidi="ar-SA"/>
              </w:rPr>
            </w:pPr>
            <w:r>
              <w:rPr>
                <w:rFonts w:eastAsia="Calibri" w:cs=""/>
                <w:b/>
                <w:bCs/>
                <w:kern w:val="0"/>
                <w:lang w:val="da-DK" w:eastAsia="en-US" w:bidi="ar-SA"/>
              </w:rPr>
              <w:t>Indstilling</w:t>
            </w:r>
          </w:p>
        </w:tc>
        <w:tc>
          <w:tcPr>
            <w:tcW w:w="2836" w:type="dxa"/>
            <w:tcBorders>
              <w:bottom w:val="single" w:sz="12" w:space="0" w:color="9CC2E5"/>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Eksempel</w:t>
            </w:r>
          </w:p>
        </w:tc>
        <w:tc>
          <w:tcPr>
            <w:tcW w:w="3679" w:type="dxa"/>
            <w:tcBorders>
              <w:bottom w:val="single" w:sz="12" w:space="0" w:color="9CC2E5"/>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Kommentar</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Enabled</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w:t>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Slå hele funktionen til/fra</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DryRun</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false</w:t>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Hvis den sættes til TRUE, så logger den alene ændringer til grupper, men udfører dem ikke</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UseFastMethod</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true/false</w:t>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Kan sættes til true for at anvende en hurtigere metode til at læse gruppemedlemskaber fra AD.</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DaysBeforeFirstWorkday</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14</w:t>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Angiver hvor mange dage før første arbejdsdag at brugere meldes ind i grupper svarende til deres afdeling.</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GroupOUDN</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OU=Groups,OU=Kommune,DC=dk</w:t>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 xml:space="preserve">Den OU i AD’et hvor alle sikkerhedsgrupperne oprettes. Bemærk at der IKKE må ligge andre grupper i denne OU, da integrationen </w:t>
            </w:r>
            <w:r>
              <w:rPr>
                <w:rFonts w:eastAsia="Calibri" w:cs=""/>
                <w:kern w:val="0"/>
                <w:lang w:val="da-DK" w:eastAsia="en-US" w:bidi="ar-SA"/>
              </w:rPr>
              <w:t>i</w:t>
            </w:r>
            <w:r>
              <w:rPr>
                <w:rFonts w:eastAsia="Calibri" w:cs=""/>
                <w:kern w:val="0"/>
                <w:lang w:val="da-DK" w:eastAsia="en-US" w:bidi="ar-SA"/>
              </w:rPr>
              <w:t xml:space="preserve"> så fald vil slette dem.</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GroupIdField</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adminDescription</w:t>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Den attribut som integrationen bruger til at sætte et unikt ID på gruppen, så den ved hvilken enhed gruppen hører til</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DirectManagerGroup</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Struktur der beskriver hvordan grupper med ledere for enheder oprettes og vedligeholdes – se detaljer for opsætningen nedenfor</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DirectMemberGroup</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Struktur der beskriver hvordan grupper med brugere der har direkte tilhørsforhold i enhederne oprettes og vedligeholdes – se detaljer for opsætningen nedenfor</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InheritedMemberGroup</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Struktur der beskriver hvordan grupper med brugere der har tilhørsforhold til enheder (og alle de underliggende enheder) oprettes og vedligeholdes – se detaljer for opsætningen nedenfor</w:t>
            </w:r>
          </w:p>
        </w:tc>
      </w:tr>
      <w:tr>
        <w:trPr/>
        <w:tc>
          <w:tcPr>
            <w:tcW w:w="3113"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pacing w:lineRule="auto" w:line="240" w:before="0" w:after="0"/>
              <w:jc w:val="left"/>
              <w:rPr>
                <w:rFonts w:eastAsia="Calibri" w:cs=""/>
                <w:b w:val="false"/>
                <w:bCs w:val="false"/>
                <w:kern w:val="0"/>
                <w:lang w:val="da-DK" w:eastAsia="en-US" w:bidi="ar-SA"/>
              </w:rPr>
            </w:pPr>
            <w:r>
              <w:rPr>
                <w:rFonts w:eastAsia="Calibri" w:cs=""/>
                <w:b w:val="false"/>
                <w:bCs w:val="false"/>
                <w:kern w:val="0"/>
                <w:lang w:val="da-DK" w:eastAsia="en-US" w:bidi="ar-SA"/>
              </w:rPr>
              <w:t>InheritedManagerGroup</w:t>
            </w:r>
          </w:p>
        </w:tc>
        <w:tc>
          <w:tcPr>
            <w:tcW w:w="2836" w:type="dxa"/>
            <w:tcBorders>
              <w:top w:val="nil"/>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op w:val="nil"/>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Struktur der beskriver hvordan grupper med ledere for enheder  (og alle de underliggende enheder) oprettes og vedligeholdes – se detaljer for opsætningen nedenfor</w:t>
            </w:r>
          </w:p>
        </w:tc>
      </w:tr>
    </w:tbl>
    <w:p>
      <w:pPr>
        <w:pStyle w:val="Normal"/>
        <w:rPr>
          <w:lang w:val="da-DK"/>
        </w:rPr>
      </w:pPr>
      <w:r>
        <w:rPr>
          <w:lang w:val="da-DK"/>
        </w:rPr>
      </w:r>
    </w:p>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 xml:space="preserve">DirectManagerGroup </w:t>
      </w:r>
      <w:r>
        <w:rPr>
          <w:rFonts w:eastAsia="Calibri" w:cs=""/>
          <w:b w:val="false"/>
          <w:bCs w:val="false"/>
          <w:kern w:val="0"/>
          <w:lang w:val="da-DK" w:eastAsia="en-US" w:bidi="ar-SA"/>
        </w:rPr>
        <w:t xml:space="preserve">er bagudkompatible med </w:t>
      </w:r>
      <w:r>
        <w:rPr>
          <w:rFonts w:eastAsia="Calibri" w:cs=""/>
          <w:b w:val="false"/>
          <w:bCs w:val="false"/>
          <w:kern w:val="0"/>
          <w:lang w:val="da-DK" w:eastAsia="en-US" w:bidi="ar-SA"/>
        </w:rPr>
        <w:t xml:space="preserve">ManagerGroup </w:t>
      </w:r>
      <w:r>
        <w:rPr>
          <w:rFonts w:eastAsia="Calibri" w:cs=""/>
          <w:b w:val="false"/>
          <w:bCs w:val="false"/>
          <w:kern w:val="0"/>
          <w:lang w:val="da-DK" w:eastAsia="en-US" w:bidi="ar-SA"/>
        </w:rPr>
        <w:t xml:space="preserve">og InheritedMemberGroup er bagudkompatible med </w:t>
      </w:r>
      <w:r>
        <w:rPr>
          <w:rFonts w:eastAsia="Calibri" w:cs=""/>
          <w:b w:val="false"/>
          <w:bCs w:val="false"/>
          <w:kern w:val="0"/>
          <w:lang w:val="da-DK" w:eastAsia="en-US" w:bidi="ar-SA"/>
        </w:rPr>
        <w:t xml:space="preserve">MemberGroup, </w:t>
      </w:r>
      <w:r>
        <w:rPr>
          <w:rFonts w:eastAsia="Calibri" w:cs=""/>
          <w:b w:val="false"/>
          <w:bCs w:val="false"/>
          <w:kern w:val="0"/>
          <w:lang w:val="da-DK" w:eastAsia="en-US" w:bidi="ar-SA"/>
        </w:rPr>
        <w:t>således begge navne kan anvendes.</w:t>
      </w:r>
      <w:r>
        <w:rPr>
          <w:rFonts w:eastAsia="Calibri" w:cs=""/>
          <w:b w:val="false"/>
          <w:bCs w:val="false"/>
          <w:kern w:val="0"/>
          <w:lang w:val="da-DK" w:eastAsia="en-US" w:bidi="ar-SA"/>
        </w:rPr>
        <w:t xml:space="preserve"> </w:t>
      </w:r>
      <w:r>
        <w:rPr>
          <w:rFonts w:eastAsia="Calibri" w:cs=""/>
          <w:b w:val="false"/>
          <w:bCs w:val="false"/>
          <w:kern w:val="0"/>
          <w:lang w:val="da-DK" w:eastAsia="en-US" w:bidi="ar-SA"/>
        </w:rPr>
        <w:t>Såfremt indstillingen er enablet både med sit nye og bagudkompatible navn, vil indstillingerne med de nye navn blive brugt. Vi anbefaler, at man i videst mulige udstrækning bruger de nyeste navne.</w:t>
      </w:r>
    </w:p>
    <w:p>
      <w:pPr>
        <w:pStyle w:val="Normal"/>
        <w:rPr>
          <w:lang w:val="da-DK"/>
        </w:rPr>
      </w:pPr>
      <w:r>
        <w:rPr>
          <w:lang w:val="da-DK"/>
        </w:rPr>
      </w:r>
    </w:p>
    <w:p>
      <w:pPr>
        <w:pStyle w:val="Normal"/>
        <w:rPr>
          <w:lang w:val="da-DK"/>
        </w:rPr>
      </w:pPr>
      <w:r>
        <w:rPr>
          <w:lang w:val="da-DK"/>
        </w:rPr>
        <w:t xml:space="preserve">Hver af de </w:t>
      </w:r>
      <w:r>
        <w:rPr>
          <w:lang w:val="da-DK"/>
        </w:rPr>
        <w:t>4</w:t>
      </w:r>
      <w:r>
        <w:rPr>
          <w:lang w:val="da-DK"/>
        </w:rPr>
        <w:t xml:space="preserve"> typer af grupper har en sektion der angiver hvordan disse skal skabes. Strukturen er ens for hver af disse, og konfigu</w:t>
      </w:r>
      <w:r>
        <w:rPr>
          <w:lang w:val="da-DK"/>
        </w:rPr>
        <w:t>r</w:t>
      </w:r>
      <w:r>
        <w:rPr>
          <w:lang w:val="da-DK"/>
        </w:rPr>
        <w:t>eres på følgende måde</w:t>
      </w:r>
    </w:p>
    <w:tbl>
      <w:tblPr>
        <w:tblStyle w:val="GridTable1Light-Accent1"/>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3"/>
        <w:gridCol w:w="2836"/>
        <w:gridCol w:w="3679"/>
      </w:tblGrid>
      <w:tr>
        <w:trPr>
          <w:cnfStyle w:val="100000000000" w:firstRow="1" w:lastRow="0" w:firstColumn="0" w:lastColumn="0" w:oddVBand="0" w:evenVBand="0" w:oddHBand="0" w:evenHBand="0" w:firstRowFirstColumn="0" w:firstRowLastColumn="0" w:lastRowFirstColumn="0" w:lastRowLastColumn="0"/>
        </w:trPr>
        <w:tc>
          <w:tcPr>
            <w:tcW w:w="3113" w:type="dxa"/>
            <w:cnfStyle w:val="001000000000" w:firstRow="0" w:lastRow="0" w:firstColumn="1" w:lastColumn="0" w:oddVBand="0" w:evenVBand="0" w:oddHBand="0" w:evenHBand="0" w:firstRowFirstColumn="0" w:firstRowLastColumn="0" w:lastRowFirstColumn="0" w:lastRowLastColumn="0"/>
            <w:tcBorders>
              <w:bottom w:val="single" w:sz="12" w:space="0" w:color="9CC2E5"/>
            </w:tcBorders>
          </w:tcPr>
          <w:p>
            <w:pPr>
              <w:pStyle w:val="Normal"/>
              <w:widowControl/>
              <w:spacing w:lineRule="auto" w:line="240" w:before="0" w:after="0"/>
              <w:jc w:val="left"/>
              <w:rPr>
                <w:rFonts w:eastAsia="Calibri" w:cs=""/>
                <w:b/>
                <w:bCs/>
                <w:kern w:val="0"/>
                <w:lang w:val="da-DK" w:eastAsia="en-US" w:bidi="ar-SA"/>
              </w:rPr>
            </w:pPr>
            <w:r>
              <w:rPr>
                <w:rFonts w:eastAsia="Calibri" w:cs=""/>
                <w:b/>
                <w:bCs/>
                <w:kern w:val="0"/>
                <w:lang w:val="da-DK" w:eastAsia="en-US" w:bidi="ar-SA"/>
              </w:rPr>
              <w:t>Indstilling</w:t>
            </w:r>
          </w:p>
        </w:tc>
        <w:tc>
          <w:tcPr>
            <w:tcW w:w="2836" w:type="dxa"/>
            <w:tcBorders>
              <w:bottom w:val="single" w:sz="12" w:space="0" w:color="9CC2E5"/>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Eksempel</w:t>
            </w:r>
          </w:p>
        </w:tc>
        <w:tc>
          <w:tcPr>
            <w:tcW w:w="3679" w:type="dxa"/>
            <w:tcBorders>
              <w:bottom w:val="single" w:sz="12" w:space="0" w:color="9CC2E5"/>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Kommentar</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Enabled</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true</w:t>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Slå oprettelsen af denne type af grupper til/fra</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Name</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Hvad skal der står i name feltet for gruppen</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SAMaccountName</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Hvad skal der står i SAMAccountName feltet for gruppen</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DisplayName</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Hvad skal der står i displayname feltet for gruppen</w:t>
            </w:r>
          </w:p>
        </w:tc>
      </w:tr>
      <w:tr>
        <w:trPr/>
        <w:tc>
          <w:tcPr>
            <w:tcW w:w="3113"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Description</w:t>
            </w:r>
          </w:p>
        </w:tc>
        <w:tc>
          <w:tcPr>
            <w:tcW w:w="2836"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r>
          </w:p>
        </w:tc>
        <w:tc>
          <w:tcPr>
            <w:tcW w:w="3679"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Hvad skal der står i beskrivelsesfeltet for gruppen</w:t>
            </w:r>
          </w:p>
        </w:tc>
      </w:tr>
    </w:tbl>
    <w:p>
      <w:pPr>
        <w:pStyle w:val="Normal"/>
        <w:rPr>
          <w:lang w:val="da-DK"/>
        </w:rPr>
      </w:pPr>
      <w:r>
        <w:rPr>
          <w:lang w:val="da-DK"/>
        </w:rPr>
      </w:r>
    </w:p>
    <w:p>
      <w:pPr>
        <w:pStyle w:val="Normal"/>
        <w:rPr>
          <w:lang w:val="da-DK"/>
        </w:rPr>
      </w:pPr>
      <w:r>
        <w:rPr>
          <w:lang w:val="da-DK"/>
        </w:rPr>
        <w:t xml:space="preserve">I gruppetypernes indstillinger kan følgende pladsholdere anvendes til at generere </w:t>
      </w:r>
      <w:r>
        <w:rPr>
          <w:lang w:val="da-DK"/>
        </w:rPr>
        <w:t>gruppens felter.</w:t>
      </w:r>
    </w:p>
    <w:tbl>
      <w:tblPr>
        <w:tblStyle w:val="GridTable1Light-Accent1"/>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0"/>
        <w:gridCol w:w="2554"/>
        <w:gridCol w:w="2663"/>
        <w:gridCol w:w="2661"/>
      </w:tblGrid>
      <w:tr>
        <w:trPr>
          <w:cnfStyle w:val="100000000000" w:firstRow="1" w:lastRow="0" w:firstColumn="0" w:lastColumn="0" w:oddVBand="0" w:evenVBand="0" w:oddHBand="0" w:evenHBand="0" w:firstRowFirstColumn="0" w:firstRowLastColumn="0" w:lastRowFirstColumn="0" w:lastRowLastColumn="0"/>
        </w:trPr>
        <w:tc>
          <w:tcPr>
            <w:tcW w:w="1750" w:type="dxa"/>
            <w:cnfStyle w:val="001000000000" w:firstRow="0" w:lastRow="0" w:firstColumn="1" w:lastColumn="0" w:oddVBand="0" w:evenVBand="0" w:oddHBand="0" w:evenHBand="0" w:firstRowFirstColumn="0" w:firstRowLastColumn="0" w:lastRowFirstColumn="0" w:lastRowLastColumn="0"/>
            <w:tcBorders>
              <w:bottom w:val="single" w:sz="12" w:space="0" w:color="9CC2E5"/>
            </w:tcBorders>
          </w:tcPr>
          <w:p>
            <w:pPr>
              <w:pStyle w:val="Normal"/>
              <w:widowControl/>
              <w:spacing w:lineRule="auto" w:line="240" w:before="0" w:after="0"/>
              <w:jc w:val="left"/>
              <w:rPr>
                <w:rFonts w:eastAsia="Calibri" w:cs=""/>
                <w:b/>
                <w:bCs/>
                <w:kern w:val="0"/>
                <w:lang w:val="da-DK" w:eastAsia="en-US" w:bidi="ar-SA"/>
              </w:rPr>
            </w:pPr>
            <w:r>
              <w:rPr>
                <w:rFonts w:eastAsia="Calibri" w:cs=""/>
                <w:b/>
                <w:bCs/>
                <w:kern w:val="0"/>
                <w:lang w:val="da-DK" w:eastAsia="en-US" w:bidi="ar-SA"/>
              </w:rPr>
              <w:t>Pladsholder</w:t>
            </w:r>
          </w:p>
        </w:tc>
        <w:tc>
          <w:tcPr>
            <w:tcW w:w="2554" w:type="dxa"/>
            <w:tcBorders>
              <w:bottom w:val="single" w:sz="12" w:space="0" w:color="9CC2E5"/>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Bør kun</w:t>
            </w:r>
            <w:r>
              <w:rPr>
                <w:rFonts w:eastAsia="Calibri" w:cs=""/>
                <w:b/>
                <w:bCs/>
                <w:kern w:val="0"/>
                <w:lang w:val="da-DK" w:eastAsia="en-US" w:bidi="ar-SA"/>
              </w:rPr>
              <w:t xml:space="preserve"> anvendes på</w:t>
            </w:r>
          </w:p>
        </w:tc>
        <w:tc>
          <w:tcPr>
            <w:tcW w:w="2663" w:type="dxa"/>
            <w:tcBorders>
              <w:bottom w:val="single" w:sz="12" w:space="0" w:color="9CC2E5"/>
              <w:right w:val="nil"/>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Forklaring</w:t>
            </w:r>
          </w:p>
        </w:tc>
        <w:tc>
          <w:tcPr>
            <w:tcW w:w="2661" w:type="dxa"/>
            <w:tcBorders>
              <w:bottom w:val="single" w:sz="12" w:space="0" w:color="9CC2E5"/>
            </w:tcBorders>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Calibri" w:cs=""/>
                <w:b/>
                <w:bCs/>
                <w:kern w:val="0"/>
                <w:lang w:val="da-DK" w:eastAsia="en-US" w:bidi="ar-SA"/>
              </w:rPr>
            </w:pPr>
            <w:r>
              <w:rPr>
                <w:rFonts w:eastAsia="Calibri" w:cs=""/>
                <w:b/>
                <w:bCs/>
                <w:kern w:val="0"/>
                <w:lang w:val="da-DK" w:eastAsia="en-US" w:bidi="ar-SA"/>
              </w:rPr>
              <w:t>Eksempel</w:t>
            </w:r>
          </w:p>
        </w:tc>
      </w:tr>
      <w:tr>
        <w:trPr/>
        <w:tc>
          <w:tcPr>
            <w:tcW w:w="175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{ID}</w:t>
            </w:r>
          </w:p>
        </w:tc>
        <w:tc>
          <w:tcPr>
            <w:tcW w:w="2554"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Name,</w:t>
              <w:br/>
            </w:r>
            <w:r>
              <w:rPr>
                <w:rFonts w:eastAsia="Calibri" w:cs=""/>
                <w:b w:val="false"/>
                <w:bCs w:val="false"/>
                <w:kern w:val="0"/>
                <w:lang w:val="da-DK" w:eastAsia="en-US" w:bidi="ar-SA"/>
              </w:rPr>
              <w:t>SAMaccountName,</w:t>
              <w:br/>
              <w:t>DisplayName,</w:t>
              <w:br/>
              <w:t>Description</w:t>
            </w:r>
          </w:p>
        </w:tc>
        <w:tc>
          <w:tcPr>
            <w:tcW w:w="2663" w:type="dxa"/>
            <w:tcBorders>
              <w:right w:val="nil"/>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Enhedens id i SOFD</w:t>
            </w:r>
          </w:p>
        </w:tc>
        <w:tc>
          <w:tcPr>
            <w:tcW w:w="2661"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1032</w:t>
            </w:r>
          </w:p>
        </w:tc>
      </w:tr>
      <w:tr>
        <w:trPr/>
        <w:tc>
          <w:tcPr>
            <w:tcW w:w="1750"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Calibri" w:cs=""/>
                <w:b/>
                <w:bCs/>
                <w:kern w:val="0"/>
                <w:lang w:val="da-DK" w:eastAsia="en-US" w:bidi="ar-SA"/>
              </w:rPr>
            </w:pPr>
            <w:r>
              <w:rPr>
                <w:rFonts w:eastAsia="Calibri" w:cs=""/>
                <w:b w:val="false"/>
                <w:bCs w:val="false"/>
                <w:kern w:val="0"/>
                <w:lang w:val="da-DK" w:eastAsia="en-US" w:bidi="ar-SA"/>
              </w:rPr>
              <w:t>{LEVEL}</w:t>
            </w:r>
          </w:p>
        </w:tc>
        <w:tc>
          <w:tcPr>
            <w:tcW w:w="2554"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Name,</w:t>
              <w:br/>
            </w:r>
            <w:r>
              <w:rPr>
                <w:rFonts w:eastAsia="Calibri" w:cs=""/>
                <w:b w:val="false"/>
                <w:bCs w:val="false"/>
                <w:kern w:val="0"/>
                <w:lang w:val="da-DK" w:eastAsia="en-US" w:bidi="ar-SA"/>
              </w:rPr>
              <w:t>SAMaccountName,</w:t>
              <w:br/>
              <w:t>DisplayName,</w:t>
              <w:br/>
              <w:t>Description</w:t>
            </w:r>
          </w:p>
        </w:tc>
        <w:tc>
          <w:tcPr>
            <w:tcW w:w="2663" w:type="dxa"/>
            <w:tcBorders>
              <w:right w:val="nil"/>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Antal enheder væk fra rod-enheden.</w:t>
              <w:br/>
              <w:t>Rod-enheden vil returnere 0.</w:t>
            </w:r>
          </w:p>
        </w:tc>
        <w:tc>
          <w:tcPr>
            <w:tcW w:w="2661" w:type="dxa"/>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2</w:t>
            </w:r>
          </w:p>
        </w:tc>
      </w:tr>
      <w:tr>
        <w:trPr/>
        <w:tc>
          <w:tcPr>
            <w:tcW w:w="1750"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pacing w:lineRule="auto" w:line="240" w:before="0" w:after="0"/>
              <w:jc w:val="left"/>
              <w:rPr>
                <w:rFonts w:eastAsia="Calibri" w:cs=""/>
                <w:b w:val="false"/>
                <w:bCs w:val="false"/>
                <w:kern w:val="0"/>
                <w:lang w:val="da-DK" w:eastAsia="en-US" w:bidi="ar-SA"/>
              </w:rPr>
            </w:pPr>
            <w:r>
              <w:rPr>
                <w:rFonts w:eastAsia="Calibri" w:cs=""/>
                <w:b w:val="false"/>
                <w:bCs w:val="false"/>
                <w:kern w:val="0"/>
                <w:lang w:val="da-DK" w:eastAsia="en-US" w:bidi="ar-SA"/>
              </w:rPr>
              <w:t>{NAME}</w:t>
            </w:r>
          </w:p>
        </w:tc>
        <w:tc>
          <w:tcPr>
            <w:tcW w:w="2554" w:type="dxa"/>
            <w:tcBorders>
              <w:top w:val="nil"/>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Name,</w:t>
              <w:br/>
            </w:r>
            <w:r>
              <w:rPr>
                <w:rFonts w:eastAsia="Calibri" w:cs=""/>
                <w:b w:val="false"/>
                <w:bCs w:val="false"/>
                <w:kern w:val="0"/>
                <w:lang w:val="da-DK" w:eastAsia="en-US" w:bidi="ar-SA"/>
              </w:rPr>
              <w:t>SAMaccountName,</w:t>
              <w:br/>
              <w:t>DisplayName,</w:t>
              <w:br/>
              <w:t>Description</w:t>
            </w:r>
          </w:p>
        </w:tc>
        <w:tc>
          <w:tcPr>
            <w:tcW w:w="2663" w:type="dxa"/>
            <w:tcBorders>
              <w:top w:val="nil"/>
              <w:right w:val="nil"/>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Enheden navn i SOFD</w:t>
            </w:r>
          </w:p>
        </w:tc>
        <w:tc>
          <w:tcPr>
            <w:tcW w:w="2661" w:type="dxa"/>
            <w:tcBorders>
              <w:top w:val="nil"/>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Børn og Unge</w:t>
            </w:r>
          </w:p>
        </w:tc>
      </w:tr>
      <w:tr>
        <w:trPr/>
        <w:tc>
          <w:tcPr>
            <w:tcW w:w="1750"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pacing w:lineRule="auto" w:line="240" w:before="0" w:after="0"/>
              <w:jc w:val="left"/>
              <w:rPr>
                <w:rFonts w:eastAsia="Calibri" w:cs=""/>
                <w:b w:val="false"/>
                <w:bCs w:val="false"/>
                <w:kern w:val="0"/>
                <w:lang w:val="da-DK" w:eastAsia="en-US" w:bidi="ar-SA"/>
              </w:rPr>
            </w:pPr>
            <w:r>
              <w:rPr>
                <w:rFonts w:eastAsia="Calibri" w:cs=""/>
                <w:b w:val="false"/>
                <w:bCs w:val="false"/>
                <w:kern w:val="0"/>
                <w:lang w:val="da-DK" w:eastAsia="en-US" w:bidi="ar-SA"/>
              </w:rPr>
              <w:t>{PATH[</w:t>
            </w:r>
            <w:r>
              <w:rPr>
                <w:rFonts w:eastAsia="Calibri" w:cs=""/>
                <w:b w:val="false"/>
                <w:bCs w:val="false"/>
                <w:kern w:val="0"/>
                <w:lang w:val="da-DK" w:eastAsia="en-US" w:bidi="ar-SA"/>
              </w:rPr>
              <w:t>X</w:t>
            </w:r>
            <w:r>
              <w:rPr>
                <w:rFonts w:eastAsia="Calibri" w:cs=""/>
                <w:b w:val="false"/>
                <w:bCs w:val="false"/>
                <w:kern w:val="0"/>
                <w:lang w:val="da-DK" w:eastAsia="en-US" w:bidi="ar-SA"/>
              </w:rPr>
              <w:t xml:space="preserve">]} – </w:t>
            </w:r>
            <w:r>
              <w:rPr>
                <w:rFonts w:eastAsia="Calibri" w:cs=""/>
                <w:b w:val="false"/>
                <w:bCs w:val="false"/>
                <w:kern w:val="0"/>
                <w:lang w:val="da-DK" w:eastAsia="en-US" w:bidi="ar-SA"/>
              </w:rPr>
              <w:t>hvor X er et tal  1 eller større</w:t>
            </w:r>
          </w:p>
        </w:tc>
        <w:tc>
          <w:tcPr>
            <w:tcW w:w="2554" w:type="dxa"/>
            <w:tcBorders>
              <w:top w:val="nil"/>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b w:val="false"/>
                <w:bCs w:val="false"/>
                <w:kern w:val="0"/>
                <w:lang w:val="da-DK" w:eastAsia="en-US" w:bidi="ar-SA"/>
              </w:rPr>
              <w:t>Name,</w:t>
            </w:r>
            <w:r>
              <w:rPr>
                <w:rFonts w:eastAsia="Calibri" w:cs=""/>
                <w:b w:val="false"/>
                <w:bCs w:val="false"/>
                <w:kern w:val="0"/>
                <w:lang w:val="da-DK" w:eastAsia="en-US" w:bidi="ar-SA"/>
              </w:rPr>
              <w:br/>
              <w:t>SAMaccountName,</w:t>
              <w:br/>
              <w:t>DisplayName,</w:t>
              <w:br/>
              <w:t>Description</w:t>
            </w:r>
          </w:p>
        </w:tc>
        <w:tc>
          <w:tcPr>
            <w:tcW w:w="2663" w:type="dxa"/>
            <w:tcBorders>
              <w:top w:val="nil"/>
              <w:right w:val="nil"/>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Enheden X niveauer over den gældende enhed.</w:t>
              <w:br/>
              <w:t xml:space="preserve">Hvis tallet er større end antallet af enheder til roden, returneres en tom streng. </w:t>
            </w:r>
          </w:p>
        </w:tc>
        <w:tc>
          <w:tcPr>
            <w:tcW w:w="2661" w:type="dxa"/>
            <w:tcBorders>
              <w:top w:val="nil"/>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Direktionsområde Velfærd</w:t>
            </w:r>
          </w:p>
        </w:tc>
      </w:tr>
      <w:tr>
        <w:trPr/>
        <w:tc>
          <w:tcPr>
            <w:tcW w:w="1750"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spacing w:lineRule="auto" w:line="240" w:before="0" w:after="0"/>
              <w:jc w:val="left"/>
              <w:rPr>
                <w:rFonts w:eastAsia="Calibri" w:cs=""/>
                <w:b w:val="false"/>
                <w:bCs w:val="false"/>
                <w:kern w:val="0"/>
                <w:lang w:val="da-DK" w:eastAsia="en-US" w:bidi="ar-SA"/>
              </w:rPr>
            </w:pPr>
            <w:r>
              <w:rPr>
                <w:rFonts w:eastAsia="Calibri" w:cs=""/>
                <w:b w:val="false"/>
                <w:bCs w:val="false"/>
                <w:kern w:val="0"/>
                <w:lang w:val="da-DK" w:eastAsia="en-US" w:bidi="ar-SA"/>
              </w:rPr>
              <w:t>{PATH[</w:t>
            </w:r>
            <w:r>
              <w:rPr>
                <w:rFonts w:eastAsia="Calibri" w:cs=""/>
                <w:b w:val="false"/>
                <w:bCs w:val="false"/>
                <w:kern w:val="0"/>
                <w:lang w:val="da-DK" w:eastAsia="en-US" w:bidi="ar-SA"/>
              </w:rPr>
              <w:t>X</w:t>
            </w:r>
            <w:r>
              <w:rPr>
                <w:rFonts w:eastAsia="Calibri" w:cs=""/>
                <w:b w:val="false"/>
                <w:bCs w:val="false"/>
                <w:kern w:val="0"/>
                <w:lang w:val="da-DK" w:eastAsia="en-US" w:bidi="ar-SA"/>
              </w:rPr>
              <w:t xml:space="preserve">]} – </w:t>
            </w:r>
            <w:r>
              <w:rPr>
                <w:rFonts w:eastAsia="Calibri" w:cs=""/>
                <w:b w:val="false"/>
                <w:bCs w:val="false"/>
                <w:kern w:val="0"/>
                <w:lang w:val="da-DK" w:eastAsia="en-US" w:bidi="ar-SA"/>
              </w:rPr>
              <w:t>hvor X ikek er et tal</w:t>
            </w:r>
          </w:p>
        </w:tc>
        <w:tc>
          <w:tcPr>
            <w:tcW w:w="2554" w:type="dxa"/>
            <w:tcBorders>
              <w:top w:val="nil"/>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b w:val="false"/>
                <w:bCs w:val="false"/>
                <w:kern w:val="0"/>
                <w:lang w:val="da-DK" w:eastAsia="en-US" w:bidi="ar-SA"/>
              </w:rPr>
              <w:t>SAMaccountName,</w:t>
              <w:br/>
              <w:t>DisplayName,</w:t>
              <w:br/>
              <w:t>Description</w:t>
            </w:r>
          </w:p>
        </w:tc>
        <w:tc>
          <w:tcPr>
            <w:tcW w:w="2663" w:type="dxa"/>
            <w:tcBorders>
              <w:top w:val="nil"/>
              <w:right w:val="nil"/>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Enhedens fulde sti, separeret af X (så hvis / bruges som separator, vil stien ligne rod-enhed/enhed/enhed)</w:t>
              <w:br/>
              <w:br/>
              <w:t>Skal ikke anve</w:t>
            </w:r>
            <w:r>
              <w:rPr>
                <w:rFonts w:eastAsia="Calibri" w:cs=""/>
                <w:kern w:val="0"/>
                <w:lang w:val="da-DK" w:eastAsia="en-US" w:bidi="ar-SA"/>
              </w:rPr>
              <w:t>n</w:t>
            </w:r>
            <w:r>
              <w:rPr>
                <w:rFonts w:eastAsia="Calibri" w:cs=""/>
                <w:kern w:val="0"/>
                <w:lang w:val="da-DK" w:eastAsia="en-US" w:bidi="ar-SA"/>
              </w:rPr>
              <w:t xml:space="preserve">des på Name, da det kan </w:t>
            </w:r>
            <w:r>
              <w:rPr>
                <w:rFonts w:eastAsia="Calibri" w:cs=""/>
                <w:kern w:val="0"/>
                <w:lang w:val="da-DK" w:eastAsia="en-US" w:bidi="ar-SA"/>
              </w:rPr>
              <w:t>forårsage</w:t>
            </w:r>
            <w:r>
              <w:rPr>
                <w:rFonts w:eastAsia="Calibri" w:cs=""/>
                <w:kern w:val="0"/>
                <w:lang w:val="da-DK" w:eastAsia="en-US" w:bidi="ar-SA"/>
              </w:rPr>
              <w:t xml:space="preserve"> problemer.</w:t>
            </w:r>
          </w:p>
        </w:tc>
        <w:tc>
          <w:tcPr>
            <w:tcW w:w="2661" w:type="dxa"/>
            <w:tcBorders>
              <w:top w:val="nil"/>
            </w:tcBorders>
          </w:tcPr>
          <w:p>
            <w:pPr>
              <w:pStyle w:val="Normal"/>
              <w:widowControl/>
              <w:spacing w:lineRule="auto" w:line="240" w:before="0" w:after="0"/>
              <w:jc w:val="left"/>
              <w:cnfStyle w:val="000000000000" w:firstRow="0" w:lastRow="0" w:firstColumn="0" w:lastColumn="0" w:oddVBand="0" w:evenVBand="0" w:oddHBand="0" w:evenHBand="0" w:firstRowFirstColumn="0" w:firstRowLastColumn="0" w:lastRowFirstColumn="0" w:lastRowLastColumn="0"/>
              <w:rPr>
                <w:rFonts w:eastAsia="Calibri" w:cs=""/>
                <w:kern w:val="0"/>
                <w:lang w:val="da-DK" w:eastAsia="en-US" w:bidi="ar-SA"/>
              </w:rPr>
            </w:pPr>
            <w:r>
              <w:rPr>
                <w:rFonts w:eastAsia="Calibri" w:cs=""/>
                <w:kern w:val="0"/>
                <w:lang w:val="da-DK" w:eastAsia="en-US" w:bidi="ar-SA"/>
              </w:rPr>
              <w:t>Eksempel Komme/</w:t>
              <w:br/>
            </w:r>
            <w:r>
              <w:rPr>
                <w:rFonts w:eastAsia="Calibri" w:cs=""/>
                <w:kern w:val="0"/>
                <w:lang w:val="da-DK" w:eastAsia="en-US" w:bidi="ar-SA"/>
              </w:rPr>
              <w:t>Direktionsområde Velfærd/</w:t>
              <w:br/>
            </w:r>
            <w:r>
              <w:rPr>
                <w:rFonts w:eastAsia="Calibri" w:cs=""/>
                <w:kern w:val="0"/>
                <w:lang w:val="da-DK" w:eastAsia="en-US" w:bidi="ar-SA"/>
              </w:rPr>
              <w:t>Børn og Unge</w:t>
            </w:r>
          </w:p>
        </w:tc>
      </w:tr>
    </w:tbl>
    <w:p>
      <w:pPr>
        <w:pStyle w:val="Normal"/>
        <w:rPr>
          <w:lang w:val="da-DK"/>
        </w:rPr>
      </w:pPr>
      <w:r>
        <w:rPr>
          <w:lang w:val="da-DK"/>
        </w:rPr>
      </w:r>
    </w:p>
    <w:p>
      <w:pPr>
        <w:pStyle w:val="Heading2"/>
        <w:ind w:hanging="862" w:left="851"/>
        <w:rPr>
          <w:lang w:val="da-DK"/>
        </w:rPr>
      </w:pPr>
      <w:bookmarkStart w:id="12" w:name="_Toc212110580"/>
      <w:r>
        <w:rPr>
          <w:lang w:val="da-DK"/>
        </w:rPr>
        <w:t>Start af service</w:t>
      </w:r>
      <w:bookmarkEnd w:id="12"/>
    </w:p>
    <w:p>
      <w:pPr>
        <w:pStyle w:val="Normal"/>
        <w:rPr>
          <w:lang w:val="da-DK"/>
        </w:rPr>
      </w:pPr>
      <w:r>
        <w:rPr>
          <w:lang w:val="da-DK"/>
        </w:rPr>
        <w:t>Efter servicen er konfigureret startes den via Windows Services eller tilsvarende kommandolinjeværktøjer.</w:t>
      </w:r>
    </w:p>
    <w:p>
      <w:pPr>
        <w:pStyle w:val="Normal"/>
        <w:rPr>
          <w:lang w:val="da-DK"/>
        </w:rPr>
      </w:pPr>
      <w:r>
        <w:rPr>
          <w:lang w:val="da-DK"/>
        </w:rPr>
        <w:drawing>
          <wp:inline distT="0" distB="0" distL="0" distR="0">
            <wp:extent cx="5724525" cy="1476375"/>
            <wp:effectExtent l="0" t="0" r="0" b="0"/>
            <wp:docPr id="1" name="Picture 1"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chat or text message&#10;&#10;Description automatically generated"/>
                    <pic:cNvPicPr>
                      <a:picLocks noChangeAspect="1" noChangeArrowheads="1"/>
                    </pic:cNvPicPr>
                  </pic:nvPicPr>
                  <pic:blipFill>
                    <a:blip r:embed="rId2"/>
                    <a:stretch>
                      <a:fillRect/>
                    </a:stretch>
                  </pic:blipFill>
                  <pic:spPr bwMode="auto">
                    <a:xfrm>
                      <a:off x="0" y="0"/>
                      <a:ext cx="5724525" cy="1476375"/>
                    </a:xfrm>
                    <a:prstGeom prst="rect">
                      <a:avLst/>
                    </a:prstGeom>
                  </pic:spPr>
                </pic:pic>
              </a:graphicData>
            </a:graphic>
          </wp:inline>
        </w:drawing>
      </w:r>
    </w:p>
    <w:p>
      <w:pPr>
        <w:pStyle w:val="Normal"/>
        <w:rPr>
          <w:lang w:val="da-DK"/>
        </w:rPr>
      </w:pPr>
      <w:r>
        <w:rPr>
          <w:lang w:val="da-DK"/>
        </w:rPr>
      </w:r>
    </w:p>
    <w:p>
      <w:pPr>
        <w:pStyle w:val="Normal"/>
        <w:rPr>
          <w:lang w:val="da-DK"/>
        </w:rPr>
      </w:pPr>
      <w:r>
        <w:rPr>
          <w:lang w:val="da-DK"/>
        </w:rPr>
        <w:t>Ved start/genstart af servicen foretages altid en fuld synkronisering, og ellers udføres der en fuld synkronisering 2 gange om dagen (lidt før kl 5 om morgenen, og lidt før kl 17 om eftermiddagen).</w:t>
      </w:r>
    </w:p>
    <w:p>
      <w:pPr>
        <w:pStyle w:val="Normal"/>
        <w:spacing w:before="0" w:after="160"/>
        <w:rPr>
          <w:lang w:val="da-DK"/>
        </w:rPr>
      </w:pPr>
      <w:r>
        <w:rPr>
          <w:lang w:val="da-DK"/>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709" w:top="1701" w:footer="709" w:bottom="170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erdana">
    <w:charset w:val="01"/>
    <w:family w:val="roman"/>
    <w:pitch w:val="variable"/>
  </w:font>
  <w:font w:name="Courier New">
    <w:charset w:val="01"/>
    <w:family w:val="roman"/>
    <w:pitch w:val="variable"/>
  </w:font>
  <w:font w:name="Segoe UI">
    <w:charset w:val="01"/>
    <w:family w:val="roman"/>
    <w:pitch w:val="variable"/>
  </w:font>
  <w:font w:name="Liberation Sans">
    <w:altName w:val="Arial"/>
    <w:charset w:val="01"/>
    <w:family w:val="swiss"/>
    <w:pitch w:val="variable"/>
  </w:font>
  <w:font w:name="Calibri Light">
    <w:charset w:val="01"/>
    <w:family w:val="roman"/>
    <w:pitch w:val="variable"/>
  </w:font>
  <w:font w:name="Cascadia Mono">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728636285"/>
    </w:sdtPr>
    <w:sdtContent>
      <w:p>
        <w:pPr>
          <w:pStyle w:val="Footer"/>
          <w:rPr>
            <w:b/>
            <w:bCs/>
            <w:sz w:val="16"/>
            <w:szCs w:val="16"/>
            <w:lang w:val="da-DK"/>
          </w:rPr>
        </w:pPr>
        <w:r>
          <w:rPr>
            <w:bCs/>
            <w:sz w:val="16"/>
            <w:szCs w:val="16"/>
            <w:lang w:val="da-DK"/>
          </w:rPr>
          <w:t>Digital Identity ApS</w:t>
          <w:tab/>
          <w:tab/>
        </w:r>
        <w:r>
          <w:rPr>
            <w:b/>
            <w:bCs/>
            <w:sz w:val="16"/>
            <w:szCs w:val="16"/>
          </w:rPr>
          <w:fldChar w:fldCharType="begin"/>
        </w:r>
        <w:r>
          <w:rPr>
            <w:sz w:val="16"/>
            <w:b/>
            <w:szCs w:val="16"/>
            <w:bCs/>
          </w:rPr>
          <w:instrText xml:space="preserve"> PAGE </w:instrText>
        </w:r>
        <w:r>
          <w:rPr>
            <w:sz w:val="16"/>
            <w:b/>
            <w:szCs w:val="16"/>
            <w:bCs/>
          </w:rPr>
          <w:fldChar w:fldCharType="separate"/>
        </w:r>
        <w:r>
          <w:rPr>
            <w:sz w:val="16"/>
            <w:b/>
            <w:szCs w:val="16"/>
            <w:bCs/>
          </w:rPr>
          <w:t>5</w:t>
        </w:r>
        <w:r>
          <w:rPr>
            <w:sz w:val="16"/>
            <w:b/>
            <w:szCs w:val="16"/>
            <w:bCs/>
          </w:rPr>
          <w:fldChar w:fldCharType="end"/>
        </w:r>
        <w:r>
          <w:rPr>
            <w:sz w:val="16"/>
            <w:szCs w:val="16"/>
            <w:lang w:val="da-DK"/>
          </w:rPr>
          <w:t xml:space="preserve"> / </w:t>
        </w:r>
        <w:r>
          <w:rPr>
            <w:b/>
            <w:bCs/>
            <w:sz w:val="16"/>
            <w:szCs w:val="16"/>
          </w:rPr>
          <w:fldChar w:fldCharType="begin"/>
        </w:r>
        <w:r>
          <w:rPr>
            <w:sz w:val="16"/>
            <w:b/>
            <w:szCs w:val="16"/>
            <w:bCs/>
          </w:rPr>
          <w:instrText xml:space="preserve"> NUMPAGES </w:instrText>
        </w:r>
        <w:r>
          <w:rPr>
            <w:sz w:val="16"/>
            <w:b/>
            <w:szCs w:val="16"/>
            <w:bCs/>
          </w:rPr>
          <w:fldChar w:fldCharType="separate"/>
        </w:r>
        <w:r>
          <w:rPr>
            <w:sz w:val="16"/>
            <w:b/>
            <w:szCs w:val="16"/>
            <w:bCs/>
          </w:rPr>
          <w:t>7</w:t>
        </w:r>
        <w:r>
          <w:rPr>
            <w:sz w:val="16"/>
            <w:b/>
            <w:szCs w:val="16"/>
            <w:bCs/>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drawing>
        <wp:inline distT="0" distB="0" distL="0" distR="0">
          <wp:extent cx="1569720" cy="429895"/>
          <wp:effectExtent l="0" t="0" r="0" b="0"/>
          <wp:docPr id="2" name="Billed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lede 29" descr=""/>
                  <pic:cNvPicPr>
                    <a:picLocks noChangeAspect="1" noChangeArrowheads="1"/>
                  </pic:cNvPicPr>
                </pic:nvPicPr>
                <pic:blipFill>
                  <a:blip r:embed="rId1"/>
                  <a:stretch>
                    <a:fillRect/>
                  </a:stretch>
                </pic:blipFill>
                <pic:spPr bwMode="auto">
                  <a:xfrm>
                    <a:off x="0" y="0"/>
                    <a:ext cx="1569720" cy="429895"/>
                  </a:xfrm>
                  <a:prstGeom prst="rect">
                    <a:avLst/>
                  </a:prstGeom>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720" w:hanging="360"/>
      </w:pPr>
      <w:rPr/>
    </w:lvl>
    <w:lvl w:ilvl="1">
      <w:start w:val="1"/>
      <w:pStyle w:val="Heading2"/>
      <w:isLgl/>
      <w:numFmt w:val="decimal"/>
      <w:lvlText w:val="%1.%2"/>
      <w:lvlJc w:val="left"/>
      <w:pPr>
        <w:tabs>
          <w:tab w:val="num" w:pos="0"/>
        </w:tabs>
        <w:ind w:left="1080" w:hanging="720"/>
      </w:pPr>
      <w:rPr/>
    </w:lvl>
    <w:lvl w:ilvl="2">
      <w:start w:val="1"/>
      <w:pStyle w:val="Heading3"/>
      <w:isLgl/>
      <w:numFmt w:val="decimal"/>
      <w:lvlText w:val="%1.%2.%3"/>
      <w:lvlJc w:val="left"/>
      <w:pPr>
        <w:tabs>
          <w:tab w:val="num" w:pos="0"/>
        </w:tabs>
        <w:ind w:left="1080" w:hanging="1080"/>
      </w:pPr>
      <w:rPr/>
    </w:lvl>
    <w:lvl w:ilvl="3">
      <w:start w:val="1"/>
      <w:isLgl/>
      <w:numFmt w:val="decimal"/>
      <w:lvlText w:val="%1.%2.%3.%4"/>
      <w:lvlJc w:val="left"/>
      <w:pPr>
        <w:tabs>
          <w:tab w:val="num" w:pos="0"/>
        </w:tabs>
        <w:ind w:left="1800" w:hanging="1440"/>
      </w:pPr>
      <w:rPr/>
    </w:lvl>
    <w:lvl w:ilvl="4">
      <w:start w:val="1"/>
      <w:isLgl/>
      <w:numFmt w:val="decimal"/>
      <w:lvlText w:val="%1.%2.%3.%4.%5"/>
      <w:lvlJc w:val="left"/>
      <w:pPr>
        <w:tabs>
          <w:tab w:val="num" w:pos="0"/>
        </w:tabs>
        <w:ind w:left="2160" w:hanging="180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520" w:hanging="2160"/>
      </w:pPr>
      <w:rPr/>
    </w:lvl>
    <w:lvl w:ilvl="7">
      <w:start w:val="1"/>
      <w:isLgl/>
      <w:numFmt w:val="decimal"/>
      <w:lvlText w:val="%1.%2.%3.%4.%5.%6.%7.%8"/>
      <w:lvlJc w:val="left"/>
      <w:pPr>
        <w:tabs>
          <w:tab w:val="num" w:pos="0"/>
        </w:tabs>
        <w:ind w:left="2880" w:hanging="2520"/>
      </w:pPr>
      <w:rPr/>
    </w:lvl>
    <w:lvl w:ilvl="8">
      <w:start w:val="1"/>
      <w:isLgl/>
      <w:numFmt w:val="decimal"/>
      <w:lvlText w:val="%1.%2.%3.%4.%5.%6.%7.%8.%9"/>
      <w:lvlJc w:val="left"/>
      <w:pPr>
        <w:tabs>
          <w:tab w:val="num" w:pos="0"/>
        </w:tabs>
        <w:ind w:left="3240" w:hanging="28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20"/>
  <w:defaultTabStop w:val="1304"/>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a-DK"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46fae"/>
    <w:pPr>
      <w:widowControl/>
      <w:bidi w:val="0"/>
      <w:spacing w:lineRule="auto" w:line="259" w:before="0" w:after="160"/>
      <w:jc w:val="left"/>
    </w:pPr>
    <w:rPr>
      <w:rFonts w:ascii="Verdana" w:hAnsi="Verdana" w:eastAsia="Calibri" w:cs="" w:cstheme="minorBidi" w:eastAsiaTheme="minorHAnsi"/>
      <w:color w:val="auto"/>
      <w:kern w:val="0"/>
      <w:sz w:val="20"/>
      <w:szCs w:val="20"/>
      <w:lang w:val="en-US" w:eastAsia="en-US" w:bidi="ar-SA"/>
    </w:rPr>
  </w:style>
  <w:style w:type="paragraph" w:styleId="Heading1">
    <w:name w:val="Heading 1"/>
    <w:basedOn w:val="Normal"/>
    <w:next w:val="Normal"/>
    <w:link w:val="Heading1Char"/>
    <w:uiPriority w:val="9"/>
    <w:qFormat/>
    <w:rsid w:val="00ba794a"/>
    <w:pPr>
      <w:keepNext w:val="true"/>
      <w:keepLines/>
      <w:numPr>
        <w:ilvl w:val="0"/>
        <w:numId w:val="1"/>
      </w:numPr>
      <w:spacing w:before="240" w:after="120"/>
      <w:ind w:hanging="567" w:left="567"/>
      <w:outlineLvl w:val="0"/>
    </w:pPr>
    <w:rPr>
      <w:rFonts w:eastAsia="" w:cs="" w:cstheme="majorBidi" w:eastAsiaTheme="majorEastAsia"/>
      <w:color w:val="373D54"/>
      <w:sz w:val="36"/>
      <w:szCs w:val="36"/>
    </w:rPr>
  </w:style>
  <w:style w:type="paragraph" w:styleId="Heading2">
    <w:name w:val="Heading 2"/>
    <w:basedOn w:val="Normal"/>
    <w:next w:val="Normal"/>
    <w:link w:val="Heading2Char"/>
    <w:uiPriority w:val="9"/>
    <w:unhideWhenUsed/>
    <w:qFormat/>
    <w:rsid w:val="00ba794a"/>
    <w:pPr>
      <w:keepNext w:val="true"/>
      <w:keepLines/>
      <w:numPr>
        <w:ilvl w:val="1"/>
        <w:numId w:val="1"/>
      </w:numPr>
      <w:spacing w:before="40" w:after="120"/>
      <w:ind w:hanging="862" w:left="851"/>
      <w:outlineLvl w:val="1"/>
    </w:pPr>
    <w:rPr>
      <w:rFonts w:eastAsia="" w:cs="" w:cstheme="majorBidi" w:eastAsiaTheme="majorEastAsia"/>
      <w:color w:val="525E7E"/>
      <w:sz w:val="28"/>
      <w:szCs w:val="28"/>
    </w:rPr>
  </w:style>
  <w:style w:type="paragraph" w:styleId="Heading3">
    <w:name w:val="Heading 3"/>
    <w:basedOn w:val="Normal"/>
    <w:next w:val="Normal"/>
    <w:link w:val="Heading3Char"/>
    <w:uiPriority w:val="9"/>
    <w:unhideWhenUsed/>
    <w:qFormat/>
    <w:rsid w:val="00ba7153"/>
    <w:pPr>
      <w:keepNext w:val="true"/>
      <w:keepLines/>
      <w:numPr>
        <w:ilvl w:val="2"/>
        <w:numId w:val="1"/>
      </w:numPr>
      <w:spacing w:before="40" w:after="120"/>
      <w:ind w:hanging="851" w:left="851"/>
      <w:outlineLvl w:val="2"/>
    </w:pPr>
    <w:rPr>
      <w:rFonts w:eastAsia="" w:cs="" w:cstheme="majorBidi" w:eastAsiaTheme="majorEastAsia"/>
      <w:color w:val="525E7E"/>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a794a"/>
    <w:rPr>
      <w:rFonts w:ascii="Verdana" w:hAnsi="Verdana" w:eastAsia="" w:cs="" w:cstheme="majorBidi" w:eastAsiaTheme="majorEastAsia"/>
      <w:color w:val="373D54"/>
      <w:sz w:val="36"/>
      <w:szCs w:val="36"/>
      <w:lang w:val="en-US"/>
    </w:rPr>
  </w:style>
  <w:style w:type="character" w:styleId="Heading2Char" w:customStyle="1">
    <w:name w:val="Heading 2 Char"/>
    <w:basedOn w:val="DefaultParagraphFont"/>
    <w:link w:val="Heading2"/>
    <w:uiPriority w:val="9"/>
    <w:qFormat/>
    <w:rsid w:val="00ba794a"/>
    <w:rPr>
      <w:rFonts w:ascii="Verdana" w:hAnsi="Verdana" w:eastAsia="" w:cs="" w:cstheme="majorBidi" w:eastAsiaTheme="majorEastAsia"/>
      <w:color w:val="525E7E"/>
      <w:sz w:val="28"/>
      <w:szCs w:val="28"/>
      <w:lang w:val="en-US"/>
    </w:rPr>
  </w:style>
  <w:style w:type="character" w:styleId="HeaderChar" w:customStyle="1">
    <w:name w:val="Header Char"/>
    <w:basedOn w:val="DefaultParagraphFont"/>
    <w:link w:val="Header"/>
    <w:uiPriority w:val="99"/>
    <w:qFormat/>
    <w:rsid w:val="00ba794a"/>
    <w:rPr>
      <w:rFonts w:ascii="Verdana" w:hAnsi="Verdana"/>
      <w:sz w:val="20"/>
      <w:szCs w:val="20"/>
      <w:lang w:val="en-US"/>
    </w:rPr>
  </w:style>
  <w:style w:type="character" w:styleId="FooterChar" w:customStyle="1">
    <w:name w:val="Footer Char"/>
    <w:basedOn w:val="DefaultParagraphFont"/>
    <w:link w:val="Footer"/>
    <w:uiPriority w:val="99"/>
    <w:qFormat/>
    <w:rsid w:val="00ba794a"/>
    <w:rPr>
      <w:rFonts w:ascii="Verdana" w:hAnsi="Verdana"/>
      <w:sz w:val="20"/>
      <w:szCs w:val="20"/>
      <w:lang w:val="en-US"/>
    </w:rPr>
  </w:style>
  <w:style w:type="character" w:styleId="Hyperlink">
    <w:name w:val="Hyperlink"/>
    <w:basedOn w:val="DefaultParagraphFont"/>
    <w:uiPriority w:val="99"/>
    <w:unhideWhenUsed/>
    <w:rsid w:val="00ba794a"/>
    <w:rPr>
      <w:color w:themeColor="hyperlink" w:val="0563C1"/>
      <w:u w:val="single"/>
    </w:rPr>
  </w:style>
  <w:style w:type="character" w:styleId="Heading3Char" w:customStyle="1">
    <w:name w:val="Heading 3 Char"/>
    <w:basedOn w:val="DefaultParagraphFont"/>
    <w:link w:val="Heading3"/>
    <w:uiPriority w:val="9"/>
    <w:qFormat/>
    <w:rsid w:val="00ba7153"/>
    <w:rPr>
      <w:rFonts w:ascii="Verdana" w:hAnsi="Verdana" w:eastAsia="" w:cs="" w:cstheme="majorBidi" w:eastAsiaTheme="majorEastAsia"/>
      <w:color w:val="525E7E"/>
      <w:sz w:val="24"/>
      <w:szCs w:val="24"/>
      <w:lang w:val="en-US"/>
    </w:rPr>
  </w:style>
  <w:style w:type="character" w:styleId="sc01" w:customStyle="1">
    <w:name w:val="sc01"/>
    <w:basedOn w:val="DefaultParagraphFont"/>
    <w:qFormat/>
    <w:rsid w:val="00354b86"/>
    <w:rPr>
      <w:rFonts w:ascii="Courier New" w:hAnsi="Courier New" w:cs="Courier New"/>
      <w:b/>
      <w:bCs/>
      <w:color w:val="000000"/>
      <w:sz w:val="20"/>
      <w:szCs w:val="20"/>
    </w:rPr>
  </w:style>
  <w:style w:type="character" w:styleId="sc11" w:customStyle="1">
    <w:name w:val="sc11"/>
    <w:basedOn w:val="DefaultParagraphFont"/>
    <w:qFormat/>
    <w:rsid w:val="00354b86"/>
    <w:rPr>
      <w:rFonts w:ascii="Courier New" w:hAnsi="Courier New" w:cs="Courier New"/>
      <w:color w:val="0000FF"/>
      <w:sz w:val="20"/>
      <w:szCs w:val="20"/>
    </w:rPr>
  </w:style>
  <w:style w:type="character" w:styleId="sc8" w:customStyle="1">
    <w:name w:val="sc8"/>
    <w:basedOn w:val="DefaultParagraphFont"/>
    <w:qFormat/>
    <w:rsid w:val="00354b86"/>
    <w:rPr>
      <w:rFonts w:ascii="Courier New" w:hAnsi="Courier New" w:cs="Courier New"/>
      <w:color w:val="000000"/>
      <w:sz w:val="20"/>
      <w:szCs w:val="20"/>
    </w:rPr>
  </w:style>
  <w:style w:type="character" w:styleId="sc31" w:customStyle="1">
    <w:name w:val="sc31"/>
    <w:basedOn w:val="DefaultParagraphFont"/>
    <w:qFormat/>
    <w:rsid w:val="00354b86"/>
    <w:rPr>
      <w:rFonts w:ascii="Courier New" w:hAnsi="Courier New" w:cs="Courier New"/>
      <w:color w:val="FF0000"/>
      <w:sz w:val="20"/>
      <w:szCs w:val="20"/>
    </w:rPr>
  </w:style>
  <w:style w:type="character" w:styleId="sc61" w:customStyle="1">
    <w:name w:val="sc61"/>
    <w:basedOn w:val="DefaultParagraphFont"/>
    <w:qFormat/>
    <w:rsid w:val="00354b86"/>
    <w:rPr>
      <w:rFonts w:ascii="Courier New" w:hAnsi="Courier New" w:cs="Courier New"/>
      <w:b/>
      <w:bCs/>
      <w:color w:val="8000FF"/>
      <w:sz w:val="20"/>
      <w:szCs w:val="20"/>
    </w:rPr>
  </w:style>
  <w:style w:type="character" w:styleId="Mention">
    <w:name w:val="Mention"/>
    <w:basedOn w:val="DefaultParagraphFont"/>
    <w:uiPriority w:val="99"/>
    <w:semiHidden/>
    <w:unhideWhenUsed/>
    <w:qFormat/>
    <w:rsid w:val="0074002a"/>
    <w:rPr>
      <w:color w:val="2B579A"/>
      <w:shd w:fill="E6E6E6" w:val="clear"/>
    </w:rPr>
  </w:style>
  <w:style w:type="character" w:styleId="IntenseEmphasis">
    <w:name w:val="Intense Emphasis"/>
    <w:basedOn w:val="DefaultParagraphFont"/>
    <w:uiPriority w:val="21"/>
    <w:qFormat/>
    <w:rsid w:val="00de31bb"/>
    <w:rPr>
      <w:i/>
      <w:iCs/>
      <w:color w:themeColor="accent1" w:val="5B9BD5"/>
    </w:rPr>
  </w:style>
  <w:style w:type="character" w:styleId="UnresolvedMention">
    <w:name w:val="Unresolved Mention"/>
    <w:basedOn w:val="DefaultParagraphFont"/>
    <w:uiPriority w:val="99"/>
    <w:semiHidden/>
    <w:unhideWhenUsed/>
    <w:qFormat/>
    <w:rsid w:val="00a24ff0"/>
    <w:rPr>
      <w:color w:val="808080"/>
      <w:shd w:fill="E6E6E6" w:val="clear"/>
    </w:rPr>
  </w:style>
  <w:style w:type="character" w:styleId="BalloonTextChar" w:customStyle="1">
    <w:name w:val="Balloon Text Char"/>
    <w:basedOn w:val="DefaultParagraphFont"/>
    <w:link w:val="BalloonText"/>
    <w:uiPriority w:val="99"/>
    <w:semiHidden/>
    <w:qFormat/>
    <w:rsid w:val="008465fc"/>
    <w:rPr>
      <w:rFonts w:ascii="Segoe UI" w:hAnsi="Segoe UI" w:cs="Segoe UI"/>
      <w:sz w:val="18"/>
      <w:szCs w:val="18"/>
      <w:lang w:val="en-US"/>
    </w:rPr>
  </w:style>
  <w:style w:type="character" w:styleId="annotationreference">
    <w:name w:val="annotation reference"/>
    <w:basedOn w:val="DefaultParagraphFont"/>
    <w:uiPriority w:val="99"/>
    <w:semiHidden/>
    <w:unhideWhenUsed/>
    <w:qFormat/>
    <w:rsid w:val="00cf2d15"/>
    <w:rPr>
      <w:sz w:val="16"/>
      <w:szCs w:val="16"/>
    </w:rPr>
  </w:style>
  <w:style w:type="character" w:styleId="CommentTextChar" w:customStyle="1">
    <w:name w:val="Comment Text Char"/>
    <w:basedOn w:val="DefaultParagraphFont"/>
    <w:link w:val="AnnotationText"/>
    <w:uiPriority w:val="99"/>
    <w:semiHidden/>
    <w:qFormat/>
    <w:rsid w:val="00cf2d15"/>
    <w:rPr>
      <w:rFonts w:ascii="Verdana" w:hAnsi="Verdana"/>
      <w:sz w:val="20"/>
      <w:szCs w:val="20"/>
      <w:lang w:val="en-US"/>
    </w:rPr>
  </w:style>
  <w:style w:type="character" w:styleId="CommentSubjectChar" w:customStyle="1">
    <w:name w:val="Comment Subject Char"/>
    <w:basedOn w:val="CommentTextChar"/>
    <w:link w:val="annotationsubject"/>
    <w:uiPriority w:val="99"/>
    <w:semiHidden/>
    <w:qFormat/>
    <w:rsid w:val="00cf2d15"/>
    <w:rPr>
      <w:rFonts w:ascii="Verdana" w:hAnsi="Verdana"/>
      <w:b/>
      <w:bCs/>
      <w:sz w:val="20"/>
      <w:szCs w:val="20"/>
      <w:lang w:val="en-U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ba794a"/>
    <w:pPr>
      <w:tabs>
        <w:tab w:val="clear" w:pos="1304"/>
        <w:tab w:val="center" w:pos="4819" w:leader="none"/>
        <w:tab w:val="right" w:pos="9638" w:leader="none"/>
      </w:tabs>
      <w:spacing w:lineRule="auto" w:line="240" w:before="0" w:after="0"/>
    </w:pPr>
    <w:rPr/>
  </w:style>
  <w:style w:type="paragraph" w:styleId="Footer">
    <w:name w:val="Footer"/>
    <w:basedOn w:val="Normal"/>
    <w:link w:val="FooterChar"/>
    <w:uiPriority w:val="99"/>
    <w:unhideWhenUsed/>
    <w:rsid w:val="00ba794a"/>
    <w:pPr>
      <w:tabs>
        <w:tab w:val="clear" w:pos="1304"/>
        <w:tab w:val="center" w:pos="4819" w:leader="none"/>
        <w:tab w:val="right" w:pos="9638"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ba794a"/>
    <w:pPr>
      <w:numPr>
        <w:ilvl w:val="0"/>
        <w:numId w:val="0"/>
      </w:numPr>
      <w:spacing w:before="240" w:after="0"/>
      <w:ind w:hanging="567" w:left="567"/>
      <w:outlineLvl w:val="9"/>
    </w:pPr>
    <w:rPr>
      <w:rFonts w:ascii="Calibri Light" w:hAnsi="Calibri Light" w:asciiTheme="majorHAnsi" w:hAnsiTheme="majorHAnsi"/>
      <w:color w:themeColor="accent1" w:themeShade="bf" w:val="2E74B5"/>
      <w:lang w:val="da-DK" w:eastAsia="da-DK"/>
    </w:rPr>
  </w:style>
  <w:style w:type="paragraph" w:styleId="TOC1">
    <w:name w:val="TOC 1"/>
    <w:basedOn w:val="Normal"/>
    <w:next w:val="Normal"/>
    <w:autoRedefine/>
    <w:uiPriority w:val="39"/>
    <w:unhideWhenUsed/>
    <w:rsid w:val="00ba794a"/>
    <w:pPr>
      <w:spacing w:before="0" w:after="100"/>
    </w:pPr>
    <w:rPr/>
  </w:style>
  <w:style w:type="paragraph" w:styleId="TOC2">
    <w:name w:val="TOC 2"/>
    <w:basedOn w:val="Normal"/>
    <w:next w:val="Normal"/>
    <w:autoRedefine/>
    <w:uiPriority w:val="39"/>
    <w:unhideWhenUsed/>
    <w:rsid w:val="00ba794a"/>
    <w:pPr>
      <w:spacing w:before="0" w:after="100"/>
      <w:ind w:left="200"/>
    </w:pPr>
    <w:rPr/>
  </w:style>
  <w:style w:type="paragraph" w:styleId="ListParagraph">
    <w:name w:val="List Paragraph"/>
    <w:basedOn w:val="Normal"/>
    <w:uiPriority w:val="34"/>
    <w:qFormat/>
    <w:rsid w:val="00354b86"/>
    <w:pPr>
      <w:spacing w:before="0" w:after="160"/>
      <w:ind w:left="720"/>
      <w:contextualSpacing/>
    </w:pPr>
    <w:rPr/>
  </w:style>
  <w:style w:type="paragraph" w:styleId="TOC3">
    <w:name w:val="TOC 3"/>
    <w:basedOn w:val="Normal"/>
    <w:next w:val="Normal"/>
    <w:autoRedefine/>
    <w:uiPriority w:val="39"/>
    <w:unhideWhenUsed/>
    <w:rsid w:val="00de31bb"/>
    <w:pPr>
      <w:spacing w:before="0" w:after="100"/>
      <w:ind w:left="400"/>
    </w:pPr>
    <w:rPr/>
  </w:style>
  <w:style w:type="paragraph" w:styleId="BalloonText">
    <w:name w:val="Balloon Text"/>
    <w:basedOn w:val="Normal"/>
    <w:link w:val="BalloonTextChar"/>
    <w:uiPriority w:val="99"/>
    <w:semiHidden/>
    <w:unhideWhenUsed/>
    <w:qFormat/>
    <w:rsid w:val="008465fc"/>
    <w:pPr>
      <w:spacing w:lineRule="auto" w:line="240" w:before="0" w:after="0"/>
    </w:pPr>
    <w:rPr>
      <w:rFonts w:ascii="Segoe UI" w:hAnsi="Segoe UI" w:cs="Segoe UI"/>
      <w:sz w:val="18"/>
      <w:szCs w:val="18"/>
    </w:rPr>
  </w:style>
  <w:style w:type="paragraph" w:styleId="AnnotationText">
    <w:name w:val="Annotation Text"/>
    <w:basedOn w:val="Normal"/>
    <w:link w:val="CommentTextChar"/>
    <w:uiPriority w:val="99"/>
    <w:semiHidden/>
    <w:unhideWhenUsed/>
    <w:rsid w:val="00cf2d15"/>
    <w:pPr>
      <w:spacing w:lineRule="auto" w:line="240"/>
    </w:pPr>
    <w:rPr/>
  </w:style>
  <w:style w:type="paragraph" w:styleId="annotationsubject">
    <w:name w:val="annotation subject"/>
    <w:basedOn w:val="AnnotationText"/>
    <w:next w:val="AnnotationText"/>
    <w:link w:val="CommentSubjectChar"/>
    <w:uiPriority w:val="99"/>
    <w:semiHidden/>
    <w:unhideWhenUsed/>
    <w:qFormat/>
    <w:rsid w:val="00cf2d15"/>
    <w:pPr/>
    <w:rPr>
      <w:b/>
      <w:bCs/>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d7ae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1Light-Accent1">
    <w:name w:val="Grid Table 1 Light Accent 1"/>
    <w:basedOn w:val="TableNormal"/>
    <w:uiPriority w:val="46"/>
    <w:rsid w:val="00ad7aee"/>
    <w:pPr>
      <w:spacing w:after="0" w:line="240" w:lineRule="auto"/>
    </w:pPr>
    <w:tblPr>
      <w:tblStyleRowBandSize w:val="1"/>
      <w:tblStyleColBandSize w:val="1"/>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blPr/>
      <w:tcPr>
        <w:tcBorders>
          <w:bottom w:val="single" w:color="9CC2E5" w:themeColor="accent1" w:sz="12" w:space="0"/>
        </w:tcBorders>
      </w:tcPr>
    </w:tblStylePr>
    <w:tblStylePr w:type="lastRow">
      <w:rPr>
        <w:b/>
        <w:bCs/>
      </w:rPr>
      <w:tblPr/>
      <w:tcPr>
        <w:tcBorders>
          <w:top w:val="double" w:color="9CC2E5" w:themeColor="accen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tema">
  <a:themeElements>
    <a:clrScheme name="Kontor">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091FE-F26B-4635-B3D6-CF6EE4BD1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Application>LibreOffice/24.2.7.2$Linux_X86_64 LibreOffice_project/420$Build-2</Application>
  <AppVersion>15.0000</AppVersion>
  <Pages>7</Pages>
  <Words>1235</Words>
  <Characters>7556</Characters>
  <CharactersWithSpaces>8612</CharactersWithSpaces>
  <Paragraphs>210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2015-05-28T05:42:00Z</dcterms:created>
  <dc:creator>Brian</dc:creator>
  <dc:description/>
  <dc:language>da-DK</dc:language>
  <cp:lastModifiedBy/>
  <cp:lastPrinted>2025-10-23T09:24:00Z</cp:lastPrinted>
  <dcterms:modified xsi:type="dcterms:W3CDTF">2025-11-27T09:16:47Z</dcterms:modified>
  <cp:revision>123</cp:revision>
  <dc:subject/>
  <dc:title/>
</cp:coreProperties>
</file>

<file path=docProps/custom.xml><?xml version="1.0" encoding="utf-8"?>
<Properties xmlns="http://schemas.openxmlformats.org/officeDocument/2006/custom-properties" xmlns:vt="http://schemas.openxmlformats.org/officeDocument/2006/docPropsVTypes"/>
</file>