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3CCB" w14:textId="77777777" w:rsidR="00BA794A" w:rsidRPr="00CC79A8" w:rsidRDefault="00BA794A"/>
    <w:p w14:paraId="513F02E6" w14:textId="77777777" w:rsidR="002E53C0" w:rsidRPr="00CC79A8" w:rsidRDefault="002E53C0"/>
    <w:p w14:paraId="795F1282" w14:textId="77777777" w:rsidR="002E53C0" w:rsidRPr="00CC79A8" w:rsidRDefault="002E53C0"/>
    <w:p w14:paraId="4F560714" w14:textId="77777777" w:rsidR="002E53C0" w:rsidRPr="00CC79A8" w:rsidRDefault="002E53C0"/>
    <w:p w14:paraId="325A5BDD" w14:textId="77777777" w:rsidR="002E53C0" w:rsidRPr="00CC79A8" w:rsidRDefault="002E53C0"/>
    <w:p w14:paraId="4F82FFB5" w14:textId="77777777" w:rsidR="002E53C0" w:rsidRPr="00CC79A8" w:rsidRDefault="002E53C0"/>
    <w:p w14:paraId="6F989519" w14:textId="77777777" w:rsidR="002E53C0" w:rsidRPr="00CC79A8" w:rsidRDefault="002E53C0"/>
    <w:p w14:paraId="4B9CD1D3" w14:textId="77777777" w:rsidR="002E53C0" w:rsidRPr="00CC79A8" w:rsidRDefault="002E53C0"/>
    <w:p w14:paraId="5A2A5B4D" w14:textId="77777777" w:rsidR="002E53C0" w:rsidRPr="00CC79A8" w:rsidRDefault="002E53C0"/>
    <w:p w14:paraId="25FD7609" w14:textId="432E2AA6" w:rsidR="002E53C0" w:rsidRPr="00CC79A8" w:rsidRDefault="00CA3577" w:rsidP="002E53C0">
      <w:pPr>
        <w:jc w:val="center"/>
        <w:rPr>
          <w:sz w:val="48"/>
          <w:szCs w:val="48"/>
        </w:rPr>
      </w:pPr>
      <w:r>
        <w:rPr>
          <w:color w:val="373D54"/>
          <w:sz w:val="48"/>
          <w:szCs w:val="48"/>
        </w:rPr>
        <w:t>OS2sync</w:t>
      </w:r>
    </w:p>
    <w:p w14:paraId="07A601AD" w14:textId="77777777" w:rsidR="002E53C0" w:rsidRPr="00CC79A8" w:rsidRDefault="00481309" w:rsidP="002E53C0">
      <w:pPr>
        <w:jc w:val="center"/>
        <w:rPr>
          <w:sz w:val="32"/>
          <w:szCs w:val="32"/>
        </w:rPr>
      </w:pPr>
      <w:r w:rsidRPr="00CC79A8">
        <w:rPr>
          <w:color w:val="525E7E"/>
          <w:sz w:val="32"/>
          <w:szCs w:val="32"/>
        </w:rPr>
        <w:t>Installation Guide</w:t>
      </w:r>
    </w:p>
    <w:p w14:paraId="069B0B7D" w14:textId="77777777" w:rsidR="002E53C0" w:rsidRPr="00CC79A8" w:rsidRDefault="002E53C0" w:rsidP="002E53C0">
      <w:pPr>
        <w:jc w:val="center"/>
      </w:pPr>
    </w:p>
    <w:p w14:paraId="05147263" w14:textId="77777777" w:rsidR="002E53C0" w:rsidRPr="00CC79A8" w:rsidRDefault="002E53C0" w:rsidP="002E53C0">
      <w:pPr>
        <w:jc w:val="center"/>
      </w:pPr>
    </w:p>
    <w:p w14:paraId="7C74E760" w14:textId="77777777" w:rsidR="002E53C0" w:rsidRPr="00CC79A8" w:rsidRDefault="002E53C0" w:rsidP="002E53C0">
      <w:pPr>
        <w:jc w:val="center"/>
      </w:pPr>
    </w:p>
    <w:p w14:paraId="2BDD3C8C" w14:textId="77777777" w:rsidR="002E53C0" w:rsidRPr="00CC79A8" w:rsidRDefault="002E53C0" w:rsidP="002E53C0"/>
    <w:p w14:paraId="61688546" w14:textId="77777777" w:rsidR="002E53C0" w:rsidRPr="00CC79A8" w:rsidRDefault="002E53C0" w:rsidP="002E53C0"/>
    <w:p w14:paraId="01CDB409" w14:textId="77777777" w:rsidR="002E53C0" w:rsidRPr="00CC79A8" w:rsidRDefault="002E53C0" w:rsidP="002E53C0"/>
    <w:p w14:paraId="4B807C6F" w14:textId="77777777" w:rsidR="002E53C0" w:rsidRPr="00CC79A8" w:rsidRDefault="002E53C0" w:rsidP="002E53C0"/>
    <w:p w14:paraId="1B328CE3" w14:textId="77777777" w:rsidR="002E53C0" w:rsidRPr="00CC79A8" w:rsidRDefault="002E53C0" w:rsidP="002E53C0"/>
    <w:p w14:paraId="7D53B3C8" w14:textId="77777777" w:rsidR="002E53C0" w:rsidRPr="00CC79A8" w:rsidRDefault="002E53C0" w:rsidP="002E53C0"/>
    <w:p w14:paraId="0F24FF43" w14:textId="77777777" w:rsidR="002E53C0" w:rsidRPr="00CC79A8" w:rsidRDefault="002E53C0" w:rsidP="002E53C0"/>
    <w:p w14:paraId="19616DB5" w14:textId="77777777" w:rsidR="002E53C0" w:rsidRPr="00CC79A8" w:rsidRDefault="002E53C0" w:rsidP="002E53C0"/>
    <w:p w14:paraId="49BA6D5A" w14:textId="77777777" w:rsidR="002E53C0" w:rsidRPr="00CC79A8" w:rsidRDefault="002E53C0" w:rsidP="002E53C0"/>
    <w:p w14:paraId="1002032B" w14:textId="1C5A27CA" w:rsidR="002E53C0" w:rsidRPr="00CC79A8" w:rsidRDefault="002E53C0" w:rsidP="002E53C0">
      <w:pPr>
        <w:spacing w:after="40"/>
        <w:ind w:left="1134" w:hanging="1134"/>
      </w:pPr>
      <w:r w:rsidRPr="00CC79A8">
        <w:rPr>
          <w:b/>
        </w:rPr>
        <w:t>Version</w:t>
      </w:r>
      <w:r w:rsidR="00560319">
        <w:t>:</w:t>
      </w:r>
      <w:r w:rsidR="00560319">
        <w:tab/>
      </w:r>
      <w:r w:rsidR="00CA3577">
        <w:t>2</w:t>
      </w:r>
      <w:r w:rsidR="00560319">
        <w:t>.</w:t>
      </w:r>
      <w:r w:rsidR="00CA3577">
        <w:t>0</w:t>
      </w:r>
      <w:r w:rsidR="00986FDF">
        <w:t>.0</w:t>
      </w:r>
    </w:p>
    <w:p w14:paraId="38404A8F" w14:textId="6121B13B" w:rsidR="002E53C0" w:rsidRPr="00CC79A8" w:rsidRDefault="002E53C0" w:rsidP="002E53C0">
      <w:pPr>
        <w:spacing w:after="40"/>
        <w:ind w:left="1134" w:hanging="1134"/>
      </w:pPr>
      <w:r w:rsidRPr="00CC79A8">
        <w:rPr>
          <w:b/>
        </w:rPr>
        <w:t>Date</w:t>
      </w:r>
      <w:r w:rsidR="00560319">
        <w:t>:</w:t>
      </w:r>
      <w:r w:rsidR="00560319">
        <w:tab/>
        <w:t>2</w:t>
      </w:r>
      <w:r w:rsidR="00CA3577">
        <w:t>5</w:t>
      </w:r>
      <w:r w:rsidR="00560319">
        <w:t>.</w:t>
      </w:r>
      <w:r w:rsidR="00CA3577">
        <w:t>11</w:t>
      </w:r>
      <w:r w:rsidR="00560319">
        <w:t>.201</w:t>
      </w:r>
      <w:r w:rsidR="00CA3577">
        <w:t>9</w:t>
      </w:r>
    </w:p>
    <w:p w14:paraId="157923CC" w14:textId="77777777" w:rsidR="002E53C0" w:rsidRPr="00CC79A8" w:rsidRDefault="002E53C0" w:rsidP="002E53C0">
      <w:pPr>
        <w:spacing w:after="40"/>
        <w:ind w:left="1134" w:hanging="1134"/>
      </w:pPr>
      <w:r w:rsidRPr="00CC79A8">
        <w:rPr>
          <w:b/>
        </w:rPr>
        <w:t>Author</w:t>
      </w:r>
      <w:r w:rsidRPr="00CC79A8">
        <w:t>:</w:t>
      </w:r>
      <w:r w:rsidRPr="00CC79A8">
        <w:tab/>
        <w:t>BSG</w:t>
      </w:r>
    </w:p>
    <w:p w14:paraId="635F0666" w14:textId="77777777" w:rsidR="00BA794A" w:rsidRPr="00CC79A8" w:rsidRDefault="00BA794A">
      <w:r w:rsidRPr="00CC79A8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4F856739" w14:textId="77777777" w:rsidR="00BA794A" w:rsidRPr="00CC79A8" w:rsidRDefault="00BA794A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r w:rsidRPr="00CC79A8">
            <w:rPr>
              <w:rFonts w:ascii="Verdana" w:hAnsi="Verdana"/>
              <w:color w:val="525E7E"/>
              <w:lang w:val="en-US"/>
            </w:rPr>
            <w:t>Content</w:t>
          </w:r>
        </w:p>
        <w:p w14:paraId="10442FBB" w14:textId="78CA8F29" w:rsidR="003F017C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CC79A8">
            <w:fldChar w:fldCharType="begin"/>
          </w:r>
          <w:r w:rsidRPr="00CC79A8">
            <w:instrText xml:space="preserve"> TOC \o "1-3" \h \z \u </w:instrText>
          </w:r>
          <w:r w:rsidRPr="00CC79A8">
            <w:fldChar w:fldCharType="separate"/>
          </w:r>
          <w:hyperlink w:anchor="_Toc25738851" w:history="1">
            <w:r w:rsidR="003F017C" w:rsidRPr="00C10A9A">
              <w:rPr>
                <w:rStyle w:val="Hyperlink"/>
                <w:noProof/>
              </w:rPr>
              <w:t>1</w:t>
            </w:r>
            <w:r w:rsidR="003F017C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3F017C" w:rsidRPr="00C10A9A">
              <w:rPr>
                <w:rStyle w:val="Hyperlink"/>
                <w:noProof/>
              </w:rPr>
              <w:t>Introduction</w:t>
            </w:r>
            <w:r w:rsidR="003F017C">
              <w:rPr>
                <w:noProof/>
                <w:webHidden/>
              </w:rPr>
              <w:tab/>
            </w:r>
            <w:r w:rsidR="003F017C">
              <w:rPr>
                <w:noProof/>
                <w:webHidden/>
              </w:rPr>
              <w:fldChar w:fldCharType="begin"/>
            </w:r>
            <w:r w:rsidR="003F017C">
              <w:rPr>
                <w:noProof/>
                <w:webHidden/>
              </w:rPr>
              <w:instrText xml:space="preserve"> PAGEREF _Toc25738851 \h </w:instrText>
            </w:r>
            <w:r w:rsidR="003F017C">
              <w:rPr>
                <w:noProof/>
                <w:webHidden/>
              </w:rPr>
            </w:r>
            <w:r w:rsidR="003F017C">
              <w:rPr>
                <w:noProof/>
                <w:webHidden/>
              </w:rPr>
              <w:fldChar w:fldCharType="separate"/>
            </w:r>
            <w:r w:rsidR="00F1294A">
              <w:rPr>
                <w:noProof/>
                <w:webHidden/>
              </w:rPr>
              <w:t>3</w:t>
            </w:r>
            <w:r w:rsidR="003F017C">
              <w:rPr>
                <w:noProof/>
                <w:webHidden/>
              </w:rPr>
              <w:fldChar w:fldCharType="end"/>
            </w:r>
          </w:hyperlink>
        </w:p>
        <w:p w14:paraId="22E7CB23" w14:textId="58FB6D0A" w:rsidR="003F017C" w:rsidRDefault="003F017C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25738852" w:history="1">
            <w:r w:rsidRPr="00C10A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10A9A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9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CC04" w14:textId="61D9ED34" w:rsidR="003F017C" w:rsidRDefault="003F017C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25738853" w:history="1">
            <w:r w:rsidRPr="00C10A9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10A9A">
              <w:rPr>
                <w:rStyle w:val="Hyperlink"/>
                <w:noProof/>
              </w:rPr>
              <w:t>Windows Service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9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882D" w14:textId="0F1149B8" w:rsidR="003F017C" w:rsidRDefault="003F017C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25738854" w:history="1">
            <w:r w:rsidRPr="00C10A9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10A9A">
              <w:rPr>
                <w:rStyle w:val="Hyperlink"/>
                <w:noProof/>
              </w:rPr>
              <w:t>Docker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9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EE34" w14:textId="017087A6" w:rsidR="003F017C" w:rsidRDefault="003F017C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25738855" w:history="1">
            <w:r w:rsidRPr="00C10A9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10A9A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9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2227" w14:textId="7850AFC8" w:rsidR="003F017C" w:rsidRDefault="003F017C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25738856" w:history="1">
            <w:r w:rsidRPr="00C10A9A">
              <w:rPr>
                <w:rStyle w:val="Hyperlink"/>
                <w:noProof/>
                <w:lang w:eastAsia="da-DK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C10A9A">
              <w:rPr>
                <w:rStyle w:val="Hyperlink"/>
                <w:noProof/>
                <w:lang w:eastAsia="da-DK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9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ACA4" w14:textId="2BAFBF21" w:rsidR="00BA794A" w:rsidRPr="00CC79A8" w:rsidRDefault="00BA794A">
          <w:r w:rsidRPr="00CC79A8">
            <w:rPr>
              <w:b/>
              <w:bCs/>
            </w:rPr>
            <w:fldChar w:fldCharType="end"/>
          </w:r>
        </w:p>
      </w:sdtContent>
    </w:sdt>
    <w:p w14:paraId="0395C648" w14:textId="77777777" w:rsidR="00BA794A" w:rsidRPr="00CC79A8" w:rsidRDefault="00BA794A">
      <w:r w:rsidRPr="00CC79A8">
        <w:br w:type="page"/>
      </w:r>
      <w:bookmarkStart w:id="0" w:name="_GoBack"/>
      <w:bookmarkEnd w:id="0"/>
    </w:p>
    <w:p w14:paraId="23E45C33" w14:textId="77777777" w:rsidR="008A406B" w:rsidRPr="00CC79A8" w:rsidRDefault="00BA7153" w:rsidP="00BA794A">
      <w:pPr>
        <w:pStyle w:val="Heading1"/>
      </w:pPr>
      <w:bookmarkStart w:id="1" w:name="_Toc25738851"/>
      <w:r w:rsidRPr="00CC79A8">
        <w:lastRenderedPageBreak/>
        <w:t>Introduction</w:t>
      </w:r>
      <w:bookmarkEnd w:id="1"/>
    </w:p>
    <w:p w14:paraId="0AB1D22B" w14:textId="33845502" w:rsidR="00ED6720" w:rsidRDefault="00CA3577" w:rsidP="00546FAE">
      <w:r>
        <w:t>OS2sync</w:t>
      </w:r>
      <w:r w:rsidR="00ED6720">
        <w:t xml:space="preserve"> is distributed both as</w:t>
      </w:r>
    </w:p>
    <w:p w14:paraId="76BDFDAC" w14:textId="7716B8A0" w:rsidR="00391085" w:rsidRDefault="00391085" w:rsidP="00391085">
      <w:pPr>
        <w:pStyle w:val="ListParagraph"/>
        <w:numPr>
          <w:ilvl w:val="0"/>
          <w:numId w:val="20"/>
        </w:numPr>
      </w:pPr>
      <w:r>
        <w:t>Source code</w:t>
      </w:r>
    </w:p>
    <w:p w14:paraId="709B7A8E" w14:textId="35A6E66B" w:rsidR="00391085" w:rsidRDefault="00391085" w:rsidP="00391085">
      <w:pPr>
        <w:pStyle w:val="ListParagraph"/>
        <w:numPr>
          <w:ilvl w:val="0"/>
          <w:numId w:val="20"/>
        </w:numPr>
      </w:pPr>
      <w:r>
        <w:t>Precompiled Windows Service</w:t>
      </w:r>
    </w:p>
    <w:p w14:paraId="5EE261F3" w14:textId="5B626C77" w:rsidR="00391085" w:rsidRDefault="00391085" w:rsidP="00391085">
      <w:pPr>
        <w:pStyle w:val="ListParagraph"/>
        <w:numPr>
          <w:ilvl w:val="0"/>
          <w:numId w:val="20"/>
        </w:numPr>
      </w:pPr>
      <w:r>
        <w:t>Docker image</w:t>
      </w:r>
    </w:p>
    <w:p w14:paraId="69E7F4E2" w14:textId="76C3B353" w:rsidR="00391085" w:rsidRDefault="00391085" w:rsidP="00391085">
      <w:r>
        <w:t>This document covers the installation of the precompiled windows service, as well as the docker image.</w:t>
      </w:r>
    </w:p>
    <w:p w14:paraId="74F10DF1" w14:textId="77777777" w:rsidR="00DA7486" w:rsidRDefault="00ED6720" w:rsidP="00ED6720">
      <w:pPr>
        <w:pStyle w:val="Heading1"/>
      </w:pPr>
      <w:bookmarkStart w:id="2" w:name="_Toc25738852"/>
      <w:r>
        <w:t>Pre-requisites</w:t>
      </w:r>
      <w:bookmarkEnd w:id="2"/>
    </w:p>
    <w:p w14:paraId="5EB0BB41" w14:textId="3D5AFB44" w:rsidR="00ED6720" w:rsidRDefault="000377A8" w:rsidP="00ED6720">
      <w:r>
        <w:t xml:space="preserve">Before </w:t>
      </w:r>
      <w:r w:rsidR="00391085">
        <w:t>OS2sync</w:t>
      </w:r>
      <w:r>
        <w:t xml:space="preserve"> can be taken into use, a FOCES certificate must be procured, and all relevant service-agreements must be in place.</w:t>
      </w:r>
    </w:p>
    <w:p w14:paraId="7BB5784C" w14:textId="5830B241" w:rsidR="0021061B" w:rsidRDefault="00391085" w:rsidP="0021061B">
      <w:r>
        <w:t xml:space="preserve">A service-agreement is created at KOMBITs </w:t>
      </w:r>
      <w:proofErr w:type="spellStart"/>
      <w:r>
        <w:t>administrationsmodul</w:t>
      </w:r>
      <w:proofErr w:type="spellEnd"/>
    </w:p>
    <w:p w14:paraId="5F335BAD" w14:textId="69EE3E89" w:rsidR="00391085" w:rsidRDefault="00391085" w:rsidP="0021061B">
      <w:hyperlink r:id="rId8" w:history="1">
        <w:r w:rsidRPr="004568E9">
          <w:rPr>
            <w:rStyle w:val="Hyperlink"/>
          </w:rPr>
          <w:t>https://admin.serviceplatformen.dk</w:t>
        </w:r>
      </w:hyperlink>
    </w:p>
    <w:p w14:paraId="4B793DD5" w14:textId="2616DDD4" w:rsidR="00391085" w:rsidRDefault="00391085" w:rsidP="0021061B">
      <w:r>
        <w:t>It is important that the “</w:t>
      </w:r>
      <w:proofErr w:type="spellStart"/>
      <w:r>
        <w:t>Organisation</w:t>
      </w:r>
      <w:proofErr w:type="spellEnd"/>
      <w:r>
        <w:t xml:space="preserve"> V5” service, as well as the coupled “organisation2” service is part of the agreement.</w:t>
      </w:r>
    </w:p>
    <w:p w14:paraId="4A365AAF" w14:textId="5B0D6CE6" w:rsidR="00391085" w:rsidRPr="00ED6720" w:rsidRDefault="00391085" w:rsidP="0021061B">
      <w:r>
        <w:t xml:space="preserve">Make sure to say “Ja” to the </w:t>
      </w:r>
      <w:proofErr w:type="spellStart"/>
      <w:r>
        <w:t>SeNavn</w:t>
      </w:r>
      <w:proofErr w:type="spellEnd"/>
      <w:r>
        <w:t xml:space="preserve"> and </w:t>
      </w:r>
      <w:proofErr w:type="spellStart"/>
      <w:r>
        <w:t>SeCpr</w:t>
      </w:r>
      <w:proofErr w:type="spellEnd"/>
      <w:r>
        <w:t xml:space="preserve"> data constraints (if that information is needed). Otherwise “</w:t>
      </w:r>
      <w:proofErr w:type="spellStart"/>
      <w:r>
        <w:t>Nej</w:t>
      </w:r>
      <w:proofErr w:type="spellEnd"/>
      <w:r>
        <w:t>” must be entered, or the agreement will not work.</w:t>
      </w:r>
    </w:p>
    <w:p w14:paraId="7BD4EB79" w14:textId="44920B58" w:rsidR="00DA7486" w:rsidRDefault="00391085" w:rsidP="00CC79A8">
      <w:pPr>
        <w:pStyle w:val="Heading1"/>
      </w:pPr>
      <w:bookmarkStart w:id="3" w:name="_Toc25738853"/>
      <w:r>
        <w:t xml:space="preserve">Windows Service </w:t>
      </w:r>
      <w:r w:rsidR="00CC79A8" w:rsidRPr="00CC79A8">
        <w:t>Installation</w:t>
      </w:r>
      <w:bookmarkEnd w:id="3"/>
    </w:p>
    <w:p w14:paraId="31CA0DC1" w14:textId="12C5570B" w:rsidR="00391085" w:rsidRDefault="00391085" w:rsidP="00391085">
      <w:r>
        <w:t>Installing the Windows Service is as simple as running the EXE installer. It will install all the needed files.</w:t>
      </w:r>
    </w:p>
    <w:p w14:paraId="37A8FF30" w14:textId="63E3A8DD" w:rsidR="00391085" w:rsidRDefault="00391085" w:rsidP="00391085">
      <w:r>
        <w:t>The folder contains two relevant configuration files, that must be configured before the service is started.</w:t>
      </w:r>
    </w:p>
    <w:p w14:paraId="2FD211F5" w14:textId="300742AB" w:rsidR="00391085" w:rsidRDefault="00391085" w:rsidP="00391085">
      <w:pPr>
        <w:pStyle w:val="ListParagraph"/>
        <w:numPr>
          <w:ilvl w:val="0"/>
          <w:numId w:val="21"/>
        </w:numPr>
      </w:pPr>
      <w:proofErr w:type="spellStart"/>
      <w:proofErr w:type="gramStart"/>
      <w:r>
        <w:t>appsettings.json</w:t>
      </w:r>
      <w:proofErr w:type="spellEnd"/>
      <w:proofErr w:type="gramEnd"/>
    </w:p>
    <w:p w14:paraId="07E581B1" w14:textId="6254A5A2" w:rsidR="00391085" w:rsidRDefault="00391085" w:rsidP="00391085">
      <w:pPr>
        <w:pStyle w:val="ListParagraph"/>
        <w:numPr>
          <w:ilvl w:val="0"/>
          <w:numId w:val="21"/>
        </w:numPr>
      </w:pPr>
      <w:proofErr w:type="spellStart"/>
      <w:r>
        <w:t>log.config</w:t>
      </w:r>
      <w:proofErr w:type="spellEnd"/>
    </w:p>
    <w:p w14:paraId="64631895" w14:textId="4B62A9B4" w:rsidR="00391085" w:rsidRDefault="00391085" w:rsidP="00391085">
      <w:r>
        <w:t xml:space="preserve">The </w:t>
      </w:r>
      <w:proofErr w:type="spellStart"/>
      <w:r>
        <w:t>log.config</w:t>
      </w:r>
      <w:proofErr w:type="spellEnd"/>
      <w:r>
        <w:t xml:space="preserve"> file contains the configuration for logging, and is configured to log to c:\logs\OS2sync, and store up to 10 logfiles of 1 MB each. The file can be edited to change these values, and the default </w:t>
      </w:r>
      <w:proofErr w:type="spellStart"/>
      <w:r>
        <w:t>loglevel</w:t>
      </w:r>
      <w:proofErr w:type="spellEnd"/>
      <w:r>
        <w:t xml:space="preserve"> of INFO can also be changed (e.g. to DEBUG to enable debug logging).</w:t>
      </w:r>
    </w:p>
    <w:p w14:paraId="0C167C2C" w14:textId="4259DC48" w:rsidR="00842139" w:rsidRDefault="00391085" w:rsidP="00BA794A">
      <w:r>
        <w:t xml:space="preserve">The </w:t>
      </w:r>
      <w:proofErr w:type="spellStart"/>
      <w:r>
        <w:t>appsettings.json</w:t>
      </w:r>
      <w:proofErr w:type="spellEnd"/>
      <w:r>
        <w:t xml:space="preserve"> file contains the full configuration for the application. See the configuration section for details.</w:t>
      </w:r>
    </w:p>
    <w:p w14:paraId="0C648B94" w14:textId="21A7E33B" w:rsidR="009400B7" w:rsidRDefault="009400B7" w:rsidP="00BA794A">
      <w:r>
        <w:t xml:space="preserve">Note that the configuration requires the FOCES certificate to be available as a file, and not installed in the Windows </w:t>
      </w:r>
      <w:proofErr w:type="spellStart"/>
      <w:r>
        <w:t>Keystore</w:t>
      </w:r>
      <w:proofErr w:type="spellEnd"/>
      <w:r>
        <w:t xml:space="preserve"> as usual.</w:t>
      </w:r>
    </w:p>
    <w:p w14:paraId="0E480584" w14:textId="423AABB7" w:rsidR="00933EF3" w:rsidRDefault="00933EF3" w:rsidP="00BA794A">
      <w:r>
        <w:t xml:space="preserve">Once the </w:t>
      </w:r>
      <w:r w:rsidR="009400B7">
        <w:t xml:space="preserve">configuration files </w:t>
      </w:r>
      <w:proofErr w:type="gramStart"/>
      <w:r w:rsidR="009400B7">
        <w:t>has</w:t>
      </w:r>
      <w:proofErr w:type="gramEnd"/>
      <w:r w:rsidR="009400B7">
        <w:t xml:space="preserve"> been updated, the service should be configured to run under a service account that can write to the logfile, and access the FOCES </w:t>
      </w:r>
      <w:proofErr w:type="spellStart"/>
      <w:r w:rsidR="009400B7">
        <w:t>keystore</w:t>
      </w:r>
      <w:proofErr w:type="spellEnd"/>
      <w:r w:rsidR="009400B7">
        <w:t xml:space="preserve"> file.</w:t>
      </w:r>
    </w:p>
    <w:p w14:paraId="5FDA622C" w14:textId="4721EA84" w:rsidR="009400B7" w:rsidRDefault="009400B7" w:rsidP="00BA794A">
      <w:r>
        <w:t>The name of the Service is “OS2sync”.</w:t>
      </w:r>
    </w:p>
    <w:p w14:paraId="3D3FB64C" w14:textId="61E6B8CD" w:rsidR="004A063D" w:rsidRDefault="004A063D" w:rsidP="004A063D">
      <w:pPr>
        <w:pStyle w:val="Heading1"/>
      </w:pPr>
      <w:bookmarkStart w:id="4" w:name="_Toc25738854"/>
      <w:r>
        <w:lastRenderedPageBreak/>
        <w:t>Docker Installation</w:t>
      </w:r>
      <w:bookmarkEnd w:id="4"/>
    </w:p>
    <w:p w14:paraId="6B4C7373" w14:textId="1CF8638D" w:rsidR="004A063D" w:rsidRDefault="004A063D" w:rsidP="004A063D">
      <w:r>
        <w:t>It is assumed that the reader is familiar with Docker, and already have a running Docker environment.</w:t>
      </w:r>
    </w:p>
    <w:p w14:paraId="000FE853" w14:textId="5EB859DB" w:rsidR="004A063D" w:rsidRDefault="004A063D" w:rsidP="004A063D">
      <w:r>
        <w:t>The OS2sync container needs to be configured with access to the FOCES certificate, as well as the set of environment variables mentioned in the Configuration section. A small sample docker-</w:t>
      </w:r>
      <w:proofErr w:type="spellStart"/>
      <w:r>
        <w:t>compose.yml</w:t>
      </w:r>
      <w:proofErr w:type="spellEnd"/>
      <w:r>
        <w:t xml:space="preserve"> file is shown below</w:t>
      </w:r>
    </w:p>
    <w:p w14:paraId="615BFE99" w14:textId="21431DD5" w:rsidR="00124D15" w:rsidRDefault="00124D15" w:rsidP="004A063D"/>
    <w:p w14:paraId="7367F832" w14:textId="77777777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>version: "2.0"</w:t>
      </w:r>
    </w:p>
    <w:p w14:paraId="76A9941E" w14:textId="77777777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>services:</w:t>
      </w:r>
    </w:p>
    <w:p w14:paraId="398124AF" w14:textId="404B1B3C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os2sync</w:t>
      </w:r>
      <w:r w:rsidRPr="00124D15">
        <w:rPr>
          <w:rFonts w:ascii="Courier New" w:hAnsi="Courier New" w:cs="Courier New"/>
        </w:rPr>
        <w:t>:</w:t>
      </w:r>
    </w:p>
    <w:p w14:paraId="2A692D09" w14:textId="2F74BF35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image: os2sync</w:t>
      </w:r>
      <w:r>
        <w:rPr>
          <w:rFonts w:ascii="Courier New" w:hAnsi="Courier New" w:cs="Courier New"/>
        </w:rPr>
        <w:t>/linux:2.0.0rc1</w:t>
      </w:r>
    </w:p>
    <w:p w14:paraId="1FF1757C" w14:textId="77777777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ports:</w:t>
      </w:r>
    </w:p>
    <w:p w14:paraId="0D34C6E7" w14:textId="77777777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  - 5000:80</w:t>
      </w:r>
    </w:p>
    <w:p w14:paraId="3CBF4FE1" w14:textId="77777777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environment:</w:t>
      </w:r>
    </w:p>
    <w:p w14:paraId="12683AEA" w14:textId="3774D883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  </w:t>
      </w:r>
      <w:proofErr w:type="spellStart"/>
      <w:r w:rsidRPr="00124D15">
        <w:rPr>
          <w:rFonts w:ascii="Courier New" w:hAnsi="Courier New" w:cs="Courier New"/>
        </w:rPr>
        <w:t>ClientCertPath</w:t>
      </w:r>
      <w:proofErr w:type="spellEnd"/>
      <w:r w:rsidRPr="00124D15">
        <w:rPr>
          <w:rFonts w:ascii="Courier New" w:hAnsi="Courier New" w:cs="Courier New"/>
        </w:rPr>
        <w:t>: "/cert/</w:t>
      </w:r>
      <w:proofErr w:type="spellStart"/>
      <w:r>
        <w:rPr>
          <w:rFonts w:ascii="Courier New" w:hAnsi="Courier New" w:cs="Courier New"/>
        </w:rPr>
        <w:t>keystore</w:t>
      </w:r>
      <w:r w:rsidRPr="00124D15">
        <w:rPr>
          <w:rFonts w:ascii="Courier New" w:hAnsi="Courier New" w:cs="Courier New"/>
        </w:rPr>
        <w:t>.pfx</w:t>
      </w:r>
      <w:proofErr w:type="spellEnd"/>
      <w:r w:rsidRPr="00124D15">
        <w:rPr>
          <w:rFonts w:ascii="Courier New" w:hAnsi="Courier New" w:cs="Courier New"/>
        </w:rPr>
        <w:t>"</w:t>
      </w:r>
    </w:p>
    <w:p w14:paraId="43A8E41F" w14:textId="2F1445CE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  </w:t>
      </w:r>
      <w:proofErr w:type="spellStart"/>
      <w:r w:rsidRPr="00124D15">
        <w:rPr>
          <w:rFonts w:ascii="Courier New" w:hAnsi="Courier New" w:cs="Courier New"/>
        </w:rPr>
        <w:t>ClientCertPassword</w:t>
      </w:r>
      <w:proofErr w:type="spellEnd"/>
      <w:r w:rsidRPr="00124D15">
        <w:rPr>
          <w:rFonts w:ascii="Courier New" w:hAnsi="Courier New" w:cs="Courier New"/>
        </w:rPr>
        <w:t>: "</w:t>
      </w:r>
      <w:r>
        <w:rPr>
          <w:rFonts w:ascii="Courier New" w:hAnsi="Courier New" w:cs="Courier New"/>
        </w:rPr>
        <w:t>password</w:t>
      </w:r>
      <w:r w:rsidRPr="00124D15">
        <w:rPr>
          <w:rFonts w:ascii="Courier New" w:hAnsi="Courier New" w:cs="Courier New"/>
        </w:rPr>
        <w:t>"</w:t>
      </w:r>
    </w:p>
    <w:p w14:paraId="007F50EE" w14:textId="04AF5ABD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  </w:t>
      </w:r>
      <w:proofErr w:type="spellStart"/>
      <w:r w:rsidRPr="00124D15">
        <w:rPr>
          <w:rFonts w:ascii="Courier New" w:hAnsi="Courier New" w:cs="Courier New"/>
        </w:rPr>
        <w:t>EnableScheduler</w:t>
      </w:r>
      <w:proofErr w:type="spellEnd"/>
      <w:r w:rsidRPr="00124D15">
        <w:rPr>
          <w:rFonts w:ascii="Courier New" w:hAnsi="Courier New" w:cs="Courier New"/>
        </w:rPr>
        <w:t>: "</w:t>
      </w:r>
      <w:r>
        <w:rPr>
          <w:rFonts w:ascii="Courier New" w:hAnsi="Courier New" w:cs="Courier New"/>
        </w:rPr>
        <w:t>false</w:t>
      </w:r>
      <w:r w:rsidRPr="00124D15">
        <w:rPr>
          <w:rFonts w:ascii="Courier New" w:hAnsi="Courier New" w:cs="Courier New"/>
        </w:rPr>
        <w:t>"</w:t>
      </w:r>
    </w:p>
    <w:p w14:paraId="2F506B3E" w14:textId="37A3C91C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  Municipality: "</w:t>
      </w:r>
      <w:r>
        <w:rPr>
          <w:rFonts w:ascii="Courier New" w:hAnsi="Courier New" w:cs="Courier New"/>
        </w:rPr>
        <w:t>12345678</w:t>
      </w:r>
      <w:r w:rsidRPr="00124D15">
        <w:rPr>
          <w:rFonts w:ascii="Courier New" w:hAnsi="Courier New" w:cs="Courier New"/>
        </w:rPr>
        <w:t>"</w:t>
      </w:r>
    </w:p>
    <w:p w14:paraId="03D54482" w14:textId="77777777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  Environment: "TEST"</w:t>
      </w:r>
    </w:p>
    <w:p w14:paraId="27B1DFA2" w14:textId="37BB461B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  </w:t>
      </w:r>
      <w:proofErr w:type="spellStart"/>
      <w:r w:rsidRPr="00124D15">
        <w:rPr>
          <w:rFonts w:ascii="Courier New" w:hAnsi="Courier New" w:cs="Courier New"/>
        </w:rPr>
        <w:t>LogLevel</w:t>
      </w:r>
      <w:proofErr w:type="spellEnd"/>
      <w:r w:rsidRPr="00124D15">
        <w:rPr>
          <w:rFonts w:ascii="Courier New" w:hAnsi="Courier New" w:cs="Courier New"/>
        </w:rPr>
        <w:t>: "</w:t>
      </w:r>
      <w:r>
        <w:rPr>
          <w:rFonts w:ascii="Courier New" w:hAnsi="Courier New" w:cs="Courier New"/>
        </w:rPr>
        <w:t>INFO</w:t>
      </w:r>
      <w:r w:rsidRPr="00124D15">
        <w:rPr>
          <w:rFonts w:ascii="Courier New" w:hAnsi="Courier New" w:cs="Courier New"/>
        </w:rPr>
        <w:t>"</w:t>
      </w:r>
    </w:p>
    <w:p w14:paraId="6DDD15DC" w14:textId="77777777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volumes:</w:t>
      </w:r>
    </w:p>
    <w:p w14:paraId="559C88D4" w14:textId="57957AFD" w:rsidR="00124D15" w:rsidRPr="00124D15" w:rsidRDefault="00124D15" w:rsidP="00124D15">
      <w:pPr>
        <w:spacing w:after="40"/>
        <w:rPr>
          <w:rFonts w:ascii="Courier New" w:hAnsi="Courier New" w:cs="Courier New"/>
        </w:rPr>
      </w:pPr>
      <w:r w:rsidRPr="00124D15">
        <w:rPr>
          <w:rFonts w:ascii="Courier New" w:hAnsi="Courier New" w:cs="Courier New"/>
        </w:rPr>
        <w:t xml:space="preserve">      - /</w:t>
      </w:r>
      <w:r>
        <w:rPr>
          <w:rFonts w:ascii="Courier New" w:hAnsi="Courier New" w:cs="Courier New"/>
        </w:rPr>
        <w:t>path/to/</w:t>
      </w:r>
      <w:proofErr w:type="spellStart"/>
      <w:r>
        <w:rPr>
          <w:rFonts w:ascii="Courier New" w:hAnsi="Courier New" w:cs="Courier New"/>
        </w:rPr>
        <w:t>keystore</w:t>
      </w:r>
      <w:proofErr w:type="spellEnd"/>
      <w:r w:rsidRPr="00124D15">
        <w:rPr>
          <w:rFonts w:ascii="Courier New" w:hAnsi="Courier New" w:cs="Courier New"/>
        </w:rPr>
        <w:t>:/cert</w:t>
      </w:r>
    </w:p>
    <w:p w14:paraId="1CA6E51D" w14:textId="77777777" w:rsidR="00124D15" w:rsidRDefault="00124D15" w:rsidP="004A063D"/>
    <w:p w14:paraId="612DEE7F" w14:textId="34D8031C" w:rsidR="00124D15" w:rsidRDefault="00124D15" w:rsidP="004A063D">
      <w:r>
        <w:t xml:space="preserve">In the above sample, only the environment values that differ from default is set, and in this case, the Scheduler (which sends data to STS </w:t>
      </w:r>
      <w:proofErr w:type="spellStart"/>
      <w:r>
        <w:t>Organisation</w:t>
      </w:r>
      <w:proofErr w:type="spellEnd"/>
      <w:r>
        <w:t>) is disabled, so the installation can only be used for reading data.</w:t>
      </w:r>
    </w:p>
    <w:p w14:paraId="6C589FCC" w14:textId="315E0287" w:rsidR="004A063D" w:rsidRDefault="00124D15" w:rsidP="004A063D">
      <w:r>
        <w:t xml:space="preserve">A volume is mounted, which allows configuring OS2sync with a </w:t>
      </w:r>
      <w:proofErr w:type="spellStart"/>
      <w:r>
        <w:t>keystore</w:t>
      </w:r>
      <w:proofErr w:type="spellEnd"/>
      <w:r>
        <w:t xml:space="preserve">, containing the FOCES certificate that grants access to STS </w:t>
      </w:r>
      <w:proofErr w:type="spellStart"/>
      <w:r>
        <w:t>Organisation</w:t>
      </w:r>
      <w:proofErr w:type="spellEnd"/>
      <w:r>
        <w:t>.</w:t>
      </w:r>
    </w:p>
    <w:p w14:paraId="7E93CD01" w14:textId="6044002B" w:rsidR="00124D15" w:rsidRPr="004A063D" w:rsidRDefault="00124D15" w:rsidP="004A063D">
      <w:r>
        <w:t>Note that the default port inside the container is port 80 (http), and in the sample it is mapped to port 5000 externally. Change this to fit your own environment.</w:t>
      </w:r>
    </w:p>
    <w:p w14:paraId="73E5B8E6" w14:textId="0D3CB844" w:rsidR="004A063D" w:rsidRDefault="004A063D" w:rsidP="004A063D">
      <w:pPr>
        <w:pStyle w:val="Heading1"/>
      </w:pPr>
      <w:bookmarkStart w:id="5" w:name="_Toc25738855"/>
      <w:r>
        <w:t>Configuration</w:t>
      </w:r>
      <w:bookmarkEnd w:id="5"/>
    </w:p>
    <w:p w14:paraId="55A659DB" w14:textId="2FD4B33F" w:rsidR="00842139" w:rsidRDefault="00124D15" w:rsidP="00BA794A">
      <w:r>
        <w:t xml:space="preserve">The following settings can be added either to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or Docker environment settings. Note that the </w:t>
      </w:r>
      <w:proofErr w:type="spellStart"/>
      <w:r>
        <w:t>appsettings.json</w:t>
      </w:r>
      <w:proofErr w:type="spellEnd"/>
      <w:r>
        <w:t xml:space="preserve"> file does not have any default values, whereas the Docker container comes pre-configured with defaults, which can be overwritten by environment variables.</w:t>
      </w:r>
    </w:p>
    <w:p w14:paraId="0DED3927" w14:textId="77777777" w:rsidR="00124D15" w:rsidRDefault="00124D15" w:rsidP="00BA794A"/>
    <w:tbl>
      <w:tblPr>
        <w:tblStyle w:val="GridTable1Light-Accent5"/>
        <w:tblW w:w="8686" w:type="dxa"/>
        <w:tblLook w:val="04A0" w:firstRow="1" w:lastRow="0" w:firstColumn="1" w:lastColumn="0" w:noHBand="0" w:noVBand="1"/>
      </w:tblPr>
      <w:tblGrid>
        <w:gridCol w:w="2660"/>
        <w:gridCol w:w="1588"/>
        <w:gridCol w:w="4438"/>
      </w:tblGrid>
      <w:tr w:rsidR="00124D15" w14:paraId="7E8D2764" w14:textId="77777777" w:rsidTr="0012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DD6EE" w:themeFill="accent1" w:themeFillTint="66"/>
          </w:tcPr>
          <w:p w14:paraId="69D21766" w14:textId="77777777" w:rsidR="00124D15" w:rsidRPr="00F56186" w:rsidRDefault="00124D15" w:rsidP="00FE4DE6">
            <w:pPr>
              <w:rPr>
                <w:lang w:val="da-DK"/>
              </w:rPr>
            </w:pPr>
            <w:r>
              <w:rPr>
                <w:lang w:val="da-DK"/>
              </w:rPr>
              <w:t>Key</w:t>
            </w:r>
          </w:p>
        </w:tc>
        <w:tc>
          <w:tcPr>
            <w:tcW w:w="1588" w:type="dxa"/>
            <w:shd w:val="clear" w:color="auto" w:fill="BDD6EE" w:themeFill="accent1" w:themeFillTint="66"/>
          </w:tcPr>
          <w:p w14:paraId="5572F0BF" w14:textId="57876A75" w:rsidR="00124D15" w:rsidRPr="00F56186" w:rsidRDefault="00124D15" w:rsidP="00FE4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Docker default</w:t>
            </w:r>
          </w:p>
        </w:tc>
        <w:tc>
          <w:tcPr>
            <w:tcW w:w="4438" w:type="dxa"/>
            <w:shd w:val="clear" w:color="auto" w:fill="BDD6EE" w:themeFill="accent1" w:themeFillTint="66"/>
          </w:tcPr>
          <w:p w14:paraId="3BD89306" w14:textId="0D7B7CE4" w:rsidR="00124D15" w:rsidRPr="00F56186" w:rsidRDefault="00124D15" w:rsidP="00FE4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F56186">
              <w:rPr>
                <w:lang w:val="da-DK"/>
              </w:rPr>
              <w:t>Description</w:t>
            </w:r>
          </w:p>
        </w:tc>
      </w:tr>
      <w:tr w:rsidR="00124D15" w:rsidRPr="00F56186" w14:paraId="0B0A5796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82D1BD8" w14:textId="3F2B2B16" w:rsidR="00124D15" w:rsidRPr="00F56186" w:rsidRDefault="00124D15" w:rsidP="00FE4DE6">
            <w:pPr>
              <w:rPr>
                <w:b w:val="0"/>
                <w:lang w:val="da-DK"/>
              </w:rPr>
            </w:pPr>
            <w:r>
              <w:rPr>
                <w:b w:val="0"/>
                <w:lang w:val="da-DK"/>
              </w:rPr>
              <w:t>ClientCertPath</w:t>
            </w:r>
          </w:p>
        </w:tc>
        <w:tc>
          <w:tcPr>
            <w:tcW w:w="1588" w:type="dxa"/>
          </w:tcPr>
          <w:p w14:paraId="279CE8D3" w14:textId="77777777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8" w:type="dxa"/>
          </w:tcPr>
          <w:p w14:paraId="5A6816BE" w14:textId="1FC4A07D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path to the PFX/P12 file containing the FOCES certificate</w:t>
            </w:r>
          </w:p>
          <w:p w14:paraId="4591F254" w14:textId="2374FF05" w:rsidR="00124D15" w:rsidRPr="00F56186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D15" w:rsidRPr="00F56186" w14:paraId="66F17FE0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6CECB84" w14:textId="618683CB" w:rsidR="00124D15" w:rsidRPr="00842139" w:rsidRDefault="00124D15" w:rsidP="00FE4D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ClientCertPassword</w:t>
            </w:r>
            <w:proofErr w:type="spellEnd"/>
          </w:p>
        </w:tc>
        <w:tc>
          <w:tcPr>
            <w:tcW w:w="1588" w:type="dxa"/>
          </w:tcPr>
          <w:p w14:paraId="1D52364B" w14:textId="77777777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8" w:type="dxa"/>
          </w:tcPr>
          <w:p w14:paraId="5A37899C" w14:textId="5D12FA4F" w:rsidR="00124D15" w:rsidRPr="0043079E" w:rsidRDefault="00124D15" w:rsidP="0043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t xml:space="preserve">The password to the above </w:t>
            </w:r>
            <w:proofErr w:type="spellStart"/>
            <w:r>
              <w:t>keystore</w:t>
            </w:r>
            <w:proofErr w:type="spellEnd"/>
          </w:p>
          <w:p w14:paraId="66625F5E" w14:textId="0F26AFEB" w:rsidR="00124D15" w:rsidRPr="00F56186" w:rsidRDefault="00124D15" w:rsidP="0043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D15" w:rsidRPr="00F56186" w14:paraId="5487056B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9C38F56" w14:textId="77777777" w:rsidR="00124D15" w:rsidRPr="00F56186" w:rsidRDefault="00124D15" w:rsidP="00FE4D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DisableRevocationCheck</w:t>
            </w:r>
            <w:proofErr w:type="spellEnd"/>
          </w:p>
        </w:tc>
        <w:tc>
          <w:tcPr>
            <w:tcW w:w="1588" w:type="dxa"/>
          </w:tcPr>
          <w:p w14:paraId="03EA899B" w14:textId="5619F5F1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4438" w:type="dxa"/>
          </w:tcPr>
          <w:p w14:paraId="26C913CB" w14:textId="5D983D2D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true/false flag is used to control whether OS2sync performs revocation check on certificates.</w:t>
            </w:r>
          </w:p>
          <w:p w14:paraId="03753F9C" w14:textId="77777777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5EC3B6" w14:textId="54B01DD4" w:rsidR="00124D15" w:rsidRPr="00F56186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running in the test-environment it is recommended to set this flag to true, as the service to check revocation against is not easily accessible in the test-environment of </w:t>
            </w:r>
            <w:proofErr w:type="spellStart"/>
            <w:r>
              <w:t>DanID</w:t>
            </w:r>
            <w:proofErr w:type="spellEnd"/>
            <w:r>
              <w:t>/Nets.</w:t>
            </w:r>
          </w:p>
        </w:tc>
      </w:tr>
      <w:tr w:rsidR="00124D15" w:rsidRPr="00F56186" w14:paraId="7236ED84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AE7ADB7" w14:textId="77777777" w:rsidR="00124D15" w:rsidRPr="00F56186" w:rsidRDefault="00124D15" w:rsidP="00FE4D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LogRequestResponse</w:t>
            </w:r>
            <w:proofErr w:type="spellEnd"/>
          </w:p>
        </w:tc>
        <w:tc>
          <w:tcPr>
            <w:tcW w:w="1588" w:type="dxa"/>
          </w:tcPr>
          <w:p w14:paraId="3BB6B174" w14:textId="555B126B" w:rsidR="00124D15" w:rsidRDefault="001B23D9" w:rsidP="0084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4438" w:type="dxa"/>
          </w:tcPr>
          <w:p w14:paraId="05002924" w14:textId="36085D2A" w:rsidR="00124D15" w:rsidRPr="00F56186" w:rsidRDefault="00124D15" w:rsidP="0084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true/false flag is used to tell </w:t>
            </w:r>
            <w:r w:rsidR="001B23D9">
              <w:t>OS2sync</w:t>
            </w:r>
            <w:r>
              <w:t xml:space="preserve"> if it should log the full request/response payloads when calling </w:t>
            </w:r>
            <w:r w:rsidR="001B23D9">
              <w:t xml:space="preserve">STS </w:t>
            </w:r>
            <w:proofErr w:type="spellStart"/>
            <w:r>
              <w:t>Organisation</w:t>
            </w:r>
            <w:proofErr w:type="spellEnd"/>
            <w:r>
              <w:t>. It is recommended to set this value to false in production, as the payloads are quite big.</w:t>
            </w:r>
          </w:p>
        </w:tc>
      </w:tr>
      <w:tr w:rsidR="00124D15" w:rsidRPr="00F56186" w14:paraId="699613FB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042DDEF" w14:textId="77777777" w:rsidR="00124D15" w:rsidRPr="00F56186" w:rsidRDefault="00124D15" w:rsidP="00FE4DE6">
            <w:pPr>
              <w:rPr>
                <w:b w:val="0"/>
              </w:rPr>
            </w:pPr>
            <w:r>
              <w:rPr>
                <w:b w:val="0"/>
              </w:rPr>
              <w:t>Municipality</w:t>
            </w:r>
          </w:p>
        </w:tc>
        <w:tc>
          <w:tcPr>
            <w:tcW w:w="1588" w:type="dxa"/>
          </w:tcPr>
          <w:p w14:paraId="43729DD7" w14:textId="77777777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8" w:type="dxa"/>
          </w:tcPr>
          <w:p w14:paraId="440C0BEE" w14:textId="43A9132B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CVR number of the municipality.</w:t>
            </w:r>
          </w:p>
          <w:p w14:paraId="48513E26" w14:textId="6FCA165D" w:rsidR="001B23D9" w:rsidRDefault="001B23D9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48F2C3" w14:textId="5399DB7B" w:rsidR="00124D15" w:rsidRPr="00F56186" w:rsidRDefault="001B23D9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must be set to use the build-in GUI in OS2sync but can also be used to set the default CVR, so it is not required as a parameter when using the REST services.</w:t>
            </w:r>
          </w:p>
        </w:tc>
      </w:tr>
      <w:tr w:rsidR="00124D15" w:rsidRPr="00F56186" w14:paraId="2A8CC608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6973E82" w14:textId="79C051ED" w:rsidR="00124D15" w:rsidRPr="00F56186" w:rsidRDefault="00124D15" w:rsidP="00FE4DE6">
            <w:pPr>
              <w:rPr>
                <w:b w:val="0"/>
              </w:rPr>
            </w:pPr>
            <w:r>
              <w:rPr>
                <w:b w:val="0"/>
              </w:rPr>
              <w:t>Environment</w:t>
            </w:r>
          </w:p>
        </w:tc>
        <w:tc>
          <w:tcPr>
            <w:tcW w:w="1588" w:type="dxa"/>
          </w:tcPr>
          <w:p w14:paraId="2014FC6E" w14:textId="77777777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8" w:type="dxa"/>
          </w:tcPr>
          <w:p w14:paraId="2345F1FF" w14:textId="044DCD17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flag is used to set which environment of </w:t>
            </w:r>
            <w:r w:rsidR="00D80220">
              <w:t xml:space="preserve">STS </w:t>
            </w:r>
            <w:proofErr w:type="spellStart"/>
            <w:r>
              <w:t>Organisation</w:t>
            </w:r>
            <w:proofErr w:type="spellEnd"/>
            <w:r>
              <w:t xml:space="preserve"> to call against. The allowed values are</w:t>
            </w:r>
          </w:p>
          <w:p w14:paraId="3E9CBEFB" w14:textId="685ACB23" w:rsidR="00124D15" w:rsidRDefault="00124D15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2FF1DA" w14:textId="16601FF4" w:rsidR="00124D15" w:rsidRDefault="00124D15" w:rsidP="004A67B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79E">
              <w:rPr>
                <w:b/>
              </w:rPr>
              <w:t>TEST</w:t>
            </w:r>
            <w:r>
              <w:t xml:space="preserve">. This value will configure </w:t>
            </w:r>
            <w:r w:rsidR="00D80220">
              <w:t>OS2sync</w:t>
            </w:r>
            <w:r>
              <w:t xml:space="preserve"> to call against the test environment on the </w:t>
            </w:r>
            <w:proofErr w:type="spellStart"/>
            <w:r>
              <w:t>Serviceplatform</w:t>
            </w:r>
            <w:proofErr w:type="spellEnd"/>
            <w:r>
              <w:t>.</w:t>
            </w:r>
          </w:p>
          <w:p w14:paraId="5F06BE9E" w14:textId="1D6FD2F4" w:rsidR="00124D15" w:rsidRDefault="00124D15" w:rsidP="004A67B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79E">
              <w:rPr>
                <w:b/>
              </w:rPr>
              <w:t>PROD</w:t>
            </w:r>
            <w:r>
              <w:t xml:space="preserve">. This value will configure </w:t>
            </w:r>
            <w:r w:rsidR="00D80220">
              <w:t>OS2sync</w:t>
            </w:r>
            <w:r>
              <w:t xml:space="preserve"> to call against the production environment on the </w:t>
            </w:r>
            <w:proofErr w:type="spellStart"/>
            <w:r>
              <w:t>Serviceplatform</w:t>
            </w:r>
            <w:proofErr w:type="spellEnd"/>
            <w:r>
              <w:t>.</w:t>
            </w:r>
          </w:p>
          <w:p w14:paraId="330038B8" w14:textId="46771513" w:rsidR="00124D15" w:rsidRPr="00F56186" w:rsidRDefault="00124D15" w:rsidP="00B439E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220" w:rsidRPr="00F56186" w14:paraId="105A35CE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1A1EFCA" w14:textId="7A532A7A" w:rsidR="00D80220" w:rsidRPr="00D80220" w:rsidRDefault="00D80220" w:rsidP="00FE4DE6">
            <w:pPr>
              <w:rPr>
                <w:b w:val="0"/>
              </w:rPr>
            </w:pPr>
            <w:proofErr w:type="spellStart"/>
            <w:r w:rsidRPr="00D80220">
              <w:rPr>
                <w:b w:val="0"/>
              </w:rPr>
              <w:t>EnableScheduler</w:t>
            </w:r>
            <w:proofErr w:type="spellEnd"/>
          </w:p>
        </w:tc>
        <w:tc>
          <w:tcPr>
            <w:tcW w:w="1588" w:type="dxa"/>
          </w:tcPr>
          <w:p w14:paraId="6C791BF4" w14:textId="7FF8D8A3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4438" w:type="dxa"/>
          </w:tcPr>
          <w:p w14:paraId="304B45A3" w14:textId="77777777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set to “true”, the scheduler is enabled, and any data sent to the queue is synchronized with STS </w:t>
            </w:r>
            <w:proofErr w:type="spellStart"/>
            <w:r>
              <w:t>Organisation</w:t>
            </w:r>
            <w:proofErr w:type="spellEnd"/>
            <w:r>
              <w:t>.</w:t>
            </w:r>
          </w:p>
          <w:p w14:paraId="74458FC3" w14:textId="77777777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325E57" w14:textId="197F2071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must be enabled to allow updating data in STS </w:t>
            </w:r>
            <w:proofErr w:type="spellStart"/>
            <w:r>
              <w:t>Organisation</w:t>
            </w:r>
            <w:proofErr w:type="spellEnd"/>
            <w:r>
              <w:t>.</w:t>
            </w:r>
          </w:p>
        </w:tc>
      </w:tr>
      <w:tr w:rsidR="00D80220" w:rsidRPr="00F56186" w14:paraId="795F8C94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E4566DD" w14:textId="69780838" w:rsidR="00D80220" w:rsidRPr="00D80220" w:rsidRDefault="00D80220" w:rsidP="00FE4DE6">
            <w:pPr>
              <w:rPr>
                <w:b w:val="0"/>
              </w:rPr>
            </w:pPr>
            <w:proofErr w:type="spellStart"/>
            <w:r w:rsidRPr="00D80220">
              <w:rPr>
                <w:b w:val="0"/>
              </w:rPr>
              <w:t>DatabaseType</w:t>
            </w:r>
            <w:proofErr w:type="spellEnd"/>
          </w:p>
        </w:tc>
        <w:tc>
          <w:tcPr>
            <w:tcW w:w="1588" w:type="dxa"/>
          </w:tcPr>
          <w:p w14:paraId="478836FA" w14:textId="47C39930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MSSQL</w:t>
            </w:r>
          </w:p>
        </w:tc>
        <w:tc>
          <w:tcPr>
            <w:tcW w:w="4438" w:type="dxa"/>
          </w:tcPr>
          <w:p w14:paraId="014E2060" w14:textId="77777777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scheduler is enabled, this must be set to either</w:t>
            </w:r>
          </w:p>
          <w:p w14:paraId="679E4865" w14:textId="77777777" w:rsidR="00D80220" w:rsidRDefault="00D80220" w:rsidP="00D8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D574EC" w14:textId="77777777" w:rsidR="00D80220" w:rsidRDefault="00D80220" w:rsidP="00D8022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20">
              <w:rPr>
                <w:b/>
              </w:rPr>
              <w:t>MSSQL</w:t>
            </w:r>
            <w:r>
              <w:t>. To use Microsoft SQL Server as the queue</w:t>
            </w:r>
          </w:p>
          <w:p w14:paraId="4FB1F70D" w14:textId="6F362CA6" w:rsidR="00D80220" w:rsidRDefault="00D80220" w:rsidP="00D8022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220">
              <w:rPr>
                <w:b/>
              </w:rPr>
              <w:t>MYSQL</w:t>
            </w:r>
            <w:r>
              <w:t>. To use a MySQL (or compatible) database as the queue</w:t>
            </w:r>
          </w:p>
        </w:tc>
      </w:tr>
      <w:tr w:rsidR="00D80220" w:rsidRPr="00F56186" w14:paraId="532BB5BA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F71088F" w14:textId="4F28E39A" w:rsidR="00D80220" w:rsidRPr="00D80220" w:rsidRDefault="00D80220" w:rsidP="00FE4D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DBConnectionString</w:t>
            </w:r>
            <w:proofErr w:type="spellEnd"/>
          </w:p>
        </w:tc>
        <w:tc>
          <w:tcPr>
            <w:tcW w:w="1588" w:type="dxa"/>
          </w:tcPr>
          <w:p w14:paraId="4E6214E3" w14:textId="77777777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8" w:type="dxa"/>
          </w:tcPr>
          <w:p w14:paraId="684A31E6" w14:textId="77777777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scheduler is enabled, this must be set to the full connection string to connect to the database above.</w:t>
            </w:r>
          </w:p>
          <w:p w14:paraId="3A0A6B7E" w14:textId="77777777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04D612" w14:textId="77777777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  <w:p w14:paraId="73DF3D18" w14:textId="77777777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C8387C" w14:textId="2FBC807B" w:rsidR="00D80220" w:rsidRP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80220">
              <w:rPr>
                <w:rFonts w:ascii="Courier New" w:hAnsi="Courier New" w:cs="Courier New"/>
              </w:rPr>
              <w:t>server=172.17.0.1;</w:t>
            </w:r>
            <w:r w:rsidRPr="00D80220">
              <w:rPr>
                <w:rFonts w:ascii="Courier New" w:hAnsi="Courier New" w:cs="Courier New"/>
              </w:rPr>
              <w:t xml:space="preserve"> </w:t>
            </w:r>
            <w:r w:rsidRPr="00D80220">
              <w:rPr>
                <w:rFonts w:ascii="Courier New" w:hAnsi="Courier New" w:cs="Courier New"/>
              </w:rPr>
              <w:t>user id=root;</w:t>
            </w:r>
            <w:r w:rsidRPr="00D80220">
              <w:rPr>
                <w:rFonts w:ascii="Courier New" w:hAnsi="Courier New" w:cs="Courier New"/>
              </w:rPr>
              <w:t xml:space="preserve"> </w:t>
            </w:r>
            <w:r w:rsidRPr="00D80220">
              <w:rPr>
                <w:rFonts w:ascii="Courier New" w:hAnsi="Courier New" w:cs="Courier New"/>
              </w:rPr>
              <w:t>password=Test1234;</w:t>
            </w:r>
            <w:r w:rsidRPr="00D8022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80220">
              <w:rPr>
                <w:rFonts w:ascii="Courier New" w:hAnsi="Courier New" w:cs="Courier New"/>
              </w:rPr>
              <w:t>persistsecurityinfo</w:t>
            </w:r>
            <w:proofErr w:type="spellEnd"/>
            <w:r w:rsidRPr="00D80220">
              <w:rPr>
                <w:rFonts w:ascii="Courier New" w:hAnsi="Courier New" w:cs="Courier New"/>
              </w:rPr>
              <w:t>=True;</w:t>
            </w:r>
            <w:r w:rsidRPr="00D80220">
              <w:rPr>
                <w:rFonts w:ascii="Courier New" w:hAnsi="Courier New" w:cs="Courier New"/>
              </w:rPr>
              <w:t xml:space="preserve"> </w:t>
            </w:r>
            <w:r w:rsidRPr="00D80220">
              <w:rPr>
                <w:rFonts w:ascii="Courier New" w:hAnsi="Courier New" w:cs="Courier New"/>
              </w:rPr>
              <w:t>port=3306;</w:t>
            </w:r>
            <w:r w:rsidRPr="00D80220">
              <w:rPr>
                <w:rFonts w:ascii="Courier New" w:hAnsi="Courier New" w:cs="Courier New"/>
              </w:rPr>
              <w:t xml:space="preserve"> </w:t>
            </w:r>
            <w:r w:rsidRPr="00D80220">
              <w:rPr>
                <w:rFonts w:ascii="Courier New" w:hAnsi="Courier New" w:cs="Courier New"/>
              </w:rPr>
              <w:t>database=os2sync</w:t>
            </w:r>
          </w:p>
        </w:tc>
      </w:tr>
      <w:tr w:rsidR="00D80220" w:rsidRPr="00F56186" w14:paraId="31E0FC56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DC36B3" w14:textId="325DC247" w:rsidR="00D80220" w:rsidRDefault="00D80220" w:rsidP="00FE4D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ApiKey</w:t>
            </w:r>
            <w:proofErr w:type="spellEnd"/>
          </w:p>
        </w:tc>
        <w:tc>
          <w:tcPr>
            <w:tcW w:w="1588" w:type="dxa"/>
          </w:tcPr>
          <w:p w14:paraId="672B4CD0" w14:textId="77777777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8" w:type="dxa"/>
          </w:tcPr>
          <w:p w14:paraId="032EB4F6" w14:textId="7366FA21" w:rsidR="00D80220" w:rsidRDefault="00D80220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set to require a password for calling the REST services. If left blank, no password is required.</w:t>
            </w:r>
          </w:p>
        </w:tc>
      </w:tr>
      <w:tr w:rsidR="00100CE1" w:rsidRPr="00F56186" w14:paraId="533545BA" w14:textId="77777777" w:rsidTr="0012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143DF4" w14:textId="66AE4A20" w:rsidR="00100CE1" w:rsidRDefault="00100CE1" w:rsidP="00FE4D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LogLevel</w:t>
            </w:r>
            <w:proofErr w:type="spellEnd"/>
          </w:p>
        </w:tc>
        <w:tc>
          <w:tcPr>
            <w:tcW w:w="1588" w:type="dxa"/>
          </w:tcPr>
          <w:p w14:paraId="29998C70" w14:textId="77777777" w:rsidR="00100CE1" w:rsidRDefault="00100CE1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8" w:type="dxa"/>
          </w:tcPr>
          <w:p w14:paraId="35FF9D76" w14:textId="77777777" w:rsidR="00100CE1" w:rsidRDefault="00100CE1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relevant for Docker containers. Must be set to one of the following</w:t>
            </w:r>
          </w:p>
          <w:p w14:paraId="3B9AAEFB" w14:textId="77777777" w:rsidR="00100CE1" w:rsidRDefault="00100CE1" w:rsidP="00FE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A4CD9E" w14:textId="77777777" w:rsidR="00100CE1" w:rsidRDefault="00100CE1" w:rsidP="00100CE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</w:t>
            </w:r>
          </w:p>
          <w:p w14:paraId="3715734D" w14:textId="77777777" w:rsidR="00100CE1" w:rsidRDefault="00100CE1" w:rsidP="00100CE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</w:t>
            </w:r>
          </w:p>
          <w:p w14:paraId="75036A25" w14:textId="77777777" w:rsidR="00100CE1" w:rsidRDefault="00100CE1" w:rsidP="00100CE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WARN</w:t>
            </w:r>
          </w:p>
          <w:p w14:paraId="47B423A1" w14:textId="77777777" w:rsidR="00100CE1" w:rsidRDefault="00100CE1" w:rsidP="00100CE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14:paraId="04D0E7B7" w14:textId="77777777" w:rsidR="00100CE1" w:rsidRDefault="00100CE1" w:rsidP="00100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A7C32F" w14:textId="77777777" w:rsidR="00100CE1" w:rsidRDefault="00100CE1" w:rsidP="00100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is used to configure the logging level. It is recommended to use INFO unless debugging is required.</w:t>
            </w:r>
          </w:p>
          <w:p w14:paraId="71F17FB8" w14:textId="77777777" w:rsidR="00100CE1" w:rsidRDefault="00100CE1" w:rsidP="00100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AD7384" w14:textId="66529BA9" w:rsidR="00100CE1" w:rsidRDefault="00100CE1" w:rsidP="00100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Windows Service is configured through </w:t>
            </w:r>
            <w:proofErr w:type="spellStart"/>
            <w:r>
              <w:t>log.config</w:t>
            </w:r>
            <w:proofErr w:type="spellEnd"/>
            <w:r>
              <w:t xml:space="preserve"> instead</w:t>
            </w:r>
          </w:p>
        </w:tc>
      </w:tr>
    </w:tbl>
    <w:p w14:paraId="6E03D60E" w14:textId="77777777" w:rsidR="00BA794A" w:rsidRDefault="00BA794A" w:rsidP="00BA794A"/>
    <w:p w14:paraId="56CA1FF7" w14:textId="079D6188" w:rsidR="004947E3" w:rsidRDefault="004947E3" w:rsidP="00BE501A">
      <w:pPr>
        <w:pStyle w:val="Heading1"/>
        <w:rPr>
          <w:lang w:eastAsia="da-DK"/>
        </w:rPr>
      </w:pPr>
      <w:r>
        <w:rPr>
          <w:lang w:eastAsia="da-DK"/>
        </w:rPr>
        <w:t xml:space="preserve"> </w:t>
      </w:r>
      <w:bookmarkStart w:id="6" w:name="_Toc25738856"/>
      <w:r w:rsidR="00BE501A">
        <w:rPr>
          <w:lang w:eastAsia="da-DK"/>
        </w:rPr>
        <w:t>Database</w:t>
      </w:r>
      <w:bookmarkEnd w:id="6"/>
    </w:p>
    <w:p w14:paraId="3BB34DC3" w14:textId="75BBC30E" w:rsidR="00BE501A" w:rsidRDefault="00BE501A" w:rsidP="00BE501A">
      <w:pPr>
        <w:rPr>
          <w:lang w:eastAsia="da-DK"/>
        </w:rPr>
      </w:pPr>
      <w:r>
        <w:rPr>
          <w:lang w:eastAsia="da-DK"/>
        </w:rPr>
        <w:t xml:space="preserve">When enabling the scheduler, a database must be made available, with the configured schema pre-created (e.g. “CREATE DATABASE os2sync”). The user configured in the </w:t>
      </w:r>
      <w:proofErr w:type="spellStart"/>
      <w:r>
        <w:rPr>
          <w:lang w:eastAsia="da-DK"/>
        </w:rPr>
        <w:t>ConnectionString</w:t>
      </w:r>
      <w:proofErr w:type="spellEnd"/>
      <w:r>
        <w:rPr>
          <w:lang w:eastAsia="da-DK"/>
        </w:rPr>
        <w:t xml:space="preserve"> must be allowed to create tables, and the OS2sync software will automatically create the required tables.</w:t>
      </w:r>
    </w:p>
    <w:p w14:paraId="3F36DA56" w14:textId="6272C4C1" w:rsidR="00BE501A" w:rsidRPr="00BE501A" w:rsidRDefault="00BE501A" w:rsidP="00BE501A">
      <w:pPr>
        <w:rPr>
          <w:lang w:eastAsia="da-DK"/>
        </w:rPr>
      </w:pPr>
      <w:r>
        <w:rPr>
          <w:lang w:eastAsia="da-DK"/>
        </w:rPr>
        <w:t>Note that the success_ and failure_ tables are never truncated and will keep growing as data is synchronized. It is safe to truncate these tables periodically.</w:t>
      </w:r>
    </w:p>
    <w:sectPr w:rsidR="00BE501A" w:rsidRPr="00BE501A" w:rsidSect="002E53C0">
      <w:headerReference w:type="default" r:id="rId9"/>
      <w:footerReference w:type="default" r:id="rId10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0682F" w14:textId="77777777" w:rsidR="00BA794A" w:rsidRDefault="00BA794A" w:rsidP="00BA794A">
      <w:pPr>
        <w:spacing w:after="0" w:line="240" w:lineRule="auto"/>
      </w:pPr>
      <w:r>
        <w:separator/>
      </w:r>
    </w:p>
  </w:endnote>
  <w:endnote w:type="continuationSeparator" w:id="0">
    <w:p w14:paraId="71068D4A" w14:textId="77777777" w:rsidR="00BA794A" w:rsidRDefault="00BA794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455936" w14:textId="02DC1CE8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CA3577">
              <w:rPr>
                <w:bCs/>
                <w:sz w:val="16"/>
                <w:szCs w:val="16"/>
                <w:lang w:val="da-DK"/>
              </w:rPr>
              <w:t>Bakkedraget 1</w:t>
            </w:r>
            <w:r w:rsidR="00960B4B">
              <w:rPr>
                <w:bCs/>
                <w:sz w:val="16"/>
                <w:szCs w:val="16"/>
                <w:lang w:val="da-DK"/>
              </w:rPr>
              <w:t>, 8</w:t>
            </w:r>
            <w:r w:rsidR="00CA3577">
              <w:rPr>
                <w:bCs/>
                <w:sz w:val="16"/>
                <w:szCs w:val="16"/>
                <w:lang w:val="da-DK"/>
              </w:rPr>
              <w:t>362 Hørning</w:t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EF511A">
              <w:rPr>
                <w:b/>
                <w:bCs/>
                <w:noProof/>
                <w:sz w:val="16"/>
                <w:szCs w:val="16"/>
                <w:lang w:val="da-DK"/>
              </w:rPr>
              <w:t>11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EF511A">
              <w:rPr>
                <w:b/>
                <w:bCs/>
                <w:noProof/>
                <w:sz w:val="16"/>
                <w:szCs w:val="16"/>
                <w:lang w:val="da-DK"/>
              </w:rPr>
              <w:t>11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7E5CF" w14:textId="77777777" w:rsidR="00BA794A" w:rsidRDefault="00BA794A" w:rsidP="00BA794A">
      <w:pPr>
        <w:spacing w:after="0" w:line="240" w:lineRule="auto"/>
      </w:pPr>
      <w:r>
        <w:separator/>
      </w:r>
    </w:p>
  </w:footnote>
  <w:footnote w:type="continuationSeparator" w:id="0">
    <w:p w14:paraId="7E08C0CD" w14:textId="77777777" w:rsidR="00BA794A" w:rsidRDefault="00BA794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30542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75AE846E" wp14:editId="431B7136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2AD"/>
    <w:multiLevelType w:val="hybridMultilevel"/>
    <w:tmpl w:val="CB76EBCE"/>
    <w:lvl w:ilvl="0" w:tplc="F11C4A1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34D"/>
    <w:multiLevelType w:val="hybridMultilevel"/>
    <w:tmpl w:val="C350776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73E9"/>
    <w:multiLevelType w:val="hybridMultilevel"/>
    <w:tmpl w:val="5784E94C"/>
    <w:lvl w:ilvl="0" w:tplc="C440666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78F7"/>
    <w:multiLevelType w:val="hybridMultilevel"/>
    <w:tmpl w:val="48682FC6"/>
    <w:lvl w:ilvl="0" w:tplc="402C31E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C3E5B"/>
    <w:multiLevelType w:val="hybridMultilevel"/>
    <w:tmpl w:val="BEB0D9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0EE1"/>
    <w:multiLevelType w:val="hybridMultilevel"/>
    <w:tmpl w:val="1FF2116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49FF"/>
    <w:multiLevelType w:val="hybridMultilevel"/>
    <w:tmpl w:val="BB206A2A"/>
    <w:lvl w:ilvl="0" w:tplc="0406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D111C"/>
    <w:multiLevelType w:val="hybridMultilevel"/>
    <w:tmpl w:val="2960975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B6025"/>
    <w:multiLevelType w:val="hybridMultilevel"/>
    <w:tmpl w:val="83E45412"/>
    <w:lvl w:ilvl="0" w:tplc="0406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80D3AF4"/>
    <w:multiLevelType w:val="hybridMultilevel"/>
    <w:tmpl w:val="E562732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6336A"/>
    <w:multiLevelType w:val="hybridMultilevel"/>
    <w:tmpl w:val="429484E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07BB2"/>
    <w:multiLevelType w:val="hybridMultilevel"/>
    <w:tmpl w:val="4BE6214C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66636"/>
    <w:multiLevelType w:val="hybridMultilevel"/>
    <w:tmpl w:val="EF729E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C31BA"/>
    <w:multiLevelType w:val="hybridMultilevel"/>
    <w:tmpl w:val="E5E631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8746E"/>
    <w:multiLevelType w:val="hybridMultilevel"/>
    <w:tmpl w:val="C9E02D6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82C62"/>
    <w:multiLevelType w:val="hybridMultilevel"/>
    <w:tmpl w:val="A0B82E50"/>
    <w:lvl w:ilvl="0" w:tplc="923A2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 w15:restartNumberingAfterBreak="0">
    <w:nsid w:val="5CBF469E"/>
    <w:multiLevelType w:val="hybridMultilevel"/>
    <w:tmpl w:val="DDCEA6B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969A0"/>
    <w:multiLevelType w:val="hybridMultilevel"/>
    <w:tmpl w:val="DDCA3F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20DB7"/>
    <w:multiLevelType w:val="hybridMultilevel"/>
    <w:tmpl w:val="B5B20D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F221F"/>
    <w:multiLevelType w:val="hybridMultilevel"/>
    <w:tmpl w:val="1B62D6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17"/>
  </w:num>
  <w:num w:numId="5">
    <w:abstractNumId w:val="22"/>
  </w:num>
  <w:num w:numId="6">
    <w:abstractNumId w:val="3"/>
  </w:num>
  <w:num w:numId="7">
    <w:abstractNumId w:val="21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20"/>
  </w:num>
  <w:num w:numId="13">
    <w:abstractNumId w:val="14"/>
  </w:num>
  <w:num w:numId="14">
    <w:abstractNumId w:val="7"/>
  </w:num>
  <w:num w:numId="15">
    <w:abstractNumId w:val="1"/>
  </w:num>
  <w:num w:numId="16">
    <w:abstractNumId w:val="8"/>
  </w:num>
  <w:num w:numId="17">
    <w:abstractNumId w:val="10"/>
  </w:num>
  <w:num w:numId="18">
    <w:abstractNumId w:val="2"/>
  </w:num>
  <w:num w:numId="19">
    <w:abstractNumId w:val="13"/>
  </w:num>
  <w:num w:numId="20">
    <w:abstractNumId w:val="6"/>
  </w:num>
  <w:num w:numId="21">
    <w:abstractNumId w:val="11"/>
  </w:num>
  <w:num w:numId="22">
    <w:abstractNumId w:val="16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377A8"/>
    <w:rsid w:val="000A4966"/>
    <w:rsid w:val="000B35D1"/>
    <w:rsid w:val="000C49DA"/>
    <w:rsid w:val="000D44AD"/>
    <w:rsid w:val="000E33A7"/>
    <w:rsid w:val="000F2185"/>
    <w:rsid w:val="00100CE1"/>
    <w:rsid w:val="0011165C"/>
    <w:rsid w:val="00113079"/>
    <w:rsid w:val="00124D15"/>
    <w:rsid w:val="00135AF5"/>
    <w:rsid w:val="00157B18"/>
    <w:rsid w:val="00171850"/>
    <w:rsid w:val="001B23D9"/>
    <w:rsid w:val="001D5604"/>
    <w:rsid w:val="001F3FF5"/>
    <w:rsid w:val="0021061B"/>
    <w:rsid w:val="00211A48"/>
    <w:rsid w:val="00222D85"/>
    <w:rsid w:val="00235BDE"/>
    <w:rsid w:val="002E53C0"/>
    <w:rsid w:val="003258BB"/>
    <w:rsid w:val="00363C2D"/>
    <w:rsid w:val="00385580"/>
    <w:rsid w:val="00391085"/>
    <w:rsid w:val="003A0761"/>
    <w:rsid w:val="003F017C"/>
    <w:rsid w:val="00413098"/>
    <w:rsid w:val="0043079E"/>
    <w:rsid w:val="00451C13"/>
    <w:rsid w:val="00481309"/>
    <w:rsid w:val="004826DB"/>
    <w:rsid w:val="004947E3"/>
    <w:rsid w:val="004A063D"/>
    <w:rsid w:val="004A67B1"/>
    <w:rsid w:val="004C03D3"/>
    <w:rsid w:val="004C4B56"/>
    <w:rsid w:val="004D3111"/>
    <w:rsid w:val="00546FAE"/>
    <w:rsid w:val="00560319"/>
    <w:rsid w:val="00590A96"/>
    <w:rsid w:val="005B20A8"/>
    <w:rsid w:val="006557FE"/>
    <w:rsid w:val="006576EE"/>
    <w:rsid w:val="0066253A"/>
    <w:rsid w:val="00667AB5"/>
    <w:rsid w:val="00685C20"/>
    <w:rsid w:val="006E3BEE"/>
    <w:rsid w:val="00703A7D"/>
    <w:rsid w:val="00721CC3"/>
    <w:rsid w:val="00756792"/>
    <w:rsid w:val="007910F0"/>
    <w:rsid w:val="007A3928"/>
    <w:rsid w:val="00842139"/>
    <w:rsid w:val="00933EF3"/>
    <w:rsid w:val="009400B7"/>
    <w:rsid w:val="00960B4B"/>
    <w:rsid w:val="00986FDF"/>
    <w:rsid w:val="009D7B52"/>
    <w:rsid w:val="00AB5B1F"/>
    <w:rsid w:val="00AC07D0"/>
    <w:rsid w:val="00AC4D8A"/>
    <w:rsid w:val="00AE0913"/>
    <w:rsid w:val="00B439E1"/>
    <w:rsid w:val="00B8562E"/>
    <w:rsid w:val="00BA7153"/>
    <w:rsid w:val="00BA794A"/>
    <w:rsid w:val="00BE501A"/>
    <w:rsid w:val="00C70BAA"/>
    <w:rsid w:val="00C83767"/>
    <w:rsid w:val="00CA3577"/>
    <w:rsid w:val="00CC79A8"/>
    <w:rsid w:val="00D3116D"/>
    <w:rsid w:val="00D4788F"/>
    <w:rsid w:val="00D60093"/>
    <w:rsid w:val="00D80220"/>
    <w:rsid w:val="00DA6C58"/>
    <w:rsid w:val="00DA7486"/>
    <w:rsid w:val="00DD043D"/>
    <w:rsid w:val="00DD0E29"/>
    <w:rsid w:val="00DF1747"/>
    <w:rsid w:val="00E01017"/>
    <w:rsid w:val="00E645FD"/>
    <w:rsid w:val="00EC5661"/>
    <w:rsid w:val="00ED6720"/>
    <w:rsid w:val="00EF511A"/>
    <w:rsid w:val="00F04C01"/>
    <w:rsid w:val="00F1294A"/>
    <w:rsid w:val="00F22A92"/>
    <w:rsid w:val="00F60FB5"/>
    <w:rsid w:val="00F7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51614A31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1061B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D478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2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13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139"/>
    <w:rPr>
      <w:rFonts w:ascii="Verdana" w:hAnsi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139"/>
    <w:rPr>
      <w:rFonts w:ascii="Verdana" w:hAnsi="Verdan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39"/>
    <w:rPr>
      <w:rFonts w:ascii="Segoe UI" w:hAnsi="Segoe UI" w:cs="Segoe UI"/>
      <w:sz w:val="18"/>
      <w:szCs w:val="18"/>
      <w:lang w:val="en-US"/>
    </w:rPr>
  </w:style>
  <w:style w:type="character" w:customStyle="1" w:styleId="sc11">
    <w:name w:val="sc11"/>
    <w:basedOn w:val="DefaultParagraphFont"/>
    <w:rsid w:val="001F3FF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F3FF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F3FF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1">
    <w:name w:val="sc41"/>
    <w:basedOn w:val="DefaultParagraphFont"/>
    <w:rsid w:val="001F3FF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1F3FF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1F3FF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67AB5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391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.serviceplatformen.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B3872-5372-4EF9-9716-4AB6D72B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949</Words>
  <Characters>5793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78</cp:revision>
  <cp:lastPrinted>2019-11-27T08:20:00Z</cp:lastPrinted>
  <dcterms:created xsi:type="dcterms:W3CDTF">2015-05-28T05:42:00Z</dcterms:created>
  <dcterms:modified xsi:type="dcterms:W3CDTF">2019-11-27T11:18:00Z</dcterms:modified>
</cp:coreProperties>
</file>