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0.4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Each mapping will explain both its standard representation and its relationship to the underlying domain model and individually identified donor concepts.</w:t>
      </w:r>
    </w:p>
    <w:p>
      <w:pPr/>
      <w:r>
        <w:rPr/>
        <w:t>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pStyle w:val="Heading2"/>
      </w:pPr>
      <w:r>
        <w:rPr/>
        <w:t>System selected for the experiment</w:t>
      </w:r>
    </w:p>
    <w:p>
      <w:pPr>
        <w:keepLines/>
      </w:pPr>
      <w:r>
        <w:rPr/>
        <w:t>The Smart Citizen Kit (SCK) is a modular environmental monitoring system. Its documented measurements include air temperature, humidity, particulate matter, noise level, light, and pressure. Figure 1 introduces the SCK2.3 model reported by the first public data specimen selected for this study (Smart Citizen n.d.-c, “What is the Smart Citizen Kit?” and “Measurements”; MERLIN Project 2026b, record “smart-citizen-current-19639”).</w:t>
      </w:r>
    </w:p>
    <w:p>
      <w:pPr>
        <w:keepNext/>
        <w:spacing w:after="40"/>
        <w:jc w:val="center"/>
      </w:pPr>
      <w:r>
        <w:drawing>
          <wp:inline xmlns:a="http://schemas.openxmlformats.org/drawingml/2006/main" xmlns:pic="http://schemas.openxmlformats.org/drawingml/2006/picture">
            <wp:extent cx="6002216" cy="3200400"/>
            <wp:docPr id="1" name="Picture 1" descr="Official Smart Citizen Kit 2.3 model reference photograph showing the Data Board, Urban Board, and separate particulate-matter module from left to right" title="Official Smart Citizen Kit 2.3 model reference photograph showing the Data Board, Urban Board, and separate particulate-matter module from left to right"/>
            <wp:cNvGraphicFramePr>
              <a:graphicFrameLocks noChangeAspect="1"/>
            </wp:cNvGraphicFramePr>
            <a:graphic>
              <a:graphicData uri="http://schemas.openxmlformats.org/drawingml/2006/picture">
                <pic:pic>
                  <pic:nvPicPr>
                    <pic:cNvPr id="0" name="smart_citizen_kit_23.jpg"/>
                    <pic:cNvPicPr/>
                  </pic:nvPicPr>
                  <pic:blipFill>
                    <a:blip r:embed="rId11"/>
                    <a:stretch>
                      <a:fillRect/>
                    </a:stretch>
                  </pic:blipFill>
                  <pic:spPr>
                    <a:xfrm>
                      <a:off x="0" y="0"/>
                      <a:ext cx="6002216" cy="3200400"/>
                    </a:xfrm>
                    <a:prstGeom prst="rect"/>
                  </pic:spPr>
                </pic:pic>
              </a:graphicData>
            </a:graphic>
          </wp:inline>
        </w:drawing>
      </w:r>
    </w:p>
    <w:p>
      <w:pPr>
        <w:pStyle w:val="PaperCaption"/>
        <w:keepNext w:val="0"/>
      </w:pPr>
      <w:r>
        <w:rPr>
          <w:b/>
        </w:rPr>
        <w:t>Figure 1. Smart Citizen Kit 2.3 model reference.</w:t>
      </w:r>
      <w:r>
        <w:rPr/>
        <w:t xml:space="preserve"> The photograph shows the Data Board at left, Urban Board in the center, and particulate-matter module at right. It is reproduced unchanged from the official Smart Citizen / Fab Lab Barcelona documentation (Smart Citizen n.d.-c, “Versions”). It illustrates the product model; it has not been verified as a photograph of the unit associated with registration 19639. The boards and module are shown separately, so the image does not establish that unit's assembled configuration, enclosure, or power connections.</w:t>
      </w:r>
    </w:p>
    <w:p>
      <w:pPr/>
      <w:r>
        <w:rPr/>
        <w:t>The Data Board provides logging, Wi-Fi, memory-card access, USB, and a battery connector. The Urban Board carries sensing components and connects a separate particulate-matter module (Smart Citizen n.d.-c, “What is the Smart Citizen Kit?”). For this study, those component roles make physical equipment, sensing functions, communications, and power concrete subjects to examine through the DIM and MPSS. Their presence in model documentation does not establish a verified component inventory for an individual installation.</w:t>
      </w:r>
    </w:p>
    <w:p>
      <w:pPr/>
      <w:r>
        <w:rPr/>
        <w:t>The specific starting specimen is public Smart Citizen registration 19639, captured on 24 October 2026 at 21:57:35 UTC. The returned record identifies its hardware as “SmartCitizen Kit 2.3,” with type “SCK,” version “2.3,” and slug “sck:2,3” (MERLIN Project 2026b, record “smart-citizen-current-19639”). Its channel catalogue includes environmental observations together with equipment-related readings such as battery percentage and Wi-Fi RSSI. A source registration and its reported model identify the selected data specimen, while the enduring physical identity and installed configuration still require separate evidence.</w:t>
      </w:r>
    </w:p>
    <w:p>
      <w:pPr>
        <w:pStyle w:val="PaperCaption"/>
        <w:keepNext/>
      </w:pPr>
      <w:r>
        <w:rPr>
          <w:b/>
        </w:rPr>
        <w:t>Table 1. System identification and study boundary.</w:t>
      </w:r>
      <w:r>
        <w:rPr/>
        <w:t xml:space="preserve"> The table separates the physical product family, selected source record, and service through which the study will obtain data. Model-level descriptions and registration metadata have different evidentiary roles. These entries identify the first case without implying that its integration has already been executed (Smart Citizen n.d.-a; n.d.-c; MERLIN Project 2026b).</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Identification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keepNext/>
              <w:spacing w:after="40" w:line="247" w:lineRule="auto"/>
            </w:pPr>
            <w:r>
              <w:rPr>
                <w:b/>
                <w:sz w:val="20"/>
              </w:rPr>
              <w:t>Meaning for this experiment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System type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Modular environmental monitoring kit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Plain-language description of the equipment; not a newly adopted MPSS classification code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Reported product model</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SmartCitizen Kit 2.3; type SCK; version 2.3; slug sck:2,3</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Native metadata to preserve and compare with official product documentation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Selected public record</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Registration 19639; GET https://api.smartcitizen.me/v0/devices/19639</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spacing w:after="40" w:line="247" w:lineRule="auto"/>
            </w:pPr>
            <w:r>
              <w:rPr>
                <w:sz w:val="20"/>
              </w:rPr>
              <w:t>Starting specimen for the proposed public-data integration; not a verified physical serial number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Source software platform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Smart Citizen Platform and its public 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keepNext/>
              <w:spacing w:after="40" w:line="247" w:lineRule="auto"/>
            </w:pPr>
            <w:r>
              <w:rPr>
                <w:sz w:val="20"/>
              </w:rPr>
              <w:t>Existing source service for acquiring data; the proposed CSAPI service and Glaux client have different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Physical installation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Photograph, serial identity, installed inventory, enclosure, and supply connections unverified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keepNext w:val="0"/>
              <w:spacing w:after="40" w:line="247" w:lineRule="auto"/>
            </w:pPr>
            <w:r>
              <w:rPr>
                <w:sz w:val="20"/>
              </w:rPr>
              <w:t>Evidence to obtain before claiming a complete unit-specific equipment or deployment model</w:t>
            </w:r>
          </w:p>
        </w:tc>
      </w:tr>
    </w:tbl>
    <w:p>
      <w:pPr>
        <w:spacing w:after="40" w:before="0" w:line="60" w:lineRule="exact"/>
      </w:pPr>
    </w:p>
    <w:p>
      <w:pPr/>
      <w:r>
        <w:rPr/>
        <w:t>The first case therefore concerns one public Smart Citizen registration, with documentary descriptions of its reported product model. It does not begin with a kit acquired or operated by this project. An owned kit is a later extension for physical and lifecycle evidence, and AirGradient is a later independent comparison. TRSS and McQ OmniSense II remain motivating systems whose accommodation matters to the wider model, but their native datasets are not the input to this first integration case (MERLIN Project 2026c; 2026e).</w:t>
      </w:r>
    </w:p>
    <w:p>
      <w:pPr>
        <w:pStyle w:val="Heading2"/>
      </w:pPr>
      <w:r>
        <w:rPr/>
        <w:t>Integration question and case selection</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Experimental CSAPI server</w:t>
      </w:r>
    </w:p>
    <w:p>
      <w:pPr>
        <w:pStyle w:val="Heading2"/>
      </w:pPr>
      <w:r>
        <w:rPr/>
        <w:t>Origin and implementation lineage</w:t>
      </w:r>
    </w:p>
    <w:p>
      <w:pPr/>
      <w:r>
        <w:rPr/>
        <w:t>pygeoapi is an open-source Python server implementation of the OGC API family, designed around an HTTP API, configuration, core API behavior, and pluggable data, process, and formatter components (pygeoapi Development Team 2026, “How pygeoapi works”). 52°North developed its Connected Systems implementation on that foundation and describes the repository as a proof of concept of OGC API – Connected Systems based on pygeoapi (52°North Spatial Information Research GmbH n.d.-a). 52°North reports that an initial Connected Systems API design and prototype were developed in KI:STE in synergy with MINKE and EMODnet Ingestion III, followed by continued pygeoapi-community work around the prototype (52°North Spatial Information Research GmbH 2023; n.d.-b). This lineage explains where the server implementation came from without implying that pygeoapi itself natively supplies every Connected Systems behavior used by the prototype.</w:t>
      </w:r>
    </w:p>
    <w:p>
      <w:pPr/>
      <w:r>
        <w:rPr/>
        <w:t xml:space="preserve">The implementation tested by MERLIN was upstream commit </w:t>
      </w:r>
      <w:r>
        <w:rPr>
          <w:rFonts w:ascii="DejaVu Sans Mono" w:hAnsi="DejaVu Sans Mono"/>
          <w:sz w:val="19"/>
        </w:rPr>
        <w:t>6ad75aa7fbfc76517c8a24c21446471845007855</w:t>
      </w:r>
      <w:r>
        <w:rPr/>
        <w:t xml:space="preserve">, whose project metadata identifies connected-systems-pygeoapi version 0.6.0 and pins the 52°North pygeoapi fork at commit </w:t>
      </w:r>
      <w:r>
        <w:rPr>
          <w:rFonts w:ascii="DejaVu Sans Mono" w:hAnsi="DejaVu Sans Mono"/>
          <w:sz w:val="19"/>
        </w:rPr>
        <w:t>ec1eb38d9a64d93ec9a2e1b9db6fea6dc05f194a</w:t>
      </w:r>
      <w:r>
        <w:rPr/>
        <w:t xml:space="preserve"> (52°North Spatial Information Research GmbH n.d.-a). At that revision, the container starts Hypercorn over </w:t>
      </w:r>
      <w:r>
        <w:rPr>
          <w:rFonts w:ascii="DejaVu Sans Mono" w:hAnsi="DejaVu Sans Mono"/>
          <w:sz w:val="19"/>
        </w:rPr>
        <w:t>connected-systems-api/app:APP</w:t>
      </w:r>
      <w:r>
        <w:rPr/>
        <w:t xml:space="preserve"> and includes native geospatial dependencies such as GDAL, PROJ, GEOS, NumPy, and Shapely. The upstream repository provides examples for multiple backends and a simulator for inserting example data, so its source tree represents several deployment possibilities rather than one fixed storage architecture. The exact backend used by the OS4CSAPI instance therefore has to come from our deployment evidence, not from inference based on the upstream dependency list.</w:t>
      </w:r>
    </w:p>
    <w:p>
      <w:pPr>
        <w:pStyle w:val="Heading2"/>
      </w:pPr>
      <w:r>
        <w:rPr/>
        <w:t>OS4CSAPI Oracle deployment</w:t>
      </w:r>
    </w:p>
    <w:p>
      <w:pPr/>
      <w:r>
        <w:rPr/>
        <w:t xml:space="preserve">The server selected for this experiment is the existing Oracle-hosted OS4CSAPI deployment at </w:t>
      </w:r>
      <w:r>
        <w:rPr>
          <w:rFonts w:ascii="DejaVu Sans Mono" w:hAnsi="DejaVu Sans Mono"/>
          <w:sz w:val="19"/>
        </w:rPr>
        <w:t>https://129-80-248-53.sslip.io/csapi-pygeoapi</w:t>
      </w:r>
      <w:r>
        <w:rPr/>
        <w:t xml:space="preserve"> (MERLIN Project 2026f). The tested running build corresponded to upstream commit </w:t>
      </w:r>
      <w:r>
        <w:rPr>
          <w:rFonts w:ascii="DejaVu Sans Mono" w:hAnsi="DejaVu Sans Mono"/>
          <w:sz w:val="19"/>
        </w:rPr>
        <w:t>6ad75aa7...</w:t>
      </w:r>
      <w:r>
        <w:rPr/>
        <w:t xml:space="preserve"> plus documented deployment adaptations, with container image ID </w:t>
      </w:r>
      <w:r>
        <w:rPr>
          <w:rFonts w:ascii="DejaVu Sans Mono" w:hAnsi="DejaVu Sans Mono"/>
          <w:sz w:val="19"/>
        </w:rPr>
        <w:t>sha256:15e6991a3697e5f7130ed50bbb958720f2ffa7954f114a70be66cc93c0c489da</w:t>
      </w:r>
      <w:r>
        <w:rPr/>
        <w:t>. Those adaptations consisted of a public-URL correction, an asynchronous full-scan/bootstrap-ID patch, and retained ARM64/native-dependency adaptations. Project inventory recorded the endpoint as unauthenticated for the test environment, but that access posture will be reverified before the Smart Citizen run.</w:t>
      </w:r>
    </w:p>
    <w:p>
      <w:pPr/>
      <w:r>
        <w:rPr/>
        <w:t>The retained evidence does not establish the running instance's exact storage/backend choice, persistent-volume layout, reverse-proxy configuration, restart policy, or complete Docker Compose topology (MERLIN Project 2026f). Upstream examples support multiple backends, and the tested source includes dependencies for more than one potential storage technology, so assigning one of them to the Oracle instance without runtime evidence would be speculation. These configuration details matter because the experiment will eventually evaluate publication, retrieval, relationships, history, and durability rather than only a single request. They are therefore explicit pre-run evidence requirements rather than assumed infrastructure facts.</w:t>
      </w:r>
    </w:p>
    <w:p>
      <w:pPr/>
      <w:r>
        <w:rPr/>
        <w:t xml:space="preserve">A separate 52°North demonstration is publicly available at </w:t>
      </w:r>
      <w:r>
        <w:rPr>
          <w:rFonts w:ascii="DejaVu Sans Mono" w:hAnsi="DejaVu Sans Mono"/>
          <w:sz w:val="19"/>
        </w:rPr>
        <w:t>https://csa.demo.52north.org/</w:t>
      </w:r>
      <w:r>
        <w:rPr/>
        <w:t>, where the landing page identifies 52°North Spatial Information Research GmbH as the provider and advertises Connected Systems assets (52°North Spatial Information Research GmbH n.d.-c). That service is not the Oracle-hosted deployment used in the MERLIN preservation experiment. Earlier verification work explicitly corrected a test package that targeted the 52°North demo when the intended primary comparison was the OS4CSAPI Oracle instance (MERLIN Project 2026f). The Smart Citizen study will preserve that deployment distinction so a result from one environment cannot be attributed to the other.</w:t>
      </w:r>
    </w:p>
    <w:p>
      <w:pPr>
        <w:keepNext/>
        <w:spacing w:after="40"/>
        <w:jc w:val="center"/>
      </w:pPr>
      <w:r>
        <w:drawing>
          <wp:inline xmlns:a="http://schemas.openxmlformats.org/drawingml/2006/main" xmlns:pic="http://schemas.openxmlformats.org/drawingml/2006/picture">
            <wp:extent cx="6217920" cy="4663440"/>
            <wp:docPr id="2" name="Picture 2" descr="Lineage from pygeoapi through the 52°North Connected Systems proof of concept to the OS4CSAPI Oracle deployment, with the proposed Smart Citizen adapter and Glaux use shown separately" title="Lineage from pygeoapi through the 52°North Connected Systems proof of concept to the OS4CSAPI Oracle deployment, with the proposed Smart Citizen adapter and Glaux use shown separately"/>
            <wp:cNvGraphicFramePr>
              <a:graphicFrameLocks noChangeAspect="1"/>
            </wp:cNvGraphicFramePr>
            <a:graphic>
              <a:graphicData uri="http://schemas.openxmlformats.org/drawingml/2006/picture">
                <pic:pic>
                  <pic:nvPicPr>
                    <pic:cNvPr id="0" name="figure_02_server_lineage.png"/>
                    <pic:cNvPicPr/>
                  </pic:nvPicPr>
                  <pic:blipFill>
                    <a:blip r:embed="rId12"/>
                    <a:stretch>
                      <a:fillRect/>
                    </a:stretch>
                  </pic:blipFill>
                  <pic:spPr>
                    <a:xfrm>
                      <a:off x="0" y="0"/>
                      <a:ext cx="6217920" cy="4663440"/>
                    </a:xfrm>
                    <a:prstGeom prst="rect"/>
                  </pic:spPr>
                </pic:pic>
              </a:graphicData>
            </a:graphic>
          </wp:inline>
        </w:drawing>
      </w:r>
    </w:p>
    <w:p>
      <w:pPr>
        <w:pStyle w:val="PaperCaption"/>
        <w:keepNext w:val="0"/>
      </w:pPr>
      <w:r>
        <w:rPr>
          <w:b/>
        </w:rPr>
        <w:t>Figure 2. Experimental CSAPI server lineage and study role.</w:t>
      </w:r>
      <w:r>
        <w:rPr/>
        <w:t xml:space="preserve"> The solid path identifies the implemented lineage from pygeoapi through 52°North's Connected Systems proof of concept to the OS4CSAPI Oracle deployment. The separate 52°North public demo is shown as another deployment rather than as part of the study server. Dashed arrows identify the proposed Smart Citizen adapter and Glaux use, which have not yet been executed. The figure is an authored synthesis of the upstream repositories and the retained deployment baseline (52°North Spatial Information Research GmbH n.d.-a; MERLIN Project 2026f; pygeoapi Development Team 2026).</w:t>
      </w:r>
    </w:p>
    <w:p>
      <w:pPr>
        <w:pStyle w:val="PaperCaption"/>
        <w:keepNext/>
      </w:pPr>
      <w:r>
        <w:rPr>
          <w:b/>
        </w:rPr>
        <w:t>Table 2. Server identity and deployment baseline.</w:t>
      </w:r>
      <w:r>
        <w:rPr/>
        <w:t xml:space="preserve"> The table records facts established for the tested server and distinguishes them from deployment details that still need to be recovered. The exact image and upstream revisions provide a reproducible software checkpoint, while the unknown backend and persistence settings remain real evidence gaps. These gaps do not prevent beginning the mapping work, but they must be closed before claims about durability or exact deployment reproduction (MERLIN Project 2026f).</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Item</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Recorded baseline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Standing for this study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implementation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52North/connected-systems-pygeoapi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Connected Systems proof of concept based on pygeoapi</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Tested upstream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6ad75aa7fbfc76517c8a24c21446471845007855</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source checkpoint used to identify the running build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Project version at tested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0.6.0</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Upstream package metadata, not a conformance level</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Pinned pygeoapi fork revision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rFonts w:ascii="DejaVu Sans Mono" w:hAnsi="DejaVu Sans Mono"/>
                <w:sz w:val="20"/>
              </w:rPr>
              <w:t>ec1eb38d9a64d93ec9a2e1b9db6fea6dc05f194a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Upstream dependency of that source revision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OS4CSAPI endpoint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https://129-80-248-53.sslip.io/csapi-pygeoapi</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Smart Citizen CSAPI target, subject to fresh pre-run health check</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Hosting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Oracle Cloud test environment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project infrastructure; no new server is required for the first run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Tested container image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sha256:15e6991a3697e5f7130ed50bbb958720f2ffa7954f114a70be66cc93c0c489da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Exact image identity recorded during October verification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adaptations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Public-URL fix; async full-scan/bootstrap-ID patch; ARM64/native-dependency adaptations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Local deployment differences from the upstream source checkpoint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Authentication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Recorded as none for the test endpoint</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Must be reverified before live publication</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Backend, persistent storage, restart policy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Not established by the recovered evidence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Capture from the running deployment before durability or reproducibility claims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52°North public demo</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rFonts w:ascii="DejaVu Sans Mono" w:hAnsi="DejaVu Sans Mono"/>
                <w:sz w:val="20"/>
              </w:rPr>
              <w:t>https://csa.demo.52north.org/</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Separate external deployment; not the primary study server</w:t>
            </w:r>
          </w:p>
        </w:tc>
      </w:tr>
    </w:tbl>
    <w:p>
      <w:pPr>
        <w:spacing w:after="40" w:before="0" w:line="60" w:lineRule="exact"/>
      </w:pPr>
    </w:p>
    <w:p>
      <w:pPr>
        <w:pStyle w:val="Heading2"/>
      </w:pPr>
      <w:r>
        <w:rPr/>
        <w:t>Why this implementation is the initial study server</w:t>
      </w:r>
    </w:p>
    <w:p>
      <w:pPr/>
      <w:r>
        <w:rPr/>
        <w:t xml:space="preserve">The server was not selected by a claim that 52°North/pygeoapi is universally the best Connected Systems implementation. The glaux-client bootstrap already identified the existing pygeoapi CSAPI test server as the intended server for the later prototype, and a subsequent 19 October 2026 comparison supplied a more specific experimental reason to keep it (MERLIN Project 2026f). In that bounded comparison, the same profile-style SensorML System was submitted to three running Oracle deployments: CS-GO rejected </w:t>
      </w:r>
      <w:r>
        <w:rPr>
          <w:rFonts w:ascii="DejaVu Sans Mono" w:hAnsi="DejaVu Sans Mono"/>
          <w:sz w:val="19"/>
        </w:rPr>
        <w:t>characteristics</w:t>
      </w:r>
      <w:r>
        <w:rPr/>
        <w:t>, OpenSensorHub accepted the resource but omitted tested group IDs and conditions on retrieval, and pygeoapi accepted the resource and returned all submitted fields. This result aligns directly with the present study's question about whether profile-relevant meaning survives an integration boundary.</w:t>
      </w:r>
    </w:p>
    <w:p>
      <w:pPr/>
      <w:r>
        <w:rPr/>
        <w:t xml:space="preserve">The pygeoapi creation returned HTTP 201 with an explicit UUID in the response body but no </w:t>
      </w:r>
      <w:r>
        <w:rPr>
          <w:rFonts w:ascii="DejaVu Sans Mono" w:hAnsi="DejaVu Sans Mono"/>
          <w:sz w:val="19"/>
        </w:rPr>
        <w:t>Location</w:t>
      </w:r>
      <w:r>
        <w:rPr/>
        <w:t xml:space="preserve"> header, so the harness used that UUID only after verifying the fixture's </w:t>
      </w:r>
      <w:r>
        <w:rPr>
          <w:rFonts w:ascii="DejaVu Sans Mono" w:hAnsi="DejaVu Sans Mono"/>
          <w:sz w:val="19"/>
        </w:rPr>
        <w:t>uniqueId</w:t>
      </w:r>
      <w:r>
        <w:rPr/>
        <w:t xml:space="preserve"> before cleanup (MERLIN Project 2026f). The retrieved representation preserved every submitted field under the stated comparison rules, the tested response passed the supplemental schema validation used for that sample, and cleanup returned HTTP 200 followed by GET 404. Those findings establish one successful System-level preservation sample rather than complete CSAPI conformance. Restart durability, time-bearing representations, datastream and observation writes, commands, access control, and the complete set of operations needed by the Smart Citizen experiment remain to be exercised separately.</w:t>
      </w:r>
    </w:p>
    <w:p>
      <w:pPr>
        <w:pStyle w:val="Heading2"/>
      </w:pPr>
      <w:r>
        <w:rPr/>
        <w:t>Role in the Smart Citizen experiment</w:t>
      </w:r>
    </w:p>
    <w:p>
      <w:pPr/>
      <w:r>
        <w:rPr/>
        <w:t>The proposed adapter will obtain documented Smart Citizen source data, construct the selected CSAPI/SensorML/SWE representations, and publish them to the Oracle deployment. Glaux will then retrieve the server-hosted resources rather than reading the Smart Citizen API directly for the profile-aware comparison. This makes the server an explicit experimental boundary at which meaning can be preserved, changed, rejected, or lost. A successful server write will therefore be reported separately from the correctness of the mapping and from the usefulness of the resulting client presentation.</w:t>
      </w:r>
    </w:p>
    <w:p>
      <w:pPr/>
      <w:r>
        <w:rPr/>
        <w:t>Before the first live run, the study will capture the active server revision, image, local patch state, backend/provider, storage configuration, proxy/public-base-URL settings, persistence/restart behavior, authentication posture, and the specific publication interfaces used. Any change from the October 2026 verified build will become part of the execution record rather than being silently treated as the same environment. The experiment will also perform the smallest read/write checks necessary for the actual System, DataStream, schema, and Observation operations it intends to use. This turns deployment configuration into reproducibility evidence instead of background infrastructure that the paper assumes.</w:t>
      </w:r>
    </w:p>
    <w:p>
      <w:pPr>
        <w:pStyle w:val="Heading1"/>
      </w:pPr>
      <w:r>
        <w:rPr/>
        <w:t>4 Research questions and study design</w:t>
      </w:r>
    </w:p>
    <w:p>
      <w:pPr/>
      <w:r>
        <w:rPr/>
        <w:t>The study proposes a traceable integration case. A controlled comparison of information presentation will follow that integration. Together, these stages address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3" name="Picture 3"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3"/>
                    <a:stretch>
                      <a:fillRect/>
                    </a:stretch>
                  </pic:blipFill>
                  <pic:spPr>
                    <a:xfrm>
                      <a:off x="0" y="0"/>
                      <a:ext cx="6217920" cy="5285232"/>
                    </a:xfrm>
                    <a:prstGeom prst="rect"/>
                  </pic:spPr>
                </pic:pic>
              </a:graphicData>
            </a:graphic>
          </wp:inline>
        </w:drawing>
      </w:r>
    </w:p>
    <w:p>
      <w:pPr>
        <w:pStyle w:val="PaperCaption"/>
        <w:keepNext w:val="0"/>
      </w:pPr>
      <w:r>
        <w:rPr>
          <w:b/>
        </w:rPr>
        <w:t>Figure 3.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5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pStyle w:val="PaperCaption"/>
        <w:keepNext/>
      </w:pPr>
      <w:r>
        <w:rPr>
          <w:b/>
        </w:rPr>
        <w:t>Table 3. Selected observations from the preliminary public capture.</w:t>
      </w:r>
      <w:r>
        <w:rPr/>
        <w:t xml:space="preserve"> The preliminary study retrieved public registration 19639 on 24 October 2026 at 5:57:35 p.m. EDT, equivalent to 21:57:35 UTC. Selected measurements and their individual source timestamps are preserved in the evidence record. The table summarizes a subset; it is not a new live measurement or an executed adapter result (MERLIN Project 2026b).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6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4" name="Picture 4"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4"/>
                    <a:stretch>
                      <a:fillRect/>
                    </a:stretch>
                  </pic:blipFill>
                  <pic:spPr>
                    <a:xfrm>
                      <a:off x="0" y="0"/>
                      <a:ext cx="6217920" cy="5129784"/>
                    </a:xfrm>
                    <a:prstGeom prst="rect"/>
                  </pic:spPr>
                </pic:pic>
              </a:graphicData>
            </a:graphic>
          </wp:inline>
        </w:drawing>
      </w:r>
    </w:p>
    <w:p>
      <w:pPr>
        <w:pStyle w:val="PaperCaption"/>
        <w:keepNext w:val="0"/>
      </w:pPr>
      <w:r>
        <w:rPr>
          <w:b/>
        </w:rPr>
        <w:t>Figure 4.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concept lineage</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r>
        <w:rPr/>
        <w:t>Every mapping explanation will connect the native assertion to its underlying DIM concept, the applicable MPSS binding, and the selected CSAPI concepts and representation. It will identify the relevant System, DataStream, Observation, or other resource and explain why that resource has the intended role. Where SensorML or SWE supplies the representation, the explanation will name the actual member, component, semantic definition, and unit mechanism. A JSON destination alone is an incomplete account because it does not explain the meaning being preserved or the model decision behind it.</w:t>
      </w:r>
    </w:p>
    <w:p>
      <w:pPr/>
      <w:r>
        <w:rPr/>
        <w:t>Each individual donor concept invoked by that explanation will have its own attribution, including its name or identifier, source edition, exact section or object, and inline author-date citation. The account will state whether the concept is directly reused, adapted through an identified binding, used to constrain interpretation, or considered without an established equivalence. A source may contribute both conceptual meaning and an encoding mechanism, but those contributions will be explained separately. Multiple donors supporting one mapping will remain individually visible, and similarity of terminology will not be treated as evidence of historical derivation.</w:t>
      </w:r>
    </w:p>
    <w:p>
      <w:pPr/>
      <w:r>
        <w:rPr/>
        <w:t>The donor explanation will distinguish an established contribution to the retained model from a source vocabulary encountered in this experiment. It will also identify MERLIN-authored bindings and experiment-authored transformations rather than crediting them to an external standard. Where the donor relationship is unverified, the mapping will say that it is not established and identify the missing evidence. The following requirements apply to every mapping added to this paper, including metadata and relationships as well as numerical readings.</w:t>
      </w:r>
    </w:p>
    <w:p>
      <w:pPr>
        <w:pStyle w:val="PaperCaption"/>
        <w:keepNext/>
      </w:pPr>
      <w:r>
        <w:rPr>
          <w:b/>
        </w:rPr>
        <w:t>Table 4. Required explanation for each mapping.</w:t>
      </w:r>
      <w:r>
        <w:rPr/>
        <w:t xml:space="preserve"> Each mapping receives a stable study-local identifier and a narrative covering these layers. Every invoked donor receives a separately attributable concept entry, even when several donors support the same mapping. Unresolved relationships remain visible until source evidence and review support a disposition.</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Layer</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Required explanation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identify</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Native assertion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the source actually asserts, about which subject and time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Source path, definition, capture, and limitations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Underlying DIM concept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Entity, property, relationship, and distinctions the mapping preserves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Model concept and exact baseline locator</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Individual donor concepts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The meaning contributed by each donor and how it is invoked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Concept identifier, edition, section or object, citation, and reuse status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MPSS binding</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Existing rule applied and any project-authored specialization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Exact rule, rationale, and remaining gap</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representation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CSAPI resource/association and SensorML/SWE carrier</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Standard clause, field/component, definition, and unit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Transformation and presentation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Authored conversion, enrichment, label, or grouping and its reason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Mapping revision, code/listing, and source-to-display trace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Review outcome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What was preserved, unsupported, changed, or left unresolved</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Executed check, evidence, and explicit limits</w:t>
            </w:r>
          </w:p>
        </w:tc>
      </w:tr>
    </w:tbl>
    <w:p>
      <w:pPr>
        <w:spacing w:after="40" w:before="0" w:line="60" w:lineRule="exact"/>
      </w:pPr>
    </w:p>
    <w:p>
      <w:pPr>
        <w:pStyle w:val="Heading2"/>
      </w:pPr>
      <w:r>
        <w:rPr/>
        <w:t>Illustrative encoding</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or a served resource. It does not represent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Temperature mapping SC TEMP 01</w:t>
      </w:r>
    </w:p>
    <w:p>
      <w:pPr/>
      <w:r>
        <w:rPr/>
        <w:t xml:space="preserve">Mapping </w:t>
      </w:r>
      <w:r>
        <w:rPr>
          <w:rFonts w:ascii="DejaVu Sans Mono" w:hAnsi="DejaVu Sans Mono"/>
          <w:sz w:val="19"/>
        </w:rPr>
        <w:t>SC-TEMP-01</w:t>
      </w:r>
      <w:r>
        <w:rPr/>
        <w:t xml:space="preserve"> links the captured temperature channel to the proposed output declaration in Listing 2. The source supplies channel identifier 55, the value 19.82, a Celsius unit reference, an air-temperature definition reference, and the channel's source timestamp (MERLIN Project 2026b, record “smart-citizen-current-19639”). In the underlying model, this is an observation of an environmental property produced by a sensing system, with a result that remains distinct from the system description. MPSS R11 requires the producer, observed subject, and temporal context to remain distinguishable, so the observation cannot become a measurement of the kit merely because the kit reported it (MERLIN Project 2026a, sec. 5.8, R11). R10 also keeps a declared output distinct from the availability of recorded data (MERLIN Project 2026a, sec. 5.8, R10).</w:t>
      </w:r>
    </w:p>
    <w:p>
      <w:pPr/>
      <w:r>
        <w:rPr/>
        <w:t xml:space="preserve">The observation-concept lineage runs through CSAPI to W3C SOSA/SSN: CSAPI explicitly identifies that semantic foundation, while documenting its own adaptations and allowing representations other than RDF (Open Geospatial Consortium 2025a, annex C.1). The individual contributing concepts are </w:t>
      </w:r>
      <w:r>
        <w:rPr>
          <w:rFonts w:ascii="DejaVu Sans Mono" w:hAnsi="DejaVu Sans Mono"/>
          <w:sz w:val="19"/>
        </w:rPr>
        <w:t>sosa:Sensor</w:t>
      </w:r>
      <w:r>
        <w:rPr/>
        <w:t xml:space="preserve">, </w:t>
      </w:r>
      <w:r>
        <w:rPr>
          <w:rFonts w:ascii="DejaVu Sans Mono" w:hAnsi="DejaVu Sans Mono"/>
          <w:sz w:val="19"/>
        </w:rPr>
        <w:t>sosa:Observation</w:t>
      </w:r>
      <w:r>
        <w:rPr/>
        <w:t xml:space="preserve">, </w:t>
      </w:r>
      <w:r>
        <w:rPr>
          <w:rFonts w:ascii="DejaVu Sans Mono" w:hAnsi="DejaVu Sans Mono"/>
          <w:sz w:val="19"/>
        </w:rPr>
        <w:t>sosa:ObservableProperty</w:t>
      </w:r>
      <w:r>
        <w:rPr/>
        <w:t xml:space="preserve">, </w:t>
      </w:r>
      <w:r>
        <w:rPr>
          <w:rFonts w:ascii="DejaVu Sans Mono" w:hAnsi="DejaVu Sans Mono"/>
          <w:sz w:val="19"/>
        </w:rPr>
        <w:t>sosa:FeatureOfInterest</w:t>
      </w:r>
      <w:r>
        <w:rPr/>
        <w:t xml:space="preserve">, and </w:t>
      </w:r>
      <w:r>
        <w:rPr>
          <w:rFonts w:ascii="DejaVu Sans Mono" w:hAnsi="DejaVu Sans Mono"/>
          <w:sz w:val="19"/>
        </w:rPr>
        <w:t>sosa:Result</w:t>
      </w:r>
      <w:r>
        <w:rPr/>
        <w:t xml:space="preserve">, which distinguish producer, observation activity, observed property, subject, and outcome (World Wide Web Consortium 2017, secs. 4.3.2, 4.6.2, 4.7.2). CSAPI supplies the DataStream and Observation resources and their associations; its observation </w:t>
      </w:r>
      <w:r>
        <w:rPr>
          <w:rFonts w:ascii="DejaVu Sans Mono" w:hAnsi="DejaVu Sans Mono"/>
          <w:sz w:val="19"/>
        </w:rPr>
        <w:t>result</w:t>
      </w:r>
      <w:r>
        <w:rPr/>
        <w:t xml:space="preserve"> corresponds to </w:t>
      </w:r>
      <w:r>
        <w:rPr>
          <w:rFonts w:ascii="DejaVu Sans Mono" w:hAnsi="DejaVu Sans Mono"/>
          <w:sz w:val="19"/>
        </w:rPr>
        <w:t>sosa:hasResult</w:t>
      </w:r>
      <w:r>
        <w:rPr/>
        <w:t xml:space="preserve">, and </w:t>
      </w:r>
      <w:r>
        <w:rPr>
          <w:rFonts w:ascii="DejaVu Sans Mono" w:hAnsi="DejaVu Sans Mono"/>
          <w:sz w:val="19"/>
        </w:rPr>
        <w:t>samplingFeature</w:t>
      </w:r>
      <w:r>
        <w:rPr/>
        <w:t xml:space="preserve"> corresponds to </w:t>
      </w:r>
      <w:r>
        <w:rPr>
          <w:rFonts w:ascii="DejaVu Sans Mono" w:hAnsi="DejaVu Sans Mono"/>
          <w:sz w:val="19"/>
        </w:rPr>
        <w:t>sosa:hasFeatureOfInterest</w:t>
      </w:r>
      <w:r>
        <w:rPr/>
        <w:t xml:space="preserve"> (Open Geospatial Consortium 2025b, secs. 9.2, 9.7). This is an identified conceptual contribution through the standard, rather than an assertion that every SOSA/SSN term or constraint is adopted by the experiment.</w:t>
      </w:r>
    </w:p>
    <w:p>
      <w:pPr/>
      <w:r>
        <w:rPr/>
        <w:t xml:space="preserve">Two further source contributions explain the property and unit: GEMET concept 281 identifies air temperature, and QUDT </w:t>
      </w:r>
      <w:r>
        <w:rPr>
          <w:rFonts w:ascii="DejaVu Sans Mono" w:hAnsi="DejaVu Sans Mono"/>
          <w:sz w:val="19"/>
        </w:rPr>
        <w:t>unit:DEG_C</w:t>
      </w:r>
      <w:r>
        <w:rPr/>
        <w:t xml:space="preserve"> identifies degree Celsius (European Environment Agency 2021; QUDT.org n.d.). These are the vocabulary references carried by the native specimen; retaining them does not establish that they were historical donors to every part of the DIM. SWE's Quantity, semantic </w:t>
      </w:r>
      <w:r>
        <w:rPr>
          <w:rFonts w:ascii="DejaVu Sans Mono" w:hAnsi="DejaVu Sans Mono"/>
          <w:sz w:val="19"/>
        </w:rPr>
        <w:t>definition</w:t>
      </w:r>
      <w:r>
        <w:rPr/>
        <w:t xml:space="preserve">, and unit-reference mechanisms provide the typed representation, while SensorML's </w:t>
      </w:r>
      <w:r>
        <w:rPr>
          <w:rFonts w:ascii="DejaVu Sans Mono" w:hAnsi="DejaVu Sans Mono"/>
          <w:sz w:val="19"/>
        </w:rPr>
        <w:t>outputs</w:t>
      </w:r>
      <w:r>
        <w:rPr/>
        <w:t xml:space="preserve"> member declares the output (Open Geospatial Consortium 2025c, secs. 8.2, 9.1; 2025d, secs. 7.3, 8.2, 9.1). The local name </w:t>
      </w:r>
      <w:r>
        <w:rPr>
          <w:rFonts w:ascii="DejaVu Sans Mono" w:hAnsi="DejaVu Sans Mono"/>
          <w:sz w:val="19"/>
        </w:rPr>
        <w:t>airTemperature</w:t>
      </w:r>
      <w:r>
        <w:rPr/>
        <w:t xml:space="preserve"> and display label remain authored choices, while the final producer identity, sampling subject, observation-time interpretation, and executed CSAPI publication remain to be resolved and tested.</w:t>
      </w:r>
    </w:p>
    <w:p>
      <w:pPr>
        <w:pStyle w:val="Heading2"/>
      </w:pPr>
      <w:r>
        <w:rPr/>
        <w:t>Battery mapping SC BATT 01</w:t>
      </w:r>
    </w:p>
    <w:p>
      <w:pPr/>
      <w:r>
        <w:rPr/>
        <w:t xml:space="preserve">Mapping </w:t>
      </w:r>
      <w:r>
        <w:rPr>
          <w:rFonts w:ascii="DejaVu Sans Mono" w:hAnsi="DejaVu Sans Mono"/>
          <w:sz w:val="19"/>
        </w:rPr>
        <w:t>SC-BATT-01</w:t>
      </w:r>
      <w:r>
        <w:rPr/>
        <w:t xml:space="preserve"> concerns the source-reported remaining battery level of 99 percent, not a demonstrated physical power arrangement (MERLIN Project 2026b, record “smart-citizen-current-19639”). The underlying model distinguishes a reported property from an identified power-source entity and from a relationship describing which equipment it supplies. MPSS R17 preserves the quantity, subject, measurement point, time, and reading-versus-estimate meaning, while R11 preserves producer-versus-subject context (MERLIN Project 2026a, secs. 5.8, 5.10). Its Sensor, Observation, ObservableProperty, FeatureOfInterest, and Result distinctions follow the same SOSA/SSN lineage explained for </w:t>
      </w:r>
      <w:r>
        <w:rPr>
          <w:rFonts w:ascii="DejaVu Sans Mono" w:hAnsi="DejaVu Sans Mono"/>
          <w:sz w:val="19"/>
        </w:rPr>
        <w:t>SC-TEMP-01</w:t>
      </w:r>
      <w:r>
        <w:rPr/>
        <w:t xml:space="preserve"> (World Wide Web Consortium 2017, secs. 4.3.2, 4.6.2, 4.7.2; Open Geospatial Consortium 2025a, annex C.1). A percent-scaled SWE Quantity within a CSAPI stream/observation representation is a proposed carrier, but the exact property definition and observation contract still require a completed mapping record (Open Geospatial Consortium 2025b, secs. 9.2, 9.6–9.7; 2025d, secs. 8.2.8, 9.1.9).</w:t>
      </w:r>
    </w:p>
    <w:p>
      <w:pPr/>
      <w:r>
        <w:rPr/>
        <w:t>RFC 7326 contributes distinct power-source, metering, and aggregation relationship concepts; its Power Source Relationship concerns the energy-supply interconnection (Parello et al. 2014, secs. 6.6, 8.1–8.3). In this mapping, those concepts constrain interpretation by explaining why a battery percentage does not itself establish a supply edge. R16's OGC relationship binding is authored by MERLIN, so any later topology mapping must identify the reused RFC meaning and assess the binding's adaptations separately (MERLIN Project 2026a, sec. 5.10, R16). The present percentage mapping does not instantiate any of these three relationship concepts, and the paper will report that absence explicitly.</w:t>
      </w:r>
    </w:p>
    <w:p>
      <w:pPr/>
      <w:r>
        <w:rPr/>
        <w:t xml:space="preserve">RFC 7577 supplies separate battery-monitoring concepts, including </w:t>
      </w:r>
      <w:r>
        <w:rPr>
          <w:rFonts w:ascii="DejaVu Sans Mono" w:hAnsi="DejaVu Sans Mono"/>
          <w:sz w:val="19"/>
        </w:rPr>
        <w:t>batteryActualCharge</w:t>
      </w:r>
      <w:r>
        <w:rPr/>
        <w:t xml:space="preserve"> in milliampere hours and </w:t>
      </w:r>
      <w:r>
        <w:rPr>
          <w:rFonts w:ascii="DejaVu Sans Mono" w:hAnsi="DejaVu Sans Mono"/>
          <w:sz w:val="19"/>
        </w:rPr>
        <w:t>batteryActualVoltage</w:t>
      </w:r>
      <w:r>
        <w:rPr/>
        <w:t xml:space="preserve"> in millivolts (Quittek et al. 2015, sec. 4). Neither quantity is established by a percentage alone, so this mapping has no demonstrated equivalence to either individual MIB object. The RFC is used here to test and reject unsupported substitutions, rather than to claim a directly reused battery-field definition. The proposed display therefore retains the supplier's percentage and its evidence limits without adding charge in milliampere hours, voltage, runtime, battery identity, or charging state.</w:t>
      </w:r>
    </w:p>
    <w:p>
      <w:pPr>
        <w:pStyle w:val="Heading2"/>
      </w:pPr>
      <w:r>
        <w:rPr/>
        <w:t>Expected domain coverage</w:t>
      </w:r>
    </w:p>
    <w:p>
      <w:pPr>
        <w:pStyle w:val="PaperCaption"/>
        <w:keepNext/>
      </w:pPr>
      <w:r>
        <w:rPr>
          <w:b/>
        </w:rPr>
        <w:t>Table 5. Expected coverage and remaining evidence needs.</w:t>
      </w:r>
      <w:r>
        <w:rPr/>
        <w:t xml:space="preserve"> The starting material comes from inspected public evidence and proposed documentary enrichment. These are assessment expectations, not completed implementation results. The profile's inclusion of a subject does not require an unsupported source assertion (MERLIN Project 2026a, secs. 4, 5.1; 2026b; 2026c).</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7 Integration and evaluation protocol</w:t>
      </w:r>
    </w:p>
    <w:p>
      <w:pPr>
        <w:pStyle w:val="Heading2"/>
      </w:pPr>
      <w:r>
        <w:rPr/>
        <w:t>Acquisition and publication</w:t>
      </w:r>
    </w:p>
    <w:p>
      <w:pPr/>
      <w:r>
        <w:rPr/>
        <w:t>Before execution, the team will reassess registration 19639 for sufficiently recent data and document any reason for choosing a different public registration.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pStyle w:val="PaperCaption"/>
        <w:keepNext/>
      </w:pPr>
      <w:r>
        <w:rPr>
          <w:b/>
        </w:rPr>
        <w:t>Table 6. Proposed evaluation criteria.</w:t>
      </w:r>
      <w:r>
        <w:rPr/>
        <w:t xml:space="preserve"> 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Concept lineage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Individual donor concepts, exact citations, model/binding connections, reuse or adaptation decisions, and unestablished links</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8 Interface comparison and figure protocol</w:t>
      </w:r>
    </w:p>
    <w:p>
      <w:pPr/>
      <w:r>
        <w:rPr/>
        <w:t>The planned comparison has three conditions: the actual Smart Citizen interface, a competent generic OGC presentation, and a profile-aware Glaux presentation. The source platform documents front-end access to its data, but no matched screenshot comparison is reported in this draft (Smart Citizen n.d.-a).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7. Planned figures and evidence status.</w:t>
      </w:r>
      <w:r>
        <w:rPr/>
        <w:t xml:space="preserve"> Figure 1 is an official product-model photograph with an identified source and explicit limits. Figure 2 is an authored server-lineage diagram, while Figures 3 and 4 are authored diagrams of the proposed experiment. Figures 5–7 are reserved evidence slots, and no substitute or simulated screenshots are presented.</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0.4</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Smart Citizen Kit 2.3 equipment and component roles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Official model reference photograph; not a verified image of registration 19639</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Experimental CSAPI server lineage and study role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Smart Citizen interface showing the selected channels and interval</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6</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the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7</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implemented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9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0.4. The public access observations in section 5 establish limited feasibility and remain separate from experimental results.</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10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11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Narrative paragraphs, including the abstract and explanatory figure, table, and listing captions, will contain three to five sentences. Headings, metadata, research-question items, table cells, code, and reference entries retain their respective structural formats. The publication check will enforce the paragraph rule, while editorial review will assess whether each paragraph develops a coherent point. Each mapping revision must also maintain the individual donor attributions and the explanation of its model and standard-representation roles.</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12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52°North Spatial Information Research GmbH. 2023. </w:t>
      </w:r>
      <w:r>
        <w:rPr>
          <w:i/>
        </w:rPr>
        <w:t>52°North Annual Report 2023</w:t>
      </w:r>
      <w:r>
        <w:rPr/>
        <w:t>. Münster, Germany. https://52north.org/delivery/annual_report/52%C2%B0North_Annual_Report_2023.pdf.</w:t>
      </w:r>
    </w:p>
    <w:p>
      <w:pPr>
        <w:pStyle w:val="PaperReference"/>
      </w:pPr>
      <w:r>
        <w:rPr/>
        <w:t>52°North Spatial Information Research GmbH. n.d.-a. “connected-systems-pygeoapi.” GitHub repository, tested revision 6ad75aa7fbfc76517c8a24c21446471845007855. Accessed October 24, 2026. https://github.com/52North/connected-systems-pygeoapi/tree/6ad75aa7fbfc76517c8a24c21446471845007855.</w:t>
      </w:r>
    </w:p>
    <w:p>
      <w:pPr>
        <w:pStyle w:val="PaperReference"/>
      </w:pPr>
      <w:r>
        <w:rPr/>
        <w:t>52°North Spatial Information Research GmbH. n.d.-b. “Open Source Projects Contributions.” Accessed October 24, 2026. https://52north.org/software/software-components/open-source-projects-contributions/.</w:t>
      </w:r>
    </w:p>
    <w:p>
      <w:pPr>
        <w:pStyle w:val="PaperReference"/>
      </w:pPr>
      <w:r>
        <w:rPr/>
        <w:t>52°North Spatial Information Research GmbH. n.d.-c. “connected-systems-pygeoapi.” Public demonstration service. Accessed October 24, 2026. https://csa.demo.52north.org/.</w:t>
      </w:r>
    </w:p>
    <w:p>
      <w:pPr>
        <w:pStyle w:val="PaperReference"/>
      </w:pPr>
      <w:r>
        <w:rPr/>
        <w:t xml:space="preserve">European Environment Agency. 2021. “Air Temperature.” </w:t>
      </w:r>
      <w:r>
        <w:rPr>
          <w:i/>
        </w:rPr>
        <w:t>GEMET</w:t>
      </w:r>
      <w:r>
        <w:rPr/>
        <w:t>, version 4.2.3, December 6. Concept 281. Accessed October 24, 2026. https://www.eionet.europa.eu/gemet/en/concept/281.</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MERLIN Project. 2026f. “52°North connected-systems-pygeoapi Experimental Server Baseline.” October 24. Research evidence record. https://github.com/OS4CSAPI/glaux-client/blob/work/details-view-20261023/Docs/Research/Evidence/PYGEOAPI_SERVER_BASELINE_2026-10-24.md.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pygeoapi Development Team. 2026. </w:t>
      </w:r>
      <w:r>
        <w:rPr>
          <w:i/>
        </w:rPr>
        <w:t>pygeoapi 0.25.dev0 Documentation</w:t>
      </w:r>
      <w:r>
        <w:rPr/>
        <w:t>. October 22. https://docs.pygeoapi.io/en/latest/.</w:t>
      </w:r>
    </w:p>
    <w:p>
      <w:pPr>
        <w:pStyle w:val="PaperReference"/>
      </w:pPr>
      <w:r>
        <w:rPr/>
        <w:t xml:space="preserve">QUDT.org. n.d. “Degree Celsius.” </w:t>
      </w:r>
      <w:r>
        <w:rPr>
          <w:i/>
        </w:rPr>
        <w:t>QUDT Units Vocabulary</w:t>
      </w:r>
      <w:r>
        <w:rPr/>
        <w:t>, version 3.5.3. Unit DEG_C. Accessed October 24, 2026. https://qudt.org/vocab/unit/DEG_C.</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p>
      <w:pPr>
        <w:pStyle w:val="PaperReference"/>
      </w:pPr>
      <w:r>
        <w:rPr/>
        <w:t xml:space="preserve">World Wide Web Consortium. 2017. </w:t>
      </w:r>
      <w:r>
        <w:rPr>
          <w:i/>
        </w:rPr>
        <w:t>Semantic Sensor Network Ontology</w:t>
      </w:r>
      <w:r>
        <w:rPr/>
        <w:t>. W3C Recommendation, October 19. https://www.w3.org/TR/2017/REC-vocab-ssn-20171019/.</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0.4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{"format":"glaux-paper-inputs-v1","sha256":"de27b9b6de5708ce6fb80573fefd8597cf23f9cf03c9a7191a07ac914c2b1eab"}</dc:description>
  <cp:lastModifiedBy/>
  <cp:revision>1</cp:revision>
  <dcterms:created xsi:type="dcterms:W3CDTF">2026-10-24T00:00:00Z</dcterms:created>
  <dcterms:modified xsi:type="dcterms:W3CDTF">2026-10-24T00:00:00Z</dcterms:modified>
  <cp:category/>
  <cp:version>0.4</cp:version>
</cp:coreProperties>
</file>