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0.8 | 25 October 2026 | Study protocol with reviewed Phase 1–4 evidence</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system from the subject it observes, a source-reported status from an interpretation of that status, and a direct reading from a platform-derived product. This paper defines and advances a Smart Citizen experiment using public source data, an authored adapter, an Open Geospatial Consortium (OGC) API — Connected Systems (CSAPI) service, and the Glaux client to evaluate the MERLIN domain information model (DIM) and Managed Physical Sensing Systems (MPSS) profile. Each consequential mapping is required to identify its native assertion, underlying domain concept, donor concepts, profile binding, standard carrier, authored transformation, presentation implication, and review outcome.</w:t>
      </w:r>
    </w:p>
    <w:p>
      <w:pPr/>
      <w:r>
        <w:rPr/>
        <w:t xml:space="preserve">Phases 1–4 have now frozen a reproducible public specimen, characterized its native identities and source semantics, reviewed nine current-state plus two aggregate-history mappings, and designed the connected CSAPI resource graph without writing to the target server. The Phase 4 design separates the physical Smart Citizen Kit from source-platform aggregation, preserves unsupported relationships as explicit absences, and defines deterministic study identities and qualified time projections for executable observations (MERLIN Project 2026m). This revision also adds a maintained acronyms-and-abbreviations section alongside sourced technical definitions so readers do not have to infer specialized shorthand such as received signal strength indication (RSSI). The adapter, CSAPI publication and round trip, connected Glaux traversal, and matched generic/profile-aware interface comparison remain unexecuted, so no interoperability or operator-benefit result is claimed. </w:t>
      </w: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TRSS is retained as the source-system name used by the project rather than expanded here without authoritative support. The subsequent domain-model work expanded the inquiry from individual manufacturer screens to the physical sensing system in employment: its identity, equipment, functions, deployment, configuration, communications, power, and lifecycle. The retained Managed Physical Sensing Systems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Universal Serial Bus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domain information model (DIM) and MPSS. Their presence in model documentation does not establish a verified component inventory for an individual installation.</w:t>
      </w:r>
    </w:p>
    <w:p>
      <w:pPr/>
      <w:r>
        <w:rPr/>
        <w:t>The selected specimen is public Smart Citizen registration 19639. A formal capture made on 25 October 2026 at 02:43:48 Coordinated Universal Time (UTC) retained the complete Device response, response headers, and bounded temperature and PM2.5 histories with request Uniform Resource Locators (URLs) and Secure Hash Algorithm 256-bit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received signal strength indication (RSSI), and SD-card indication. The registration and reported model identify the selected data specimen, but enduring physical identity and installed configuration remain separate evidence questions.</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1–4 source, mapping, and resource-design work;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maintained while the experiment proceeds rather than being written only before execution. Source acquisition, native characterization and the first mapping review are now executed and documented, while adapter publication, CSAPI round-trip testing and client comparison remain future phases (MERLIN Project 2026k; 2026l). Public-data integration still precedes hardware acquisition, and an owned kit remains a later route to physical installation and lifecycle evidence (MERLIN Project 2026e). The frozen specimen provides deterministic replay evidence while any later live acquisition is recorded separately.</w:t>
      </w:r>
    </w:p>
    <w:p>
      <w:pPr>
        <w:pStyle w:val="Heading1"/>
      </w:pPr>
      <w:r>
        <w:rPr/>
        <w:t>2 Acronyms and abbreviations</w:t>
      </w:r>
    </w:p>
    <w:p>
      <w:pPr/>
      <w:r>
        <w:rPr/>
        <w:t>The paper expands uncommon acronyms on first substantive use where practical, but this section provides one place to recover the meaning without searching backward through the text. It includes project shorthand, standards organizations, technical formats, and a few measurement abbreviations that recur in the experiment. Product/model identifiers such as SHT31, SEN5X, and MPL3115A2 are model names rather than acronyms and are therefore not expanded as if they were abbreviations. Where a source uses a particular expansion, the paper preserves that source wording instead of substituting a more familiar variant.</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Acronym / shorthand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Expansion or meaning in this paper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Programming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OGC API — Connected Systems; project shorthand used for the Connected Systems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Cascading Style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Comma-Separated Values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DGIWG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Defence Geospatial Information Working Group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Domain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GEMET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General Multilingual Environmental Thesaurus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HTTP</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Hypertext Transfer Protocol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JCGM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Joint Committee for Guides in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JSON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JavaScript Object Notation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MERLIN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Project name used by this study;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MPSS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Managed Physical Sensing Systems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NIST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National Institute of Standards and Technology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OGC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Geospatial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OS4CSAPI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Repository/organization identifier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PBI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 Backlog Item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PM2.5</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Particulate matter in the source category below 2.5 micrometres in size; common environmental shorthand rather than an acronym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PROV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 provenance family/model shorthand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QUDT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Quantities, Units, Dimensions and Types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RFC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Request for Comments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Smart Citizen defines it as a measurement of power present in a received radio signal (Smart Citizen n.d.-d)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SCK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SDK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Software Development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SHA-256</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Secure Hash Algorithm 256-bit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SensorML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Model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Observation, Sample, and Actuator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SSN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Semantic Sensor Network</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SWE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Web Enablement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TRSS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Source-system name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User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Unique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URI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Uniform Resource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URL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Uniform Resource Locator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USB</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Universal Serial Bus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UTC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Coordinated Universal 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Ultraviolet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Universally Unique IDentifier; UUID version 5 is the name-based form used for deterministic Phase 4 study identities (Davis et al. 2024)</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VIM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International Vocabulary of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W3C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World Wide Web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dBA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A-weighted decibel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dBm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Decibel referenced to one milliwatt</w:t>
            </w:r>
          </w:p>
        </w:tc>
      </w:tr>
    </w:tbl>
    <w:p>
      <w:pPr>
        <w:spacing w:after="40" w:before="0" w:line="60" w:lineRule="exact"/>
      </w:pPr>
    </w:p>
    <w:p>
      <w:pPr>
        <w:pStyle w:val="Heading1"/>
      </w:pPr>
      <w:r>
        <w:rPr/>
        <w:t>3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the World Wide Web Consortium (W3C) PROV data model defines provenance generally, while this study applies that concept to source, processing and integration provenance; the National Institute of Standards and Technology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International Vocabulary of Metrology (VIM)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Received signal strength indication (RSSI) therefore remains untyped in the reviewed Phase 4 graph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uses a documented coincident-time projection for current readings and a qualified source-response result-time proxy for on-demand aggregate products; acquisition time remains separate integration provenance (MERLIN Project 2026m).</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4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Open Geospatial Consortium (OGC) API —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 Model Language (SensorML) 3.0 provides rich descriptions of processes and physical systems, including outputs, configurations, and related descriptive content. Sensor Web Enablement (SWE) Common 3.0 provides typed components, semantic definitions, units, structured values, and encoding mechanisms. Their official JavaScript Object Notation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Cascading Style Sheets (CSS) 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Request for Comments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5 Experimental integration infrastructure</w:t>
      </w:r>
    </w:p>
    <w:p>
      <w:pPr>
        <w:pStyle w:val="Heading2"/>
      </w:pPr>
      <w:r>
        <w:rPr/>
        <w:t>Experimental CSAPI server</w:t>
      </w:r>
    </w:p>
    <w:p>
      <w:pPr>
        <w:pStyle w:val="Heading3"/>
      </w:pPr>
      <w:r>
        <w:rPr/>
        <w:t>Origin and implementation lineage</w:t>
      </w:r>
    </w:p>
    <w:p>
      <w:pPr/>
      <w:r>
        <w:rPr/>
        <w:t>pygeoapi is an open-source Python server implementation of the OGC API family, designed around a Hypertext Transfer Protocol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the initial Connected Systems API design and prototype were developed through several research projects and were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the native geospatial dependencies required by the implementation.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64-bit processor-architecture/native-dependency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2" name="Picture 2"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2"/>
                    <a:stretch>
                      <a:fillRect/>
                    </a:stretch>
                  </pic:blipFill>
                  <pic:spPr>
                    <a:xfrm>
                      <a:off x="0" y="0"/>
                      <a:ext cx="6217920" cy="4663440"/>
                    </a:xfrm>
                    <a:prstGeom prst="rect"/>
                  </pic:spPr>
                </pic:pic>
              </a:graphicData>
            </a:graphic>
          </wp:inline>
        </w:drawing>
      </w:r>
    </w:p>
    <w:p>
      <w:pPr>
        <w:pStyle w:val="PaperCaption"/>
        <w:keepNext w:val="0"/>
      </w:pPr>
      <w:r>
        <w:rPr>
          <w:b/>
        </w:rPr>
        <w:t>Figure 2.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2.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64-bit processor-architecture/native-dependency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software development kit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3" name="Picture 3"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3"/>
                    <a:stretch>
                      <a:fillRect/>
                    </a:stretch>
                  </pic:blipFill>
                  <pic:spPr>
                    <a:xfrm>
                      <a:off x="0" y="0"/>
                      <a:ext cx="6217920" cy="5078910"/>
                    </a:xfrm>
                    <a:prstGeom prst="rect"/>
                  </pic:spPr>
                </pic:pic>
              </a:graphicData>
            </a:graphic>
          </wp:inline>
        </w:drawing>
      </w:r>
    </w:p>
    <w:p>
      <w:pPr>
        <w:pStyle w:val="PaperCaption"/>
        <w:keepNext w:val="0"/>
      </w:pPr>
      <w:r>
        <w:rPr>
          <w:b/>
        </w:rPr>
        <w:t>Figure 3.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3.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 9 and any claim that Glaux reconstructed the Smart Citizen dataset from connected CSAPI resources remain pending experimental evidence.</w:t>
      </w:r>
    </w:p>
    <w:p>
      <w:pPr>
        <w:pStyle w:val="Heading1"/>
      </w:pPr>
      <w:r>
        <w:rPr/>
        <w:t>6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4" name="Picture 4"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4"/>
                    <a:stretch>
                      <a:fillRect/>
                    </a:stretch>
                  </pic:blipFill>
                  <pic:spPr>
                    <a:xfrm>
                      <a:off x="0" y="0"/>
                      <a:ext cx="6217920" cy="5285232"/>
                    </a:xfrm>
                    <a:prstGeom prst="rect"/>
                  </pic:spPr>
                </pic:pic>
              </a:graphicData>
            </a:graphic>
          </wp:inline>
        </w:drawing>
      </w:r>
    </w:p>
    <w:p>
      <w:pPr>
        <w:pStyle w:val="PaperCaption"/>
        <w:keepNext w:val="0"/>
      </w:pPr>
      <w:r>
        <w:rPr>
          <w:b/>
        </w:rPr>
        <w:t>Figure 4.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7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4.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8 Proposed dataset and mapping method</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5" name="Picture 5"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5"/>
                    <a:stretch>
                      <a:fillRect/>
                    </a:stretch>
                  </pic:blipFill>
                  <pic:spPr>
                    <a:xfrm>
                      <a:off x="0" y="0"/>
                      <a:ext cx="6217920" cy="5129784"/>
                    </a:xfrm>
                    <a:prstGeom prst="rect"/>
                  </pic:spPr>
                </pic:pic>
              </a:graphicData>
            </a:graphic>
          </wp:inline>
        </w:drawing>
      </w:r>
    </w:p>
    <w:p>
      <w:pPr>
        <w:pStyle w:val="PaperCaption"/>
        <w:keepNext w:val="0"/>
      </w:pPr>
      <w:r>
        <w:rPr>
          <w:b/>
        </w:rPr>
        <w:t>Figure 5.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5.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that Phase 1–3 gate is now a completed historical checkpoint.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owner subsequently accepted those findings and authorized the Phase 4 resource-graph design recorded below.</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Phase 4 supplies the processing System/Procedure and qualified time policy without inventing interval bounds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Phase 4 now supplies explicit phenomenon-time and result-time policies for the first load, and those authored projections are documented rather than inferred from the spelling of source timestamp fields (MERLIN Project 2026m). Complete request and response examples will be added only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xml:space="preserve">, rather than the adapter authoring that summary field directly (Open Geospatial Consortium 2025b, sec. 9.2).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source reading time as a disclosed coincident-time projection because Smart Citizen supplies no separate result-generation timestamp; experiment acquisition time remains separate provenance (MERLIN Project 2026m).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xml:space="preserve">. The source supplies no separate resultTime, so Phase 4 uses the same channel reading instant for </w:t>
      </w:r>
      <w:r>
        <w:rPr>
          <w:rFonts w:ascii="DejaVu Sans Mono" w:hAnsi="DejaVu Sans Mono"/>
          <w:sz w:val="19"/>
        </w:rPr>
        <w:t>phenomenonTime</w:t>
      </w:r>
      <w:r>
        <w:rPr/>
        <w:t xml:space="preserve"> and </w:t>
      </w:r>
      <w:r>
        <w:rPr>
          <w:rFonts w:ascii="DejaVu Sans Mono" w:hAnsi="DejaVu Sans Mono"/>
          <w:sz w:val="19"/>
        </w:rPr>
        <w:t>resultTime</w:t>
      </w:r>
      <w:r>
        <w:rPr/>
        <w:t xml:space="preserve"> as the disclosed coincident-time projection used for the other frozen current readings (MERLIN Project 2026m). This projection satisfies the target temporal structure without claiming that Smart Citizen supplied an independent second timestamp.</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Received signal strength indication (RSSI)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Citizen's source vocabulary expands RSSI as “received signal strength indication” and defines it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reviewed Phase 4 design keeps the optional DataStream </w:t>
      </w:r>
      <w:r>
        <w:rPr>
          <w:rFonts w:ascii="DejaVu Sans Mono" w:hAnsi="DejaVu Sans Mono"/>
          <w:sz w:val="19"/>
        </w:rPr>
        <w:t>type</w:t>
      </w:r>
      <w:r>
        <w:rPr/>
        <w:t xml:space="preserve"> unset because the source still does not establish that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Phase 4 now instantiates that distinction conceptually as a separate source-platform processing System and reusable aggregation Procedure while leaving actual target-server execution for later phases.</w:t>
      </w:r>
    </w:p>
    <w:p>
      <w:pPr/>
      <w:r>
        <w:rPr/>
        <w:t xml:space="preserve">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is invented from the request spelling. Phase 4 uses the frozen history response date as an explicitly qualified source-response proxy for </w:t>
      </w:r>
      <w:r>
        <w:rPr>
          <w:rFonts w:ascii="DejaVu Sans Mono" w:hAnsi="DejaVu Sans Mono"/>
          <w:sz w:val="19"/>
        </w:rPr>
        <w:t>resultTime</w:t>
      </w:r>
      <w:r>
        <w:rPr/>
        <w:t>, rather than pretending it is the internal computation-completion time (MERLIN Project 2026m). If the target server cannot preserve the processing distinction without distortion, omitting the aggregate products from the first load is preferable to presenting them as direct physical-kit output.</w:t>
      </w:r>
    </w:p>
    <w:p>
      <w:pPr>
        <w:pStyle w:val="Heading2"/>
      </w:pPr>
      <w:r>
        <w:rPr/>
        <w:t>Phase 4 reviewed Connected Systems resource graph</w:t>
      </w:r>
    </w:p>
    <w:p>
      <w:pPr/>
      <w:r>
        <w:rPr/>
        <w:t>Phase 4 converts the reviewed meanings into a concrete, reviewable Connected Systems resource graph without making any server writes (MERLIN Project 2026m). The deterministic first-load design contains two Systems, two Procedures, ten DataStreams with ten observation schemas, and fifty-six Observations: eight frozen current results plus twenty-four temperature and twenty-four PM2.5 aggregate results. The physical Smart Citizen case and the source-platform aggregation process are separate producing Systems, so a one-hour average is not silently attributed to the physical kit. Every created resource is traceable to a Phase 3 mapping, while unsupported topology is represented by deliberate absence rather than by placeholder resources.</w:t>
      </w:r>
    </w:p>
    <w:p>
      <w:pPr>
        <w:pStyle w:val="PaperCaption"/>
        <w:keepNext/>
      </w:pPr>
      <w:r>
        <w:rPr>
          <w:b/>
        </w:rPr>
        <w:t>Table 6. Phase 4 resource graph and negative design decisions.</w:t>
      </w:r>
      <w:r>
        <w:rPr/>
        <w:t xml:space="preserve"> The table summarizes the design that would be implemented by the adapter after this review gate. Study-owned System and Procedure identities use deterministic Universally Unique IDentifier version 5 (UUIDv5) URNs derived from documented project name strings; those identifiers identify MERLIN study representations rather than manufacturer-issued physical assets (Davis et al. 2024; MERLIN Project 2026m). The target graph deliberately omits resource types for which the source does not supply defensible identity or relationship evidence. These choices are design results, not executed server results.</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Design element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4 decision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sensing case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 CSAPI System representing the sensing-system instance known through registration 19639; Smart Citizen ID/UUID remain source identifiers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Reusable product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One Procedure for the SCK2.3 model/datasheet; linked through System kind / SensorML </w:t>
            </w:r>
            <w:r>
              <w:rPr>
                <w:rFonts w:ascii="DejaVu Sans Mono" w:hAnsi="DejaVu Sans Mono"/>
                <w:sz w:val="20"/>
              </w:rPr>
              <w:t>typeOf</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Eight DataStreams/schemas for temperature, PM2.5, humidity, pressure, A-weighted sound level, battery level, RSSI, and SD-card indication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processing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Separate process System plus reusable one-hour-average Procedure; two aggregate DataStreams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Channel source time copied to both phenomenonTime and resultTime as a disclosed coincident-time projection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Returned tuple time as phenomenonTime; frozen source HTTP response date as a qualified resultTime proxy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Environmental SamplingFeature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source does not identify a defensible sample/air-volume feature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position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created/populated in first load; public location precision and employment meaning are insufficient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Component/battery/Wi-Fi/SD Systems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catalogue/status fields do not establish independently identified resources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derived Property resources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required for first load; stable authored property URIs carry meaning while target Property creation remains unreliable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Controls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no selected command evidence belongs to this read/integration experiment</w:t>
            </w:r>
          </w:p>
        </w:tc>
      </w:tr>
    </w:tbl>
    <w:p>
      <w:pPr>
        <w:spacing w:after="40" w:before="0" w:line="60" w:lineRule="exact"/>
      </w:pPr>
    </w:p>
    <w:p>
      <w:pPr/>
      <w:r>
        <w:rPr/>
        <w:t xml:space="preserve">The time projections are deliberately explicit because the source exposes fewer temporal distinctions than the Connected Systems Observation model requires. For the eight current results,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reading timestamp and keeps experiment acquisition time separate as integration provenance. For the on-demand aggregate products, the returned tuple timestamp remains the phenomenon-time anchor while the corresponding frozen HTTP response date is used only as a source-response proxy for result time. Neither rule claims that Smart Citizen originally supplied two independent timestamps, and both must be revisited if stronger source-side time evidence becomes available.</w:t>
      </w:r>
    </w:p>
    <w:p>
      <w:pPr/>
      <w:r>
        <w:rPr/>
        <w:t xml:space="preserve">Phase 4 also exposes implementation constraints in the exact 52°North target revision </w:t>
      </w:r>
      <w:r>
        <w:rPr>
          <w:rFonts w:ascii="DejaVu Sans Mono" w:hAnsi="DejaVu Sans Mono"/>
          <w:sz w:val="19"/>
        </w:rPr>
        <w:t>6ad75aa7...</w:t>
      </w:r>
      <w:r>
        <w:rPr/>
        <w:t>. Its route table lacks POST creation for Property resources despite repository examples/create logic, its observation schema is more permissive than the approved standard about phenomenon time, its documentation treats aggregate “meta-datastreams” as future functionality, and cascade deletion remains incomplete (52°North Spatial Information Research GmbH n.d.-a; MERLIN Project 2026m). The design therefore does not depend on local Property creation or implementation-specific aggregate shortcuts, sends both observation times explicitly, and defines child-first cleanup from Observations to DataStreams to Systems to Procedures. These are bounded target-implementation findings, not a claim of complete standards-conformance assessment.</w:t>
      </w:r>
    </w:p>
    <w:p>
      <w:pPr>
        <w:pStyle w:val="Heading2"/>
      </w:pPr>
      <w:r>
        <w:rPr/>
        <w:t>Expected domain coverage</w:t>
      </w:r>
    </w:p>
    <w:p>
      <w:pPr>
        <w:pStyle w:val="PaperCaption"/>
        <w:keepNext/>
      </w:pPr>
      <w:r>
        <w:rPr>
          <w:b/>
        </w:rPr>
        <w:t>Table 7.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9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against the exact Phase 4 resource graph before publication. Only reviewed resource types and relationships will be emitted, and the actual endpoint, running revision, assigned server identifiers, and cleanup evidence will be recorded in the execution record. A source sample will then be followed through capture, deterministic adapter output,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8.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10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6" name="Picture 6"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16"/>
                    <a:stretch>
                      <a:fillRect/>
                    </a:stretch>
                  </pic:blipFill>
                  <pic:spPr>
                    <a:xfrm>
                      <a:off x="0" y="0"/>
                      <a:ext cx="6217920" cy="3971071"/>
                    </a:xfrm>
                    <a:prstGeom prst="rect"/>
                  </pic:spPr>
                </pic:pic>
              </a:graphicData>
            </a:graphic>
          </wp:inline>
        </w:drawing>
      </w:r>
    </w:p>
    <w:p>
      <w:pPr>
        <w:pStyle w:val="PaperCaption"/>
        <w:keepNext w:val="0"/>
      </w:pPr>
      <w:r>
        <w:rPr>
          <w:b/>
        </w:rPr>
        <w:t>Figure 6.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7" name="Picture 7"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17"/>
                    <a:stretch>
                      <a:fillRect/>
                    </a:stretch>
                  </pic:blipFill>
                  <pic:spPr>
                    <a:xfrm>
                      <a:off x="0" y="0"/>
                      <a:ext cx="6217920" cy="3565588"/>
                    </a:xfrm>
                    <a:prstGeom prst="rect"/>
                  </pic:spPr>
                </pic:pic>
              </a:graphicData>
            </a:graphic>
          </wp:inline>
        </w:drawing>
      </w:r>
    </w:p>
    <w:p>
      <w:pPr>
        <w:pStyle w:val="PaperCaption"/>
        <w:keepNext w:val="0"/>
      </w:pPr>
      <w:r>
        <w:rPr>
          <w:b/>
        </w:rPr>
        <w:t>Figure 7.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6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9.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6 and 7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10. Planned figures and evidence status.</w:t>
      </w:r>
      <w:r>
        <w:rPr/>
        <w:t xml:space="preserve"> Figures 1–5 identify the system, server, client, experiment architecture, and conceptual model. Figures 6 and 7 provide first-party historical Smart Citizen user-interface evidence, while the Phase 4 resource graph is maintained as a reviewed design artifact rather than being misrepresented as executed server evidence. Figures 8–10 remain reserved for contemporaneous or executed evidence and will not be filled with simulated substitutes.</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0.8</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4 design exists; actual server relationships and traced display remain awaiting execution</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11 Results to be reported</w:t>
      </w:r>
    </w:p>
    <w:p>
      <w:pPr/>
      <w:r>
        <w:rPr/>
        <w:t>Phases 1–4 now provide reportable source, mapping, and design results, but the end-to-end integration remains incomplete. The experiment has frozen a complete formal Device specimen and two bounded histories, characterized all 21 current channels, reviewed nine current-state plus two aggregate-history mappings, and designed the first connected CSAPI graph containing two Systems, two Procedures, ten DataStreams/schemas, and fifty-six frozen Observations (MERLIN Project 2026k; 2026l; 2026m). It has also recorded corrections and design constraints discovered by review, including source-processing provenance, notification-setting semantics, the 11+10 timing cohorts, the unresolved RSSI subject, qualified time projections, and explicit negative-resource decisions. No adapter execution, server create/retrieve result, connected Glaux result, task-time improvement, or user outcome is reported.</w:t>
      </w:r>
    </w:p>
    <w:p>
      <w:pPr/>
      <w:r>
        <w:rPr/>
        <w:t xml:space="preserve">The Phase 4 graph demonstrates that semantic preservation can require </w:t>
      </w:r>
      <w:r>
        <w:rPr>
          <w:b/>
        </w:rPr>
        <w:t>not</w:t>
      </w:r>
      <w:r>
        <w:rPr/>
        <w:t xml:space="preserve"> creating apparently convenient resources. A Smart Citizen registration UUID is not established as a manufacturer serial; source catalogue parents do not establish installed-component identity; battery percentage does not establish a battery System or supply topology; received signal strength indication does not establish an interface/link-status resource; and public location metadata does not establish a Deployment. Environmental SamplingFeatures are also omitted because the source does not identify defensible sample features. These absences are evidence-backed design outcomes rather than implementation incompleteness.</w:t>
      </w:r>
    </w:p>
    <w:p>
      <w:pPr/>
      <w:r>
        <w:rPr/>
        <w:t>The aggregate histories further show why processing provenance changes the resource graph. The one-hour averages are assigned to a separate process System and aggregation Procedure instead of being credited directly to the physical kit, while stable authored property URIs distinguish those derived products from their base observed properties (MERLIN Project 2026m). Current observations use a disclosed coincident-time projection, and aggregate observations use a source-response result-time proxy, because the source supplies fewer time distinctions than CSAPI requires. The next reportable evidence must come from deterministic adapter output and later server round-trip testing against this reviewed design.</w:t>
      </w:r>
    </w:p>
    <w:p>
      <w:pPr>
        <w:pStyle w:val="Heading1"/>
      </w:pPr>
      <w:r>
        <w:rPr/>
        <w:t>12 Discussion and limitations</w:t>
      </w:r>
    </w:p>
    <w:p>
      <w:pPr/>
      <w:r>
        <w:rPr/>
        <w:t>The immediate public-data case is strongest for reported quantities, source-platform descriptions, telemetry, and integration provenance. It remains weaker for unit-specific physical composition, operating configuration, deployment history, power topology, maintenance, and independently identified environmental samples, and more readings cannot fill those relationships by themselves. Phase 4 makes those boundaries concrete by declining to create a Deployment, SamplingFeature, battery, Wi-Fi interface, storage component, or other resource that the evidence cannot identify (MERLIN Project 2026m). Documentary model enrichment must not be presented as observation of the particular installation, while source-platform processing must not be presented as direct physical-sensor output.</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The current and aggregate time mappings are therefore explicit projections rather than claims that Smart Citizen supplied all CSAPI-required temporal semantics natively. A later independent producer can test transfer, while an owned kit can address physical evidence gaps; these are different extensions.</w:t>
      </w:r>
    </w:p>
    <w:p>
      <w:pPr/>
      <w:r>
        <w:rPr/>
        <w:t>The Phase 4 target-server findings are similarly bounded. The inspected 52°North revision exposes concrete route/schema/delete behaviors that affect this experiment's planned request strategy, but the study has not performed a full OGC conformance test or established that the deployed Oracle instance is byte-for-byte identical to every inspected upstream behavior (52°North Spatial Information Research GmbH n.d.-a; MERLIN Project 2026f; 2026m). Structural correctness, service interoperability, and operator benefit remain separate evidence questions. The study will retain the distinction between native source meanings, approved standard requirements, target implementation behavior, MERLIN-authored bindings, and client choices throughout later phases.</w:t>
      </w:r>
    </w:p>
    <w:p>
      <w:pPr>
        <w:pStyle w:val="Heading1"/>
      </w:pPr>
      <w:r>
        <w:rPr/>
        <w:t>13 Reproducibility and document maintenance</w:t>
      </w:r>
    </w:p>
    <w:p>
      <w:pPr/>
      <w:r>
        <w:rPr/>
        <w:t>The manuscript, acronyms-and-abbreviations table,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 New domain-specific acronyms or recurring abbreviations must be expanded on first substantive use where practical and added to the maintained acronym table; the publication verifier checks the required acronym inventory and repeated uppercase shorthand against documented exclusions.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actual deterministic adapter evidence after the Phase 5 review gate; executed server relationships and source-to-display traces remain later evidence and must not be backfilled from the Phase 4 design alone.</w:t>
      </w:r>
    </w:p>
    <w:p>
      <w:pPr>
        <w:pStyle w:val="Heading1"/>
      </w:pPr>
      <w:r>
        <w:rPr/>
        <w:t>14 Conclusion</w:t>
      </w:r>
    </w:p>
    <w:p>
      <w:pPr/>
      <w:r>
        <w:rPr/>
        <w:t>This study has moved from source assessment and semantic mapping through a reviewed Phase 4 resource design. A formal Smart Citizen specimen is frozen, its native identities and source semantics are characterized, the representative mappings are reviewed, and a concrete CSAPI graph now states what would be created and what must remain absent. The graph separates the physical sensing case from source-platform aggregate processing, uses deterministic study identities without claiming manufacturer identity, and makes temporal projections explicit rather than hiding source under-specification (MERLIN Project 2026m). The accompanying acronym and definition sections are maintained as part of the evidence discipline so specialized shorthand does not become an implicit barrier to understanding.</w:t>
      </w:r>
    </w:p>
    <w:p>
      <w:pPr/>
      <w:r>
        <w:rPr/>
        <w:t>The next question is whether a deterministic adapter can emit exactly this reviewed graph from the frozen specimen without adding unsupported semantics. That is the Phase 5 question, and it remains separate from Phase 6 server publication and later Glaux presentation. No server resource, user-interface result, or interoperability success is claimed merely because the graph is now concrete. Later execution results will be evaluated against this Phase 4 baseline rather than allowing code or target-server behavior to redefine the mapping after the fact.</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Davis, Kyle, Brad Peabody, and Paul Leach. 2024. </w:t>
      </w:r>
      <w:r>
        <w:rPr>
          <w:i/>
        </w:rPr>
        <w:t>Universally Unique IDentifiers (UUIDs)</w:t>
      </w:r>
      <w:r>
        <w:rPr/>
        <w:t>. RFC 9562. Standards Track. May. https://doi.org/10.17487/RFC9562.</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MERLIN Project. 2026m. “Smart Citizen Proposed CSAPI Resource Graph and Request Design.” October 25. Experiment workbook record. https://github.com/OS4CSAPI/glaux-client/blob/work/details-view-20261023/Docs/Research/Studies/Smart_Citizen/Workbook/03_CSAPI_RESOURCE_GRAPH.md.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0.8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{"format":"glaux-paper-inputs-v1","sha256":"5572671fdf859fb2f447da033f3364d1184e89338aa26d754a641fd28aeacca1"}</dc:description>
  <cp:lastModifiedBy/>
  <cp:revision>1</cp:revision>
  <dcterms:created xsi:type="dcterms:W3CDTF">2026-10-25T00:00:00Z</dcterms:created>
  <dcterms:modified xsi:type="dcterms:W3CDTF">2026-10-25T00:00:00Z</dcterms:modified>
  <cp:category/>
  <cp:version>0.8</cp:version>
</cp:coreProperties>
</file>