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spacing w:before="500" w:after="440"/>
      </w:pPr>
      <w:r>
        <w:rPr>
          <w:b/>
          <w:color w:val="24767A"/>
          <w:sz w:val="21"/>
        </w:rPr>
        <w:t>DESIGN PEDIGREE  /  COMPANION PRIMER</w:t>
      </w:r>
    </w:p>
    <w:p>
      <w:pPr>
        <w:spacing w:after="340"/>
      </w:pPr>
      <w:r>
        <w:rPr>
          <w:b/>
          <w:color w:val="193F53"/>
          <w:sz w:val="64"/>
        </w:rPr>
        <w:t>Standards Pedigree</w:t>
        <w:br/>
        <w:t>and Design Rationale</w:t>
      </w:r>
    </w:p>
    <w:p>
      <w:pPr>
        <w:spacing w:after="400"/>
      </w:pPr>
      <w:r>
        <w:rPr>
          <w:color w:val="4A5C66"/>
          <w:sz w:val="34"/>
        </w:rPr>
        <w:t>A companion primer for the managed physical</w:t>
        <w:br/>
        <w:t>sensing systems profile</w:t>
      </w:r>
    </w:p>
    <w:p>
      <w:pPr>
        <w:pStyle w:val="Small"/>
      </w:pPr>
      <w:r>
        <w:t>Prepared for Sam Bolling</w:t>
        <w:br/>
        <w:t>Version 0.5 • 17 October 2026</w:t>
      </w:r>
    </w:p>
    <w:p>
      <w:pPr>
        <w:pStyle w:val="Small"/>
        <w:pBdr>
          <w:bottom w:val="single" w:sz="6" w:color="24767A" w:space="6"/>
        </w:pBdr>
        <w:spacing w:after="480"/>
      </w:pPr>
      <w:r>
        <w:t>Companion baseline: technical profile v0.3.5 (17 October 2026)</w:t>
        <w:br/>
        <w:t>Connected example/catalogue: v0.3.5; provisional /0.3/ URIs retained</w:t>
      </w:r>
    </w:p>
    <w:p>
      <w:pPr>
        <w:spacing w:after="280"/>
      </w:pPr>
      <w:r>
        <w:t>The purpose of this primer is to explain why the developing profile is organized as it is, which published sources support its mechanisms, and which decisions remain the project’s responsibility. It is an informative companion to the technical proposal, not an additional specification or an approval of every current binding. Its subject is the useful description of a sensing system throughout its operational life, rather than a history of the drafting process.</w:t>
      </w:r>
    </w:p>
    <w:p>
      <w:pPr>
        <w:spacing w:after="280"/>
      </w:pPr>
      <w:r>
        <w:rPr>
          <w:b/>
        </w:rPr>
        <w:t>The essential distinction:</w:t>
      </w:r>
      <w:r>
        <w:t xml:space="preserve"> a source can supply a mechanism, a domain meaning, or a useful precedent without supplying the complete design that combines them. This primer explains those contributions separately and identifies the remaining engineering judgment.</w:t>
      </w:r>
    </w:p>
    <w:p>
      <w:pPr>
        <w:pStyle w:val="Small"/>
      </w:pPr>
      <w:r>
        <w:t>Explains four accepted increments, including native observation subjects, donor-lineage preservation and quantity/nil mapping. Primer v0.5 is a companion-document number, not a technical profile v0.5.</w:t>
      </w:r>
    </w:p>
    <w:p>
      <w:r>
        <w:br w:type="page"/>
      </w:r>
    </w:p>
    <w:p>
      <w:bookmarkStart w:id="1" w:name="reading"/>
      <w:pPr>
        <w:pStyle w:val="Heading1"/>
        <w:spacing w:before="0"/>
      </w:pPr>
      <w:r>
        <w:t>How to read this primer</w:t>
      </w:r>
      <w:bookmarkEnd w:id="1"/>
    </w:p>
    <w:p>
      <w:r>
        <w:t>The MASINT Enterprise Reporting Linked Integration Network (MERLIN) is the project setting for this work; MASINT means measurement and signature intelligence. The proposed foundation combines the Open Geospatial Consortium (OGC) application programming interface for Connected Systems (CSAPI), the Sensor Model Language (SensorML), and Sensor Web Enablement (SWE) Common. An application programming interface, or API, defines how software requests and exchanges information; it does not by itself define every useful concept in a sensor’s operating domain. The primer explains how the proposal adds that domain knowledge without replacing the OGC foundation (Open Geospatial Consortium 2025a, 2025b, 2025c, 2025d).</w:t>
      </w:r>
    </w:p>
    <w:p>
      <w:r>
        <w:t>The technical baseline is Managed Physical Sensing Systems and Deployments: Integrated Binding Draft v0.3.5 (17 October 2026). Earlier accepted command, power, condition, identity, mediation and mode/product rules are retained. The fourth increment makes R11 native subject/history and donor-lineage preservation explicit and strengthens R17 quantity/nil mapping through a separate battery example. It does not establish a common lineage resolver or native-system interoperability.</w:t>
      </w:r>
    </w:p>
    <w:p>
      <w:r>
        <w:t>The chapters explain the architecture first, then the important design mechanisms, and finally the implementation and review implications. Chapter 4 gives the detailed explanation of embedded references that prompted this primer; Chapters 6–8 explain communications, power, and lifecycle content in the same manner. Appendix A connects the explanations to the profile’s clauses and all twenty relationship identifiers, while Appendix B provides an acronym and terminology reference. The references identify the exact publications and the limits of the material inspected.</w:t>
      </w:r>
    </w:p>
    <w:p>
      <w:pPr>
        <w:pStyle w:val="Small"/>
      </w:pPr>
      <w:r>
        <w:t>Project-name note. The cited project briefing supplies the MERLIN and MASINT expansions; its title uses STANAG, meaning Standardization Agreement (</w:t>
      </w:r>
      <w:r>
        <w:rPr>
          <w:i/>
        </w:rPr>
        <w:t>STANAG 4789 Brief</w:t>
      </w:r>
      <w:r>
        <w:t xml:space="preserve"> 2026, 14). Section symbols (§ and §§) identify a section or several sections; source locators preserve exact published names, including capitalization in schema filenames.</w:t>
      </w:r>
    </w:p>
    <w:p>
      <w:pPr>
        <w:pStyle w:val="Heading2"/>
        <w:spacing w:before="240"/>
      </w:pPr>
      <w:r>
        <w:t>Contents</w:t>
      </w:r>
    </w:p>
    <w:p>
      <w:pPr>
        <w:pStyle w:val="TOCLink"/>
        <w:tabs>
          <w:tab w:pos="9821" w:val="right" w:leader="dot"/>
        </w:tabs>
      </w:pPr>
      <w:hyperlink w:anchor="ch1">
        <w:r>
          <w:rPr>
            <w:color w:val="24767A"/>
            <w:sz w:val="20"/>
            <w:rFonts w:ascii="Carlito" w:hAnsi="Carlito"/>
          </w:rPr>
          <w:t>1. Why the work is a profile rather than another device platform</w:t>
        </w:r>
      </w:hyperlink>
      <w:r>
        <w:tab/>
      </w:r>
      <w:r>
        <w:t>3</w:t>
      </w:r>
    </w:p>
    <w:p>
      <w:pPr>
        <w:pStyle w:val="TOCLink"/>
        <w:tabs>
          <w:tab w:pos="9821" w:val="right" w:leader="dot"/>
        </w:tabs>
      </w:pPr>
      <w:hyperlink w:anchor="ch2">
        <w:r>
          <w:rPr>
            <w:color w:val="24767A"/>
            <w:sz w:val="20"/>
            <w:rFonts w:ascii="Carlito" w:hAnsi="Carlito"/>
          </w:rPr>
          <w:t>2. Why the model follows the whole employed sensor</w:t>
        </w:r>
      </w:hyperlink>
      <w:r>
        <w:tab/>
      </w:r>
      <w:r>
        <w:t>4</w:t>
      </w:r>
    </w:p>
    <w:p>
      <w:pPr>
        <w:pStyle w:val="TOCLink"/>
        <w:tabs>
          <w:tab w:pos="9821" w:val="right" w:leader="dot"/>
        </w:tabs>
      </w:pPr>
      <w:hyperlink w:anchor="ch3">
        <w:r>
          <w:rPr>
            <w:color w:val="24767A"/>
            <w:sz w:val="20"/>
            <w:rFonts w:ascii="Carlito" w:hAnsi="Carlito"/>
          </w:rPr>
          <w:t>3. Why information is organized into domain groups</w:t>
        </w:r>
      </w:hyperlink>
      <w:r>
        <w:tab/>
      </w:r>
      <w:r>
        <w:t>5</w:t>
      </w:r>
    </w:p>
    <w:p>
      <w:pPr>
        <w:pStyle w:val="TOCLink"/>
        <w:tabs>
          <w:tab w:pos="9821" w:val="right" w:leader="dot"/>
        </w:tabs>
      </w:pPr>
      <w:hyperlink w:anchor="ch4">
        <w:r>
          <w:rPr>
            <w:color w:val="24767A"/>
            <w:sz w:val="20"/>
            <w:rFonts w:ascii="Carlito" w:hAnsi="Carlito"/>
          </w:rPr>
          <w:t>4. How embedded references acquire their pedigree</w:t>
        </w:r>
      </w:hyperlink>
      <w:r>
        <w:tab/>
      </w:r>
      <w:r>
        <w:t>6</w:t>
      </w:r>
    </w:p>
    <w:p>
      <w:pPr>
        <w:pStyle w:val="TOCLink"/>
        <w:tabs>
          <w:tab w:pos="9821" w:val="right" w:leader="dot"/>
        </w:tabs>
      </w:pPr>
      <w:hyperlink w:anchor="ch5">
        <w:r>
          <w:rPr>
            <w:color w:val="24767A"/>
            <w:sz w:val="20"/>
            <w:rFonts w:ascii="Carlito" w:hAnsi="Carlito"/>
          </w:rPr>
          <w:t>5. How equipment, functions, settings, and products stay connected</w:t>
        </w:r>
      </w:hyperlink>
      <w:r>
        <w:tab/>
      </w:r>
      <w:r>
        <w:t>8</w:t>
      </w:r>
    </w:p>
    <w:p>
      <w:pPr>
        <w:pStyle w:val="TOCLink"/>
        <w:tabs>
          <w:tab w:pos="9821" w:val="right" w:leader="dot"/>
        </w:tabs>
      </w:pPr>
      <w:hyperlink w:anchor="ch6">
        <w:r>
          <w:rPr>
            <w:color w:val="24767A"/>
            <w:sz w:val="20"/>
            <w:rFonts w:ascii="Carlito" w:hAnsi="Carlito"/>
          </w:rPr>
          <w:t>6. Why communications uses interface and topology models</w:t>
        </w:r>
      </w:hyperlink>
      <w:r>
        <w:tab/>
      </w:r>
      <w:r>
        <w:t>10</w:t>
      </w:r>
    </w:p>
    <w:p>
      <w:pPr>
        <w:pStyle w:val="TOCLink"/>
        <w:tabs>
          <w:tab w:pos="9821" w:val="right" w:leader="dot"/>
        </w:tabs>
      </w:pPr>
      <w:hyperlink w:anchor="ch7">
        <w:r>
          <w:rPr>
            <w:color w:val="24767A"/>
            <w:sz w:val="20"/>
            <w:rFonts w:ascii="Carlito" w:hAnsi="Carlito"/>
          </w:rPr>
          <w:t>7. How power belongs to the same model</w:t>
        </w:r>
      </w:hyperlink>
      <w:r>
        <w:tab/>
      </w:r>
      <w:r>
        <w:t>12</w:t>
      </w:r>
    </w:p>
    <w:p>
      <w:pPr>
        <w:pStyle w:val="TOCLink"/>
        <w:tabs>
          <w:tab w:pos="9821" w:val="right" w:leader="dot"/>
        </w:tabs>
      </w:pPr>
      <w:r>
        <w:t>8. How lifecycle history and responsibility acquire meaning</w:t>
        <w:tab/>
        <w:t>14</w:t>
      </w:r>
    </w:p>
    <w:p>
      <w:pPr>
        <w:pStyle w:val="TOCLink"/>
        <w:tabs>
          <w:tab w:pos="9821" w:val="right" w:leader="dot"/>
        </w:tabs>
      </w:pPr>
      <w:r>
        <w:t>9. Why some custom content remains in the draft</w:t>
        <w:tab/>
        <w:t>15</w:t>
      </w:r>
    </w:p>
    <w:p>
      <w:pPr>
        <w:pStyle w:val="TOCLink"/>
        <w:tabs>
          <w:tab w:pos="9821" w:val="right" w:leader="dot"/>
        </w:tabs>
      </w:pPr>
      <w:r>
        <w:t>10. What profile awareness adds—and what it does not prove</w:t>
        <w:tab/>
        <w:t>16</w:t>
      </w:r>
    </w:p>
    <w:p>
      <w:pPr>
        <w:pStyle w:val="TOCLink"/>
        <w:tabs>
          <w:tab w:pos="9821" w:val="right" w:leader="dot"/>
        </w:tabs>
      </w:pPr>
      <w:r>
        <w:t>11. Keeping the explanation useful as the profile develops</w:t>
        <w:tab/>
        <w:t>17</w:t>
      </w:r>
    </w:p>
    <w:p>
      <w:pPr>
        <w:pStyle w:val="TOCLink"/>
        <w:tabs>
          <w:tab w:pos="9821" w:val="right" w:leader="dot"/>
        </w:tabs>
      </w:pPr>
      <w:r>
        <w:t>Appendix A. Profile and relationship cross-reference</w:t>
        <w:tab/>
        <w:t>18</w:t>
      </w:r>
    </w:p>
    <w:p>
      <w:pPr>
        <w:pStyle w:val="TOCLink"/>
        <w:tabs>
          <w:tab w:pos="9821" w:val="right" w:leader="dot"/>
        </w:tabs>
      </w:pPr>
      <w:r>
        <w:t>Appendix B. Acronyms and working terminology</w:t>
        <w:tab/>
        <w:t>19</w:t>
      </w:r>
    </w:p>
    <w:p>
      <w:pPr>
        <w:pStyle w:val="TOCLink"/>
        <w:tabs>
          <w:tab w:pos="9821" w:val="right" w:leader="dot"/>
        </w:tabs>
      </w:pPr>
      <w:r>
        <w:t>References and inspection basis</w:t>
        <w:tab/>
        <w:t>21</w:t>
      </w:r>
    </w:p>
    <w:p>
      <w:r>
        <w:br w:type="page"/>
      </w:r>
    </w:p>
    <w:p>
      <w:bookmarkStart w:id="2" w:name="ch1"/>
      <w:pPr>
        <w:pStyle w:val="Heading1"/>
        <w:spacing w:before="0"/>
      </w:pPr>
      <w:r>
        <w:t>1. Why the work is a profile rather than another device platform</w:t>
      </w:r>
      <w:bookmarkEnd w:id="2"/>
    </w:p>
    <w:p>
      <w:pPr>
        <w:pStyle w:val="Heading2"/>
      </w:pPr>
      <w:r>
        <w:t>1.1 Domain knowledge and representation answer different questions</w:t>
      </w:r>
    </w:p>
    <w:p>
      <w:r>
        <w:t>An information model explains what kinds of things exist in a domain and how they relate. A data model makes those concepts more concrete for a particular implementation or exchange technology. The Internet Engineering Task Force (IETF) discusses this distinction in Request for Comments (RFC) 3444; an RFC is a numbered publication in the RFC Series, and its individual status must be checked rather than inferred from that designation. This distinction helps explain how useful equipment or energy concepts can be evaluated separately from the interfaces through which their originating communities exchange them (Pras and Schönwälder 2003, §§2–3).</w:t>
      </w:r>
    </w:p>
    <w:p>
      <w:r>
        <w:t>The MERLIN proposal uses that distinction to separate three responsibilities. An external domain model may contribute substantive meaning, a binding specifies where that meaning appears in the selected OGC representation, and an application profile states the coordinated requirements for the intended use. A mapping explains the correspondence between the source and target concepts; it may reveal equivalence, adaptation, or a loss that needs attention. The proposal combines these responsibilities, but the existence of a mapping does not establish implementation of the source model’s complete contract (</w:t>
      </w:r>
      <w:r>
        <w:rPr>
          <w:i/>
        </w:rPr>
        <w:t>Managed Physical Sensing Systems</w:t>
      </w:r>
      <w:r>
        <w:t xml:space="preserve"> 2026, §§2.1–2.4).</w:t>
      </w:r>
    </w:p>
    <w:p>
      <w:pPr>
        <w:pStyle w:val="Heading2"/>
      </w:pPr>
      <w:r>
        <w:t>1.2 SensorML supplies a framework, not every community’s finished description</w:t>
      </w:r>
    </w:p>
    <w:p>
      <w:r>
        <w:t>SensorML describes its core as a skeletal framework that benefits from shared community-specific semantics. Its scope includes descriptions useful for inventory, physical and functional characteristics, and the configuration of components when deployed. These statements support investigating more specific sensor-domain content within the framework, rather than treating the framework’s general categories as a finished operator interface. They do not identify the particular external model or profile that MERLIN should choose (Open Geospatial Consortium 2025c, §1).</w:t>
      </w:r>
    </w:p>
    <w:p>
      <w:r>
        <w:t>The proposed profile therefore addresses an interpretation problem as well as an encoding problem. Several implementations may all represent their information in SensorML yet make different choices about the definitions, groups, and relationships needed to understand that information together. A coordinated profile could make those choices reusable across integrations and clients, including clients that present a sensor’s equipment, power, and employment as one working picture. Its value must come from that reusable understanding, not from the claim that unprofiled SensorML is incapable of carrying the same facts (</w:t>
      </w:r>
      <w:r>
        <w:rPr>
          <w:i/>
        </w:rPr>
        <w:t>Managed Physical Sensing Systems</w:t>
      </w:r>
      <w:r>
        <w:t xml:space="preserve"> 2026, §§2.4, 7.3–7.4).</w:t>
      </w:r>
    </w:p>
    <w:p>
      <w:pPr>
        <w:pStyle w:val="Heading2"/>
      </w:pPr>
      <w:r>
        <w:t>1.3 The method is standards-informed design, not an inherited recipe</w:t>
      </w:r>
    </w:p>
    <w:p>
      <w:r>
        <w:t xml:space="preserve">The recorded approach is a standards-informed engineering synthesis: identify an operational need, inspect relevant model concepts, select a suitable representation, and explain the consumer behavior enabled by the selection. No single source prescribes the complete twenty-relationship design. The OGC publication </w:t>
      </w:r>
      <w:r>
        <w:rPr>
          <w:i/>
        </w:rPr>
        <w:t>The Specification Model—A Standard for Modular Specifications</w:t>
      </w:r>
      <w:r>
        <w:t>, commonly called ModSpec, provides a framework for requirements, dependencies, and conformance; it does not choose a communications or power model for this project. Its profile definition also requires preservation of the referenced standards’ conformance obligations, so a profile cannot simply redefine an inconvenient base requirement (Open Geospatial Consortium 2009b, §§4.16, 6.5.3).</w:t>
      </w:r>
    </w:p>
    <w:p>
      <w:r>
        <w:t>This primer explains the rationale that can be supported now, rather than claiming that every possible alternative was exhaustively evaluated before the draft was written. Some bindings were introduced provisionally to make a connected example reviewable, and the technical proposal records that fact. A defensible next decision asks what a source actually supplies, why the selected use fits, what additional work remains, and what a user or developer gains. An unanswered question remains an open design choice; explanatory prose must not turn it into an established requirement (</w:t>
      </w:r>
      <w:r>
        <w:rPr>
          <w:i/>
        </w:rPr>
        <w:t>Managed Physical Sensing Systems</w:t>
      </w:r>
      <w:r>
        <w:t xml:space="preserve"> 2026, §5.14).</w:t>
      </w:r>
    </w:p>
    <w:p>
      <w:bookmarkStart w:id="3" w:name="ch2"/>
      <w:pPr>
        <w:pStyle w:val="Heading1"/>
      </w:pPr>
      <w:r>
        <w:t>2. Why the model follows the whole employed sensor</w:t>
      </w:r>
      <w:bookmarkEnd w:id="3"/>
    </w:p>
    <w:p>
      <w:pPr>
        <w:pStyle w:val="Heading2"/>
      </w:pPr>
      <w:r>
        <w:t>2.1 An engineering family, not a record limited to two products</w:t>
      </w:r>
    </w:p>
    <w:p>
      <w:r>
        <w:t>The Tactical Remote Sensor System (TRSS) and McQ OmniSense are reference cases from the unattended ground sensor (UGS) family. Their partial manuals reveal useful operator tasks, but do not constitute complete engineering specifications or define the largest possible scope of a reusable profile. The existing research therefore evaluates them within a broader family of physical sensing systems that have equipment, capabilities, communications, power, and operational placement. This is an applicability argument, not a claim about the standards the original manufacturers implemented (</w:t>
      </w:r>
      <w:r>
        <w:rPr>
          <w:i/>
        </w:rPr>
        <w:t>Domain Information Models</w:t>
      </w:r>
      <w:r>
        <w:t xml:space="preserve"> 2026, §§1.3–1.5; </w:t>
      </w:r>
      <w:r>
        <w:rPr>
          <w:i/>
        </w:rPr>
        <w:t>Managed Physical Sensing Systems</w:t>
      </w:r>
      <w:r>
        <w:t xml:space="preserve"> 2026, §1).</w:t>
      </w:r>
    </w:p>
    <w:p>
      <w:r>
        <w:t xml:space="preserve">The Sensor Network Reference Architecture (SNRA), published through the International Organization for Standardization (ISO) and the International Electrotechnical Commission (IEC), contributes a formal reference for sensor-network entities. ISO/IEC 29182-4:2013 addresses entity models rather than prescribing a MERLIN user interface. Its role in the project is to check family coverage; the earlier assessment inspected the catalogue and a preview, not the complete standard. The profile’s working title and applicability boundary consequently remain authored selections informed by that evidence, not a universal industry classification copied verbatim (ISO/IEC 2013; </w:t>
      </w:r>
      <w:r>
        <w:rPr>
          <w:i/>
        </w:rPr>
        <w:t>Domain Information Models</w:t>
      </w:r>
      <w:r>
        <w:t xml:space="preserve"> 2026, §§1.3–1.5).</w:t>
      </w:r>
    </w:p>
    <w:p>
      <w:pPr>
        <w:pStyle w:val="Heading2"/>
      </w:pPr>
      <w:r>
        <w:t>2.2 A sensor can be managed as equipment without being reduced to hardware</w:t>
      </w:r>
    </w:p>
    <w:p>
      <w:r>
        <w:t>The Open Standard for Unattended Sensors (OSUS) has a reference implementation, OSUS-R, that supplies a more concrete engineering precedent. Its Asset interface describes a physical device that produces data or responds to commands and includes examples such as detectors, cameras, radios, and unmanned aerial vehicles. The interface allows an asset to contain multiple sensors and separates common consumer access from supplier-specific implementation behavior. This is primary implementation evidence for treating the sensing system as a useful managed device, not a classification inferred from the appearance of a screen (OSUS-R Contributors n.d., Asset.java, introductory documentation).</w:t>
      </w:r>
    </w:p>
    <w:p>
      <w:r>
        <w:t>The proposed profile applies that perspective to the description exposed through OGC. A sensor’s distinctive sensing functions remain central, but their equipment, settings, supporting communications, and power become intelligible parts of the same description. The proposal does not adopt the OSUS runtime simply because its asset abstraction is useful. The particular combination is intended to transfer to environmental stations, connected cameras, and comparable systems where the same engineering responsibilities recur (</w:t>
      </w:r>
      <w:r>
        <w:rPr>
          <w:i/>
        </w:rPr>
        <w:t>Managed Physical Sensing Systems</w:t>
      </w:r>
      <w:r>
        <w:t xml:space="preserve"> 2026, §§1.2, 4, 5.6).</w:t>
      </w:r>
    </w:p>
    <w:p>
      <w:pPr>
        <w:pStyle w:val="Heading2"/>
      </w:pPr>
      <w:r>
        <w:t>2.3 Model, equipment instance, and deployment have different responsibilities</w:t>
      </w:r>
    </w:p>
    <w:p>
      <w:r>
        <w:t>A reusable model description supplies information common to a kind of equipment, while a System identifies the particular equipment being described. CSAPI provides the optional systemKind association to a Procedure, and its SensorML encoding maps that association to typeOf. The SensorML AbstractProcess schema describes typeOf as a reference to a base process from which properties and constraints are inherited. These are existing mechanisms, not a custom manufacturer-model link created by the profile (Open Geospatial Consortium 2025a, §§9.2, 19.2.5; n.d.-a, AbstractProcess.json).</w:t>
      </w:r>
    </w:p>
    <w:p>
      <w:pPr/>
      <w:r>
        <w:t>This physical-equipment identity remains separate from an externally registered sender or adapter identity. The approved v0.3.3 rule permits qualified native identifiers under SensorML identifiers[] only when the native subject is demonstrably the same physical System, and otherwise preserves that source information separately. SAPIENT v2 node_id is a sender identifier, not guaranteed to be the enduring equipment identifier; ISA likewise motivates distinguishing represented software and physical composition (BSI 2024, §§4.10–4.11, 6.2.4; MERLIN ISA Phase 2 2026).</w:t>
      </w:r>
    </w:p>
    <w:p>
      <w:r>
        <w:t xml:space="preserve">The marine SensorML community offers a practical precedent for this arrangement by connecting individual descriptions to model-level information through typeOf. MERLIN’s proposed benefit is similar: a client can combine useful common technical information with the particular sensor’s details instead of demanding a complete repeated datasheet. The profile still has to define appropriate family content and how the consumer uses the applicable descriptions together. The historical marine conventions inform that decision; their older Extensible Markup Language (XML) representation is not automatically a binding for today’s JavaScript Object Notation (JSON) encoding (Kokkinaki et al. n.d., “Overview”; </w:t>
      </w:r>
      <w:r>
        <w:rPr>
          <w:i/>
        </w:rPr>
        <w:t>Managed Physical Sensing Systems</w:t>
      </w:r>
      <w:r>
        <w:t xml:space="preserve"> 2026, R01).</w:t>
      </w:r>
    </w:p>
    <w:p>
      <w:r>
        <w:t xml:space="preserve">A Deployment supplies the employment of equipment on a particular occasion, and a DeployedSystem is its embedded system participation. The published Deployment schema contains deployedSystems entries; each DeployedSystem requires a system link and can include deployment-specific configuration. This supports the same physical equipment participating in different employments without inventing a new equipment identity for each one. The client’s assembly of those descriptions into one operational view is the profile’s proposed behavior, not another resource class that the standards require (Open Geospatial Consortium n.d.-a, Deployment.json and DeployedSystem.json; </w:t>
      </w:r>
      <w:r>
        <w:rPr>
          <w:i/>
        </w:rPr>
        <w:t>Managed Physical Sensing Systems</w:t>
      </w:r>
      <w:r>
        <w:t xml:space="preserve"> 2026, R05–R08).</w:t>
      </w:r>
    </w:p>
    <w:p>
      <w:bookmarkStart w:id="4" w:name="ch3"/>
      <w:pPr>
        <w:pStyle w:val="Heading1"/>
      </w:pPr>
      <w:r>
        <w:t>3. Why information is organized into domain groups</w:t>
      </w:r>
      <w:bookmarkEnd w:id="4"/>
    </w:p>
    <w:p>
      <w:pPr>
        <w:pStyle w:val="Heading2"/>
      </w:pPr>
      <w:r>
        <w:t>3.1 A meaningful group is more than a tab title</w:t>
      </w:r>
    </w:p>
    <w:p>
      <w:r>
        <w:t>SensorML’s DescribedObject schema provides groups of characteristics and capabilities, with definitions and applicable conditions. SWE Common separately distinguishes human-readable labels from semantic definitions and permits meaning to be assigned to aggregates. These mechanisms make it possible to identify a supported group as a particular kind of information, rather than depend entirely on the names of its individual fields. The mechanisms supply structure and identification; they do not supply the project’s final communications, equipment, or power vocabulary (Open Geospatial Consortium n.d.-a, DescribedObject.json; 2025d, §§7.3, 8.2.2, 8.3).</w:t>
      </w:r>
    </w:p>
    <w:p>
      <w:r>
        <w:t>The draft uses that capability to propose groups such as technical-description, communications-interface, and sensing-function. Their identifiers tell an implementing consumer which group contract to apply, while labels make the same information readable to people. A group is not automatically a new independently managed object, a new service, or a prescribed interface tab. Its justification is the coherent information that integrations can publish and consumers can recognize across equipment families (</w:t>
      </w:r>
      <w:r>
        <w:rPr>
          <w:i/>
        </w:rPr>
        <w:t>Managed Physical Sensing Systems</w:t>
      </w:r>
      <w:r>
        <w:t xml:space="preserve"> 2026, §5.5).</w:t>
      </w:r>
    </w:p>
    <w:p>
      <w:pPr>
        <w:pStyle w:val="Heading2"/>
      </w:pPr>
      <w:r>
        <w:t>3.2 The organizational precedents do not supply our exact partition</w:t>
      </w:r>
    </w:p>
    <w:p>
      <w:r>
        <w:t>Open Platform Communications Unified Architecture (OPC UA) Devices provides a real precedent for application-oriented grouping. Its FunctionalGroupType organizes information for purposes such as operation, configuration, maintenance, and diagnosis, while its informative Annex C discusses combining companion specifications. This is a useful example of several perspectives describing one device without forcing every concern into one inheritance tree. The native OPC references and conformance obligations remain part of OPC UA; they are not transferred merely by giving a SensorML group a similar purpose (OPC Foundation 2025, §4.4 and annex C).</w:t>
      </w:r>
    </w:p>
    <w:p>
      <w:r>
        <w:t>The Asset Administration Shell (AAS) research contributes another perspective: particular submodels organize asset information, and the reviewed hierarchy template addresses structural relationships and distributed descriptions. A submodel is a structured description of one aspect of an asset, rather than a second physical asset. The template evidence retains the inspection scope recorded in the research bibliography and was not re-audited for this explanatory increment. Neither AAS nor OPC defines the profile’s exact eight-subject partition. That partition is a project design choice whose value should be judged by whether it supports a coherent sensor description without adding redundant representations (</w:t>
      </w:r>
      <w:r>
        <w:rPr>
          <w:i/>
        </w:rPr>
        <w:t>Domain Information Models</w:t>
      </w:r>
      <w:r>
        <w:t xml:space="preserve"> 2026, S37; </w:t>
      </w:r>
      <w:r>
        <w:rPr>
          <w:i/>
        </w:rPr>
        <w:t>Managed Physical Sensing Systems</w:t>
      </w:r>
      <w:r>
        <w:t xml:space="preserve"> 2026, §§3–4).</w:t>
      </w:r>
    </w:p>
    <w:p>
      <w:pPr>
        <w:pStyle w:val="Heading2"/>
      </w:pPr>
      <w:r>
        <w:t>3.3 A concrete precedent for purpose-specific SensorML content</w:t>
      </w:r>
    </w:p>
    <w:p>
      <w:r>
        <w:t>The historical OGC Web Services Phase 6 SensorML Profile for Discovery Engineering Report specifies a common selection and organization of information for sensor discovery. Its use of a weather-station example illustrates the content without restricting the profile to weather stations. The report is an engineering report, not an adopted OGC Standard, and its historical representation is not the current profile’s encoding. Its relevant contribution is that predictable use required coordinated descriptive choices in addition to a general-purpose base model (Open Geospatial Consortium 2009a, §§1, 5–7).</w:t>
      </w:r>
    </w:p>
    <w:p>
      <w:r>
        <w:t>The same distinction informs MERLIN’s proposal, although its purpose is broader than discovery. The eight information subjects cover identity, equipment, sensing, deployment, configuration and actions, communications, power, and lifecycle history. A resource-centered client may combine several subjects in one operational overview and reveal detail when needed. The profile should standardize the information needed for that interpretation without turning its chapter organization into a mandatory screen layout (</w:t>
      </w:r>
      <w:r>
        <w:rPr>
          <w:i/>
        </w:rPr>
        <w:t>Managed Physical Sensing Systems</w:t>
      </w:r>
      <w:r>
        <w:t xml:space="preserve"> 2026, §§4, 7.3).</w:t>
      </w:r>
    </w:p>
    <w:p>
      <w:bookmarkStart w:id="5" w:name="ch4"/>
      <w:pPr>
        <w:pStyle w:val="Heading1"/>
      </w:pPr>
      <w:r>
        <w:t>4. How embedded references acquire their pedigree</w:t>
      </w:r>
      <w:bookmarkEnd w:id="5"/>
    </w:p>
    <w:p>
      <w:pPr>
        <w:pStyle w:val="Heading2"/>
      </w:pPr>
      <w:r>
        <w:t>4.1 The problem: refer to a useful part without creating a resource for everything</w:t>
      </w:r>
    </w:p>
    <w:p>
      <w:r>
        <w:t>An internal communications interface, a capability description, or a service event may need to be referenced by another record. Giving each such item a separate API resource is one possible design, but the technical proposal also permits suitable items to remain embedded in an owning description. An embedded item therefore needs an unambiguous reference when another description or observation refers to it. The purpose is to preserve the connection between meaningful information about the same subject, not to make identifiers the center of the operator’s work (</w:t>
      </w:r>
      <w:r>
        <w:rPr>
          <w:i/>
        </w:rPr>
        <w:t>Managed Physical Sensing Systems</w:t>
      </w:r>
      <w:r>
        <w:t xml:space="preserve"> 2026, §§5.3, 5.9–5.11).</w:t>
      </w:r>
    </w:p>
    <w:p>
      <w:r>
        <w:t>The owner-plus-fragment convention is the draft’s proposed answer for applicable embedded subjects. Here, owner means the resource containing the representation, not the organization that owns the equipment. A Uniform Resource Identifier (URI) identifies a resource; a Uniform Resource Locator (URL) is the familiar location-oriented form used to retrieve Web resources. In the example, the owner URL locates the station description and the fragment selects an identified item associated with that representation (Berners-Lee, Fielding, and Masinter 2005, §§1.1.3, 3.5).</w:t>
      </w:r>
    </w:p>
    <w:p>
      <w:pPr>
        <w:pStyle w:val="Heading2"/>
      </w:pPr>
      <w:r>
        <w:t>4.2 The basic fragment mechanism has a direct OGC source</w:t>
      </w:r>
    </w:p>
    <w:p>
      <w:r>
        <w:t xml:space="preserve">The SWE Common 3.0 JSON schema </w:t>
      </w:r>
      <w:r>
        <w:rPr>
          <w:rFonts w:ascii="DejaVu Sans Mono" w:hAnsi="DejaVu Sans Mono"/>
          <w:sz w:val="18"/>
        </w:rPr>
        <w:t>basicTypes.json</w:t>
      </w:r>
      <w:r>
        <w:t xml:space="preserve"> describes the </w:t>
      </w:r>
      <w:r>
        <w:rPr>
          <w:rFonts w:ascii="DejaVu Sans Mono" w:hAnsi="DejaVu Sans Mono"/>
          <w:sz w:val="18"/>
        </w:rPr>
        <w:t>AbstractSWE</w:t>
      </w:r>
      <w:r>
        <w:t xml:space="preserve"> identifier property as “The ID of the object, referenceable using a URI fragment.” The separate file </w:t>
      </w:r>
      <w:r>
        <w:rPr>
          <w:rFonts w:ascii="DejaVu Sans Mono" w:hAnsi="DejaVu Sans Mono"/>
          <w:sz w:val="18"/>
        </w:rPr>
        <w:t>AbstractSweIdentifiable.json</w:t>
      </w:r>
      <w:r>
        <w:t xml:space="preserve"> inherits that base, and SensorML’s </w:t>
      </w:r>
      <w:r>
        <w:rPr>
          <w:rFonts w:ascii="DejaVu Sans Mono" w:hAnsi="DejaVu Sans Mono"/>
          <w:sz w:val="18"/>
        </w:rPr>
        <w:t>sweCommonDefs.json</w:t>
      </w:r>
      <w:r>
        <w:t xml:space="preserve"> references the file under the name </w:t>
      </w:r>
      <w:r>
        <w:rPr>
          <w:rFonts w:ascii="DejaVu Sans Mono" w:hAnsi="DejaVu Sans Mono"/>
          <w:sz w:val="18"/>
        </w:rPr>
        <w:t>AbstractSWEIdentifiable</w:t>
      </w:r>
      <w:r>
        <w:t xml:space="preserve">. The SensorML </w:t>
      </w:r>
      <w:r>
        <w:rPr>
          <w:rFonts w:ascii="DejaVu Sans Mono" w:hAnsi="DejaVu Sans Mono"/>
          <w:sz w:val="18"/>
        </w:rPr>
        <w:t>CharacteristicList</w:t>
      </w:r>
      <w:r>
        <w:t xml:space="preserve">, </w:t>
      </w:r>
      <w:r>
        <w:rPr>
          <w:rFonts w:ascii="DejaVu Sans Mono" w:hAnsi="DejaVu Sans Mono"/>
          <w:sz w:val="18"/>
        </w:rPr>
        <w:t>CapabilityList</w:t>
      </w:r>
      <w:r>
        <w:t xml:space="preserve">, and </w:t>
      </w:r>
      <w:r>
        <w:rPr>
          <w:rFonts w:ascii="DejaVu Sans Mono" w:hAnsi="DejaVu Sans Mono"/>
          <w:sz w:val="18"/>
        </w:rPr>
        <w:t>Event</w:t>
      </w:r>
      <w:r>
        <w:t xml:space="preserve"> definitions then reuse that identifiable type. This is a concrete schema chain, not a rule that every JSON property named </w:t>
      </w:r>
      <w:r>
        <w:rPr>
          <w:rFonts w:ascii="DejaVu Sans Mono" w:hAnsi="DejaVu Sans Mono"/>
          <w:sz w:val="18"/>
        </w:rPr>
        <w:t>id</w:t>
      </w:r>
      <w:r>
        <w:t xml:space="preserve"> has the same semantics (Open Geospatial Consortium n.d.-b, </w:t>
      </w:r>
      <w:r>
        <w:rPr>
          <w:rFonts w:ascii="DejaVu Sans Mono" w:hAnsi="DejaVu Sans Mono"/>
          <w:sz w:val="18"/>
        </w:rPr>
        <w:t>basicTypes.json</w:t>
      </w:r>
      <w:r>
        <w:t xml:space="preserve">, </w:t>
      </w:r>
      <w:r>
        <w:rPr>
          <w:rFonts w:ascii="DejaVu Sans Mono" w:hAnsi="DejaVu Sans Mono"/>
          <w:sz w:val="18"/>
        </w:rPr>
        <w:t>$defs/AbstractSWE/properties/id</w:t>
      </w:r>
      <w:r>
        <w:t xml:space="preserve">, and </w:t>
      </w:r>
      <w:r>
        <w:rPr>
          <w:rFonts w:ascii="DejaVu Sans Mono" w:hAnsi="DejaVu Sans Mono"/>
          <w:sz w:val="18"/>
        </w:rPr>
        <w:t>AbstractSweIdentifiable.json</w:t>
      </w:r>
      <w:r>
        <w:t xml:space="preserve">; n.d.-a, </w:t>
      </w:r>
      <w:r>
        <w:rPr>
          <w:rFonts w:ascii="DejaVu Sans Mono" w:hAnsi="DejaVu Sans Mono"/>
          <w:sz w:val="18"/>
        </w:rPr>
        <w:t>sweCommonDefs.json</w:t>
      </w:r>
      <w:r>
        <w:t xml:space="preserve">, </w:t>
      </w:r>
      <w:r>
        <w:rPr>
          <w:rFonts w:ascii="DejaVu Sans Mono" w:hAnsi="DejaVu Sans Mono"/>
          <w:sz w:val="18"/>
        </w:rPr>
        <w:t>DescribedObject.json</w:t>
      </w:r>
      <w:r>
        <w:t xml:space="preserve">, and </w:t>
      </w:r>
      <w:r>
        <w:rPr>
          <w:rFonts w:ascii="DejaVu Sans Mono" w:hAnsi="DejaVu Sans Mono"/>
          <w:sz w:val="18"/>
        </w:rPr>
        <w:t>Event.json</w:t>
      </w:r>
      <w:r>
        <w:t>).</w:t>
      </w:r>
    </w:p>
    <w:p>
      <w:r>
        <w:t>The schema annotation explains intended use of this identification mechanism; it is not a complete normative retrieval algorithm. SWE Common’s prose also explains that a component’s id permits later reference, while its definition identifies the meaning of the represented property. The project can therefore distinguish a reference to this particular interface from a reference to the definition of communication-interface information. The first selects a subject; the second tells software how to interpret the content (Open Geospatial Consortium 2025d, §8.2.2).</w:t>
      </w:r>
    </w:p>
    <w:p>
      <w:pPr>
        <w:pStyle w:val="Heading2"/>
      </w:pPr>
      <w:r>
        <w:t>4.3 URI syntax supplies an address structure, not our entire lookup policy</w:t>
      </w:r>
    </w:p>
    <w:p>
      <w:r>
        <w:t>RFC 3986 defines a fragment as identifying a secondary resource in relation to a primary resource. Its interpretation depends on the representation’s media type, and the fragment is separated from retrieval of the primary resource. A media type identifies a representation format, such as the SensorML JSON format application/sml+json. These rules explain the address structure but do not instruct a generic JSON parser to search for an object with a matching id (Berners-Lee, Fielding, and Masinter 2005, §3.5).</w:t>
      </w:r>
    </w:p>
    <w:p>
      <w:r>
        <w:t>The consumer of an owner#id reference retrieves the actual owner representation and locates the identified embedded subject. Version 0.3.4 explicitly includes capability and characteristic groups within native process.modes[] in that lookup, without creating a separate Mode endpoint. The owner remains the containing resource, while named parameter and output paths inside a Mode resolve against its nearest containing process. Inherited model-owned references retain their actual owner and do not become instance-owned merely through label matching (Managed Physical Sensing Systems 2026, §5.3).</w:t>
      </w:r>
    </w:p>
    <w:p>
      <w:r>
        <w:t>This distinction is important when the same resource supports different representations. A reference that is meaningful in the rich SensorML description must not be assumed to select an equivalent item in every alternate representation. The profile needs an explicit account of retrieval, representation, target scope, and unresolved targets before the convention becomes an implementation commitment. This primer documents the existing proposal and its rationale; it does not silently complete those remaining decisions or assert universal client support (</w:t>
      </w:r>
      <w:r>
        <w:rPr>
          <w:i/>
        </w:rPr>
        <w:t>Managed Physical Sensing Systems</w:t>
      </w:r>
      <w:r>
        <w:t xml:space="preserve"> 2026, §§5.3, 5.14.2).</w:t>
      </w:r>
    </w:p>
    <w:p>
      <w:pPr>
        <w:pStyle w:val="Heading2"/>
      </w:pPr>
      <w:r>
        <w:t>4.4 Reference-bearing Text properties are a separate authored binding</w:t>
      </w:r>
    </w:p>
    <w:p>
      <w:r>
        <w:t>SWE Text is a typed string component that can carry a semantic definition. The SensorML AnyProperty union permits SWE simple components and selected aggregate types, but does not include a generic link object at that particular property location. The draft uses this allowed Text form for certain reference values, such as the interface at one end of a communications connection. That is a choice of representation within an existing structure, not evidence that every Text value containing a URL is a native link (Open Geospatial Consortium n.d.-b, Text.json; n.d.-a, commonDefs.json, $defs/AnyProperty).</w:t>
      </w:r>
    </w:p>
    <w:p>
      <w:r>
        <w:t>A profile-aware consumer follows the reference because it recognizes the property’s definition and the associated processing rule. For example, a recognized source-interface-ref definition tells the consumer how to interpret the property’s URI-valued Text. A generic typed-data viewer may still display the label and string without implementing the relationship. The proposed behavior is therefore a real software obligation beyond the use of a legal value type (</w:t>
      </w:r>
      <w:r>
        <w:rPr>
          <w:i/>
        </w:rPr>
        <w:t>Managed Physical Sensing Systems</w:t>
      </w:r>
      <w:r>
        <w:t xml:space="preserve"> 2026, §§5.3, 5.9).</w:t>
      </w:r>
    </w:p>
    <w:p>
      <w:r>
        <w:t>The complete rationale is consequently narrower than either “all custom” or “already standardized.” OGC supports fragment identification for the relevant types, while the profile supplies particular reference-bearing properties and additional resolution and persistence rules. A native association should be preferred when it already expresses the required relationship, and an independently retrievable object may suit a different management boundary. The current convention remains a candidate whose individual uses require justification; its legitimate foundation is not blanket approval of every use (</w:t>
      </w:r>
      <w:r>
        <w:rPr>
          <w:i/>
        </w:rPr>
        <w:t>Managed Physical Sensing Systems</w:t>
      </w:r>
      <w:r>
        <w:t xml:space="preserve"> 2026, §5.14.2).</w:t>
      </w:r>
    </w:p>
    <w:p>
      <w:pPr>
        <w:pStyle w:val="Heading2"/>
      </w:pPr>
      <w:r>
        <w:t>4.5 Named paths, JSON Pointer, and object fragments are not interchangeable</w:t>
      </w:r>
    </w:p>
    <w:p>
      <w:r>
        <w:t>SensorML Settings uses its own PathRef mechanism to select named configurable elements, for example parameters/sampleInterval. The associated schema defines an allowed path grammar for components, inputs, outputs, parameters, and modes. This is why the draft preserves native Settings paths instead of replacing them with its general embedded-subject convention. It is already possible to identify a setting’s target through the base mechanism (Open Geospatial Consortium n.d.-a, Settings.json and commonDefs.json, $defs/PathRef).</w:t>
      </w:r>
    </w:p>
    <w:p>
      <w:r>
        <w:t>JSON Pointer is another mechanism, defined by RFC 6901, for locating a value through the structure of a JSON document. A fragment such as #/characteristics/0 expresses a structural location under that syntax, not a search for an object carrying a matching local identifier. Array order can therefore matter to that particular pointer even when the information’s meaning has not changed. The standard also cautions that JSON content alone does not establish a media type’s fragment syntax (Bryan, Zyp, and Nottingham 2013, §§3–6).</w:t>
      </w:r>
    </w:p>
    <w:p>
      <w:r>
        <w:t>The design question is what must remain identifiable: a named configurable element, a specific structural value, an embedded subject, or an independently managed resource. Different answers can justify different existing mechanisms. The profile’s requirement is a coherent selection, not a preference for a single reference syntax everywhere. The primer accordingly recommends evaluating these choices by their subjects and expected use while keeping their implementation obligations explicit (</w:t>
      </w:r>
      <w:r>
        <w:rPr>
          <w:i/>
        </w:rPr>
        <w:t>Managed Physical Sensing Systems</w:t>
      </w:r>
      <w:r>
        <w:t xml:space="preserve"> 2026, §§5.3, 5.14.2).</w:t>
      </w:r>
    </w:p>
    <w:p>
      <w:bookmarkStart w:id="6" w:name="ch5"/>
      <w:pPr>
        <w:pStyle w:val="Heading1"/>
      </w:pPr>
      <w:r>
        <w:t>5. How equipment, functions, settings, and products stay connected</w:t>
      </w:r>
      <w:bookmarkEnd w:id="6"/>
    </w:p>
    <w:p>
      <w:pPr>
        <w:pStyle w:val="Heading2"/>
      </w:pPr>
      <w:r>
        <w:t>5.1 Equipment composition and physical attachment reuse native structure</w:t>
      </w:r>
    </w:p>
    <w:p>
      <w:r>
        <w:t>SensorML’s AggregateProcess schema supports named components, including permitted embedded descriptions and links. Its physical-process schema provides attachedTo and spatial-reference information for equipment mounted on a support. These are different useful responsibilities: describing what the system comprises and describing its physical attachment. The profile uses the native mechanisms rather than introducing an additional top-level equipment or mounted-on resource (</w:t>
      </w:r>
      <w:r>
        <w:rPr>
          <w:i/>
        </w:rPr>
        <w:t>Managed Physical Sensing Systems</w:t>
      </w:r>
      <w:r>
        <w:t xml:space="preserve"> 2026, R02–R03; Open Geospatial Consortium n.d.-a, AggregateProcess.json and AbstractPhysicalProcess.json).</w:t>
      </w:r>
    </w:p>
    <w:p>
      <w:r>
        <w:t>RFC 8348 contributes a hardware-management comparison with component names, classifications, parent relations, and revision information. It is written in Yet Another Next Generation (YANG), a data-modeling language used in network management, rather than in SensorML. The proposed OGC bindings reuse or adapt selected hardware meanings; they do not thereby implement the ietf-hardware module. This distinction lets hardware knowledge inform a useful Equipment presentation without obscuring the additional mapping work (Bierman et al. 2018, §§3–4, 7.1; IETF n.d.).</w:t>
      </w:r>
    </w:p>
    <w:p>
      <w:pPr>
        <w:pStyle w:val="Heading2"/>
      </w:pPr>
      <w:r>
        <w:t>5.2 Sensing functions explain what the equipment enables</w:t>
      </w:r>
    </w:p>
    <w:p>
      <w:r>
        <w:t>The profile’s sensing-function group is intended to collect meaningful sensing or related capabilities, including applicable performance and conditions. Its use of SensorML capability content is native, but the exact group definition and family classifications are authored selections. OSUS capability declarations contribute an implementation-community comparison for sensing, media, and commands; the current profile does not copy a complete OSUS class model into its payloads. The source role is therefore a substantive precedent, not an assertion that the resulting capability group is an OSUS implementation (</w:t>
      </w:r>
      <w:r>
        <w:rPr>
          <w:i/>
        </w:rPr>
        <w:t>Managed Physical Sensing Systems</w:t>
      </w:r>
      <w:r>
        <w:t xml:space="preserve"> 2026, R04; </w:t>
      </w:r>
      <w:r>
        <w:rPr>
          <w:i/>
        </w:rPr>
        <w:t>Domain Information Models</w:t>
      </w:r>
      <w:r>
        <w:t xml:space="preserve"> 2026, S47).</w:t>
      </w:r>
    </w:p>
    <w:p>
      <w:r>
        <w:t>The useful result is that a client can start from what the sensor does rather than require the operator to interpret disconnected schema sections. That does not require every capability to become a separate process resource, nor justify converting every descriptive group into a new object class. The proposal permits embedded function descriptions and explicit links to their supporting equipment. Whether the additional equipment-role and function-binding groups are necessary in each case remains subject to comparison with native process structure (</w:t>
      </w:r>
      <w:r>
        <w:rPr>
          <w:i/>
        </w:rPr>
        <w:t>Managed Physical Sensing Systems</w:t>
      </w:r>
      <w:r>
        <w:t xml:space="preserve"> 2026, R02, R04, R09–R10, §5.14.2).</w:t>
      </w:r>
    </w:p>
    <w:p>
      <w:pPr>
        <w:pStyle w:val="Heading2"/>
      </w:pPr>
      <w:r>
        <w:t>5.3 Products and actions use base resources; the useful association is partly authored</w:t>
      </w:r>
    </w:p>
    <w:p>
      <w:r>
        <w:t>CSAPI Part 2 distinguishes a DataStream description from an individual Observation, and distinguishes ControlStream, Command, CommandStatus, and CommandResult. Stream descriptions identify the relevant system and exposed output or input, while schemas describe result or parameter content. SensorML separately provides process inputs, outputs, parameters, modes, and Settings. These mechanisms supply existing responsibilities for access and configuration; they are not interchangeable names for a generic record (Open Geospatial Consortium 2025b, §§9–10, 16.1; n.d.-a, AbstractProcess.json and Settings.json).</w:t>
      </w:r>
    </w:p>
    <w:p>
      <w:r>
        <w:t>The draft’s additional function-binding and action-binding groups connect an operator-recognizable function to those outputs, parameters, and control inputs. In the fictional station, they connect environmental measurement with a temperature product and a sampling-interval setting. This gives the example a concrete route from “what the sensor does” to “what information or action is available.” It is a proposed association whose necessity and shape must be judged against native process and stream links, rather than assumed merely because the example is internally connected (</w:t>
      </w:r>
      <w:r>
        <w:rPr>
          <w:i/>
        </w:rPr>
        <w:t>Managed Physical Sensing Systems</w:t>
      </w:r>
      <w:r>
        <w:t xml:space="preserve"> 2026, R09–R12, §6).</w:t>
      </w:r>
    </w:p>
    <w:p>
      <w:r>
        <w:t>A description of configuration is also not an execution request. A consumer that supports the relevant control can submit a command through the native interaction mechanism, while the supplier integration handles the actual device interaction. The profile’s action meaning should explain the effect on the intended function or setting; changing descriptive metadata alone does not implement that behavior. Remote control remains conditional on supported capability and authorization, without shrinking the family’s ability to describe the settings of read-only integrations (</w:t>
      </w:r>
      <w:r>
        <w:rPr>
          <w:i/>
        </w:rPr>
        <w:t>Managed Physical Sensing Systems</w:t>
      </w:r>
      <w:r>
        <w:t xml:space="preserve"> 2026, §§4.5, 5.8).</w:t>
      </w:r>
    </w:p>
    <w:p>
      <w:pPr>
        <w:pStyle w:val="Heading2"/>
      </w:pPr>
      <w:r>
        <w:t>5.4 Why the third increment uses native Modes</w:t>
      </w:r>
    </w:p>
    <w:p>
      <w:pPr/>
      <w:r>
        <w:t>The SAPIENT v2 assessment provides a useful challenge to the old design: a system-wide list can lose which declared function, output and parameter restrictions belong to each operating mode. SensorML already supplies a Mode class inheriting DescribedObject metadata and carrying configuration as Settings, so a second capability-envelope object would duplicate an available carrier. The accepted change places the existing sensing-function and function-binding groups within that native metadata and keeps shared definitions on the process. The source-to-OGC placement is MERLIN’s selected binding, not evidence that SAPIENT implements SensorML (Open Geospatial Consortium 2025c, §§8.8.1–8.8.2; n.d.-a, Mode.json; MERLIN SAPIENT v2 Research 2026).</w:t>
      </w:r>
    </w:p>
    <w:p>
      <w:pPr/>
      <w:r>
        <w:t>The additional consumer obligation is limited but real: retain the enclosing Mode while resolving a group, keep mode-specific statements apart from process-wide declarations and follow named parameter/output paths back to the containing process. A declared mode does not establish its current selection, and presets are not observed device-state evidence. ISA’s explicit distinction between enabled commands and actual availability cautions against substituting one common ready flag. The separate two-mode fixture demonstrates the chosen representation without inventing a native source payload or claiming live adapter coverage (ISA Component Requirements 2023, CMPT-L-0072; technical profile §§5.3, R04/R09, 6.9).</w:t>
      </w:r>
    </w:p>
    <w:p>
      <w:pPr>
        <w:pStyle w:val="Heading2"/>
      </w:pPr>
      <w:r>
        <w:t>5.5 Why a product declaration survives missing data</w:t>
      </w:r>
    </w:p>
    <w:p>
      <w:pPr/>
      <w:r>
        <w:t>A supported output, an exposed DataStream, observations linked to that stream and live-data availability answer different questions. CSAPI Part 2 §9.2.2 requires observation-derived summaries to be null when there are no linked observations, so using those summaries as the sole capability catalogue would erase a valid prospective product. R10 therefore retains the SensorML declaration and resolves an actual stream only when one is exposed, without fabricating URLs or observation metadata. Missing authorized search results remain an exposure or knowledge limit, not proof that the equipment lacks the capability (Open Geospatial Consortium 2025b, §§9.1–9.2.2).</w:t>
      </w:r>
    </w:p>
    <w:p>
      <w:pPr/>
      <w:r>
        <w:t>The new example distinguishes an empty exposed routine stream from a rapid output for which no stream is exposed; the original temperature record still illustrates historical data with live=false. These are constructed design cases, not measured characteristics of an actual donor system. The extension adds no parallel stream, universal ready state or mandatory OMS ObservingCapability endpoint. Broader deployment-qualified prospective coverage and exact IEEE channel definitions remain separate decisions (MERLIN OMS3 Research 2026, decision memo; IEEE Pass 1A 2026, §11).</w:t>
      </w:r>
    </w:p>
    <w:p>
      <w:bookmarkStart w:id="7" w:name="ch6"/>
      <w:pPr>
        <w:pStyle w:val="Heading1"/>
      </w:pPr>
      <w:r>
        <w:t>6. Why communications uses interface and topology models</w:t>
      </w:r>
      <w:bookmarkEnd w:id="7"/>
    </w:p>
    <w:p>
      <w:pPr>
        <w:pStyle w:val="Heading2"/>
      </w:pPr>
      <w:r>
        <w:t>6.1 Common interface information has a published technical basis</w:t>
      </w:r>
    </w:p>
    <w:p>
      <w:r>
        <w:t>RFC 2863 defines the Interfaces Group Management Information Base (IF-MIB), and RFC 8343 provides a related YANG interface model with an explicit mapping to the earlier managed objects. A management information base defines named management information in its originating protocol environment. The source pair covers common interface information, including identity, type, administrative enablement, operating status, and layering. It provides a stronger basis for a reusable communications description than a locally invented collection of fields with familiar labels (McCloghrie and Kastenholz 2000, §§3, 6; Bjorklund 2018, §§3–5).</w:t>
      </w:r>
    </w:p>
    <w:p>
      <w:r>
        <w:t>The profile places selected interface information on the equipment that owns it and connects applicable changing information through observations. That SensorML placement and its group contract are newly authored even where a field’s meaning is closely translated from the source. Neither a Simple Network Management Protocol (SNMP) agent nor a YANG implementation is selected by that translation alone. The result remains a common descriptive target with supplier-specific acquisition and radio detail supplied by the actual integration (</w:t>
      </w:r>
      <w:r>
        <w:rPr>
          <w:i/>
        </w:rPr>
        <w:t>Managed Physical Sensing Systems</w:t>
      </w:r>
      <w:r>
        <w:t xml:space="preserve"> 2026, R13).</w:t>
      </w:r>
    </w:p>
    <w:p>
      <w:pPr>
        <w:pStyle w:val="Heading2"/>
      </w:pPr>
      <w:r>
        <w:t>6.2 A topology connection is not the same thing as an interface</w:t>
      </w:r>
    </w:p>
    <w:p>
      <w:r>
        <w:t xml:space="preserve">RFC 8345 defines network topology using nodes, termination points, and directed links. Its base model deliberately leaves some associations between topology entities and managed equipment to specialization. The draft uses that as the basis for an explicit endpoint-to-endpoint connection where such a description is appropriate. The selected projection and the association of endpoints with SensorML interface descriptions are profile design work, not an existing YANG-to-SensorML binding (Clemm et al. 2018, §§4.2–4.4.2; </w:t>
      </w:r>
      <w:r>
        <w:rPr>
          <w:i/>
        </w:rPr>
        <w:t>Managed Physical Sensing Systems</w:t>
      </w:r>
      <w:r>
        <w:t xml:space="preserve"> 2026, R14).</w:t>
      </w:r>
    </w:p>
    <w:p>
      <w:r>
        <w:t>This distinction has a practical purpose: it separates the equipment’s interface from the connection used in a particular arrangement. A common presentation can show the communication path without claiming that every shared radio medium or higher-level route is the same kind of point-to-point link. Family-specific communications content remains in scope when the generic model does not adequately describe it. The proposed topology content is optional, not a demand for an independently deployed network controller for every sensor (</w:t>
      </w:r>
      <w:r>
        <w:rPr>
          <w:i/>
        </w:rPr>
        <w:t>Managed Physical Sensing Systems</w:t>
      </w:r>
      <w:r>
        <w:t xml:space="preserve"> 2026, §§4.6, 5.9).</w:t>
      </w:r>
    </w:p>
    <w:p>
      <w:pPr>
        <w:pStyle w:val="Heading2"/>
      </w:pPr>
      <w:r>
        <w:t>6.3 Gateway access is an authored connection between established subjects</w:t>
      </w:r>
    </w:p>
    <w:p>
      <w:r>
        <w:t>The sensor-network and OSUS evidence supports gateways and mediated access as real engineering concerns. However, it does not supply the draft’s exact gateway-access group or its served-system-ref and via-system-ref properties. Those properties explicitly connect the sensor being accessed to the equipment providing the mediation. Their provenance is therefore an authored association informed by the source models (</w:t>
      </w:r>
      <w:r>
        <w:rPr>
          <w:i/>
        </w:rPr>
        <w:t>Managed Physical Sensing Systems</w:t>
      </w:r>
      <w:r>
        <w:t xml:space="preserve"> 2026, R15; </w:t>
      </w:r>
      <w:r>
        <w:rPr>
          <w:i/>
        </w:rPr>
        <w:t>Domain Information Models</w:t>
      </w:r>
      <w:r>
        <w:t xml:space="preserve"> 2026, §§1.3–1.6).</w:t>
      </w:r>
    </w:p>
    <w:p>
      <w:pPr/>
      <w:r>
        <w:t>A physical gateway, a native registered message sender, and a software adapter can be three different subjects in one integration. The existing R15 gateway-access group addresses equipment and communication pathways, whereas v0.3.3 adds an optional representation-source group to describe the provenance of a mediated System description. Its carrier is a native SensorML CharacteristicList but the four required labels and reading rules are MERLIN-authored, informed by the SAPIENT v2 and ISA comparisons rather than inherited normative vocabulary. An adapter URN identifies software without creating a fabricated equipment component, top-level API resource, or implication of native-protocol conformance.</w:t>
      </w:r>
    </w:p>
    <w:p>
      <w:r>
        <w:t>The rationale is to keep the sensor’s identity and functions distinct from the equipment that relays its information, while presenting both within the operating arrangement. Without an agreed connection, a generic consumer might know that both pieces of equipment exist yet still not know their operational relationship. The proposed group supplies that connection, but an existing applicable association or a richer domain model may ultimately provide a better binding. The open review concerns the representation and its added value, not whether gateway-mediated systems belong in the profile (</w:t>
      </w:r>
      <w:r>
        <w:rPr>
          <w:i/>
        </w:rPr>
        <w:t>Managed Physical Sensing Systems</w:t>
      </w:r>
      <w:r>
        <w:t xml:space="preserve"> 2026, R15, §5.14.2).</w:t>
      </w:r>
    </w:p>
    <w:p>
      <w:bookmarkStart w:id="8" w:name="ch7"/>
      <w:pPr>
        <w:pStyle w:val="Heading1"/>
      </w:pPr>
      <w:r>
        <w:t>7. How power belongs to the same model</w:t>
      </w:r>
      <w:bookmarkEnd w:id="8"/>
    </w:p>
    <w:p>
      <w:pPr>
        <w:pStyle w:val="Heading2"/>
      </w:pPr>
      <w:r>
        <w:t>7.1 The operating arrangement is broader than a battery reading</w:t>
      </w:r>
    </w:p>
    <w:p>
      <w:r>
        <w:t>The power subject concerns sources, consuming equipment, relevant interfaces, descriptive characteristics, operating information, and service over time. This is why the profile does not define power merely as one voltage field or one percentage gauge. A system may use internal sources, external supplies, or a shared arrangement, and the appropriate power model must explain the relevant relationships. These are the current workstream’s intended coverage areas, not claims that the initial TRSS and OmniSense excerpts populate every one of them (</w:t>
      </w:r>
      <w:r>
        <w:rPr>
          <w:i/>
        </w:rPr>
        <w:t>Power Source Restart</w:t>
      </w:r>
      <w:r>
        <w:t xml:space="preserve"> 2026, §§3–6).</w:t>
      </w:r>
    </w:p>
    <w:p>
      <w:r>
        <w:t>RFC 7326, the Energy Management Framework, provides the selected source semantics for R16 power-supply, metering and aggregation relationships. Its Energy Objects include devices, components and interfaces, with detailed relationships that distinguish electrical delivery, measured coverage and aggregated information. Its alternate-realization discussion supports translating suitable meaning into OGC structures, but the new SensorML CharacteristicList group and code space remain explicitly MERLIN-authored rather than a native RFC 7461 MIB or complete RFC 7326 implementation.</w:t>
      </w:r>
    </w:p>
    <w:p>
      <w:pPr>
        <w:pStyle w:val="Heading2"/>
      </w:pPr>
      <w:r>
        <w:t>7.2 The common profile connects power; the specialist work defines it</w:t>
      </w:r>
    </w:p>
    <w:p>
      <w:r>
        <w:t>R16 now links typed energy-related source and target subjects in a directed relationship, with explicit time and deployment scope as needed; R17 retains the measurement producer/subject distinction in native OGC dynamic content. Two powers examples make the revised semantics inspectable, while meters and aggregates are not inserted without actual source information. The entire internal electrical topology, battery specialization and numeric aggregation behavior remain optional, separate source-backed decisions.</w:t>
      </w:r>
      <w:r>
        <w:rPr>
          <w:i/>
        </w:rPr>
      </w:r>
      <w:r/>
    </w:p>
    <w:p>
      <w:r>
        <w:t>The earlier v0.3 power-association placeholder has been superseded in technical working v0.3.2 by P/group/energy-relationship. The relationship kinds powers, meters and aggregates reuse RFC 7326 information-model meanings, but the directed MERLIN identifiers, OGC carrier and relationship traversal rules are locally authored. The example preserves source replacement over time without claiming interface-level connectors, measured electrical flow or a native protocol agent.</w:t>
      </w:r>
      <w:r>
        <w:rPr>
          <w:i/>
        </w:rPr>
      </w:r>
      <w:r/>
      <w:r>
        <w:rPr>
          <w:i/>
        </w:rPr>
      </w:r>
      <w:r/>
    </w:p>
    <w:p>
      <w:pPr>
        <w:pStyle w:val="Heading2"/>
      </w:pPr>
      <w:r>
        <w:t>7.3 Readings and service can be related without being the same record</w:t>
      </w:r>
    </w:p>
    <w:p>
      <w:r>
        <w:t>The fictional example changes from one external supply to another while preserving the station’s identity and deployment. A replacement event records the change, and a later observation describes the replacement source while retaining the actual reporting system. These records illustrate a connected power description rather than an isolated measurement. All equipment, times, values, and actions in that example are fictional, so the example supports explanation of the binding rather than evidence of a live power integration (</w:t>
      </w:r>
      <w:r>
        <w:rPr>
          <w:i/>
        </w:rPr>
        <w:t>Managed Physical Sensing Systems</w:t>
      </w:r>
      <w:r>
        <w:t xml:space="preserve"> 2026, §6.6).</w:t>
      </w:r>
    </w:p>
    <w:p>
      <w:r>
        <w:t>The modeling benefit is that a consumer could understand what supplies the station, what changed, and which operating information concerns the relevant source. It does not require every power fact to be repeated in the System description or require the client to derive an unsupported battery estimate. A selected specialist model may support considerably richer supply and service information than the first example shows. Its authoritative coverage should guide the detailed module while its OGC bindings preserve the shared relationships (</w:t>
      </w:r>
      <w:r>
        <w:rPr>
          <w:i/>
        </w:rPr>
        <w:t>Power Source Restart</w:t>
      </w:r>
      <w:r>
        <w:t xml:space="preserve"> 2026, §§3–6; </w:t>
      </w:r>
      <w:r>
        <w:rPr>
          <w:i/>
        </w:rPr>
        <w:t>Managed Physical Sensing Systems</w:t>
      </w:r>
      <w:r>
        <w:t xml:space="preserve"> 2026, R16–R19).</w:t>
      </w:r>
    </w:p>
    <w:p>
      <w:pPr>
        <w:pStyle w:val="Heading2"/>
      </w:pPr>
      <w:r>
        <w:t>7.4 Native observation subjects and history before custom references</w:t>
      </w:r>
    </w:p>
    <w:p>
      <w:pPr/>
      <w:r>
        <w:t>CSAPI separates the ultimate feature of interest from a SamplingFeature representing a sample, location or relevant observed part. That gives R11 a native alternative when subject access needs independent identification, rather than treating every component through an embedded Text reference. The accepted choice does not require every physical component to become a sampling resource: the source role and actual API support still control, while subjectRef remains a lightweight authored option within the correct feature (Open Geospatial Consortium 2025a, §§14, 19.1.8; Managed Physical Sensing Systems 2026, R11).</w:t>
      </w:r>
    </w:p>
    <w:p>
      <w:pPr/>
      <w:r>
        <w:t>Subject selection also preserves history. Retargeting a fixed-subject stream after a battery replacement could make an old value describe new equipment; retaining separate fixed-subject streams or the supported observation-specific sampling association avoids that distortion. This is an interpretation rule on existing mechanisms, not a new event store. The unchanged original example contains only a power-b reading and therefore does not manufacture pre-replacement measurements.</w:t>
      </w:r>
    </w:p>
    <w:p>
      <w:pPr>
        <w:pStyle w:val="Heading2"/>
      </w:pPr>
      <w:r>
        <w:t>7.5 Donor lineage is preserved without claiming equivalence</w:t>
      </w:r>
    </w:p>
    <w:p>
      <w:pPr/>
      <w:r>
        <w:t>The SAPIENT v2 source separates associations, fused-input/derived-output links and successive reports for an object. ISA further separates correcting information, recalling erroneous information and resolving a valid event that no longer requires attention. A single undifferentiated derivedFrom relation would lose that meaning. R11 therefore preserves documented source-specific content or accessible native records and labels mapping limits; it does not add a common lineage field or equate these meanings with service history (BSI 2024, §5.5, §6.4.2.19; U.S. Army 2023, §§2.2–2.5).</w:t>
      </w:r>
    </w:p>
    <w:p>
      <w:pPr/>
      <w:r>
        <w:t>Adapters must preserve identifiers in their source scope and carry enough documentation for a specialized consumer to interpret them. A common MPSS client cannot yet be promised uniform navigation of every donor lineage, and linking native content is not the same as normalizing it. A richer common convention remains eligible when actual source examples and client needs justify it; mere similarity among relation labels is insufficient.</w:t>
      </w:r>
    </w:p>
    <w:p>
      <w:pPr>
        <w:pStyle w:val="Heading2"/>
      </w:pPr>
      <w:r>
        <w:t>7.6 Quantity semantics and unavailable values survive conversion</w:t>
      </w:r>
    </w:p>
    <w:p>
      <w:pPr/>
      <w:r>
        <w:t>The original external-source voltage definition already identifies an output-terminal quantity and stays unchanged. A battery-specific qualification is appropriate only for an identified battery, not every supply or regulated output. The new illustrative property uses native DerivedProperty structure with QUDT Voltage as its base, while the selected definition and mapping remain locally authored. No additional terminal identity, polarity, physical estimate or new power topology is inferred (Power Source Recommendation 2026, §9.4; Open Geospatial Consortium 2025a, §§15.2, 19.2.8).</w:t>
      </w:r>
    </w:p>
    <w:p>
      <w:pPr/>
      <w:r>
        <w:t>RFC 7577 provides a small but consequential test: batteryActualVoltage is encoded in millivolts and reserves 0xFFFFFFFF for an undetermined value. The separate fixture converts 12,600 to 12.6 V, preserves zero and handles the reserved code before numerical scaling. Its result schema declares -9999 as an example nil token with reason Unknown, so that token must be interpreted as missing information, not a voltage; it is not a universal MPSS token (Quittek, Winter, and Dietz 2015, §5; Open Geospatial Consortium 2025d, §§8.2.16, 9.1.15).</w:t>
      </w:r>
    </w:p>
    <w:p>
      <w:bookmarkStart w:id="9" w:name="ch8"/>
      <w:pPr>
        <w:pStyle w:val="Heading1"/>
      </w:pPr>
      <w:r>
        <w:t>8. How lifecycle history and responsibility acquire meaning</w:t>
      </w:r>
      <w:bookmarkEnd w:id="9"/>
    </w:p>
    <w:p>
      <w:pPr>
        <w:pStyle w:val="Heading2"/>
      </w:pPr>
      <w:r>
        <w:t>8.1 Asset-model knowledge supports continuity through change</w:t>
      </w:r>
    </w:p>
    <w:p>
      <w:r>
        <w:t>The Machinery Information Management Open Systems Alliance (MIMOSA) supplies an industry source for asset information and related lifecycle concepts. Its inspected Common Conceptual Object Model (CCOM) diagrams distinguish product models from assets, represent changing asset associations, and connect assessments with subjects and supporting events. These are relevant organizing relationships for a sensor that is installed, serviced, recovered, and employed again. The inspected detailed artifact is the proposed CCOM 4.1.0 model distributed in the 4.1.0-RC1 release-candidate package, not the separate Open Systems Architecture for Enterprise Application Integration (OSA-EAI) 3.2.3a edition (</w:t>
      </w:r>
      <w:r>
        <w:rPr>
          <w:i/>
        </w:rPr>
        <w:t>Managed Physical Sensing Systems</w:t>
      </w:r>
      <w:r>
        <w:t xml:space="preserve"> 2026, §4.8; MIMOSA 2018, 7–8, 27).</w:t>
      </w:r>
    </w:p>
    <w:p>
      <w:r>
        <w:t xml:space="preserve">The Open Industrial Interoperability Ecosystem (OIIE) installation/removal scenario provides a more concrete event precedent: an asset, a functional location, an event time, and applicable participants are brought together in an exchange. MERLIN’s use of that pattern for emplacement or recovery remains a proposed mapping. It does not establish that every military employment is a maintenance work order or that the draft implements the native scenario messages. The useful contribution is understanding how persistent equipment relates to changing arrangements and recorded actions (MIMOSA n.d., Scenario 11; </w:t>
      </w:r>
      <w:r>
        <w:rPr>
          <w:i/>
        </w:rPr>
        <w:t>Managed Physical Sensing Systems</w:t>
      </w:r>
      <w:r>
        <w:t xml:space="preserve"> 2026, R18–R20).</w:t>
      </w:r>
    </w:p>
    <w:p>
      <w:pPr>
        <w:pStyle w:val="Heading2"/>
      </w:pPr>
      <w:r>
        <w:t>8.2 Event access and event meaning are separate decisions</w:t>
      </w:r>
    </w:p>
    <w:p>
      <w:r>
        <w:t xml:space="preserve">SensorML already supplies a structured Event with time, contacts, additional properties, documentation, and optional configuration information. CSAPI Part 2 also provides independently accessible SystemEvent resources for system events and maintenance activities, including replacement, calibration, relocation, and operator handoff. These are existing OGC alternatives for presenting relevant history, not justification for a new universal lifecycle API. The current profile draft uses embedded history; its custom-content review records that the native SystemEvent alternative was not adequately considered when that choice was made (Open Geospatial Consortium n.d.-a, Event.json; 2025b, §12; </w:t>
      </w:r>
      <w:r>
        <w:rPr>
          <w:i/>
        </w:rPr>
        <w:t>Managed Physical Sensing Systems</w:t>
      </w:r>
      <w:r>
        <w:t xml:space="preserve"> 2026, §5.14.2).</w:t>
      </w:r>
    </w:p>
    <w:p>
      <w:r>
        <w:t>The remaining decision is how embedded descriptive history and independently retrievable events should serve the intended workflow, including correlation when both are exposed. Choosing an existing event-access mechanism may remove some custom reference work without automatically resolving the event’s domain meaning. Conversely, useful event terms do not establish that the chosen retrieval mechanism is sufficient for a client’s activity view. This primer preserves that open choice rather than silently amending the event binding (</w:t>
      </w:r>
      <w:r>
        <w:rPr>
          <w:i/>
        </w:rPr>
        <w:t>Managed Physical Sensing Systems</w:t>
      </w:r>
      <w:r>
        <w:t xml:space="preserve"> 2026, R18–R20, §5.14.2).</w:t>
      </w:r>
    </w:p>
    <w:p>
      <w:pPr>
        <w:pStyle w:val="Heading2"/>
      </w:pPr>
      <w:r>
        <w:t>8.3 Responsibility and assessments should remain connected to their subjects</w:t>
      </w:r>
    </w:p>
    <w:p>
      <w:r>
        <w:t>The draft preserves role-qualified contacts at the deployment or event where responsibilities apply. R20 now explicitly distinguishes a measured or method-derived equipment condition that can qualify as an Observation from an administrative service record or approval that should be represented through existing Event/Document mechanisms. The fictional review of the power-source replacement is a history Event linked to the existing voltage Observation; no readiness decision, health score or inspection measurement is invented. Selected classifications and binding rules remain locally authored and bounded by the actual source meaning.</w:t>
      </w:r>
      <w:r>
        <w:rPr>
          <w:i/>
        </w:rPr>
      </w:r>
      <w:r/>
    </w:p>
    <w:p>
      <w:r>
        <w:t>The proposed user benefit is understandable continuity: the operator can follow relevant actions and findings without losing the identity of the equipment after service or recovery. More detailed responsibility or assessment models can refine that content when they serve the intended use. Existing source assessments can be integrated without the client being required to generate new diagnoses. Review should improve the source basis and representation of this information while preserving lifecycle as a central subject, not remove it because the first illustrations were incomplete (</w:t>
      </w:r>
      <w:r>
        <w:rPr>
          <w:i/>
        </w:rPr>
        <w:t>Managed Physical Sensing Systems</w:t>
      </w:r>
      <w:r>
        <w:t xml:space="preserve"> 2026, §§4.8, 5.14.2).</w:t>
      </w:r>
    </w:p>
    <w:p>
      <w:bookmarkStart w:id="10" w:name="ch9"/>
      <w:pPr>
        <w:pStyle w:val="Heading1"/>
      </w:pPr>
      <w:r>
        <w:t>9. Why some custom content remains in the draft</w:t>
      </w:r>
      <w:bookmarkEnd w:id="10"/>
    </w:p>
    <w:p>
      <w:pPr>
        <w:pStyle w:val="Heading2"/>
      </w:pPr>
      <w:r>
        <w:t>9.1 Translation, specialization, and authorship must not be blurred</w:t>
      </w:r>
    </w:p>
    <w:p>
      <w:r>
        <w:t>A translated concept can retain established meaning while receiving an OGC representation that the originating standard does not supply. A specialization deliberately narrows or adapts a concept for a particular use, while a newly authored relationship adds a connection selected by the profile. An illustrative definition merely supports an example until the relevant production meaning is selected. The current catalogue uses provenance labels to distinguish these cases, but those labels are not findings that every item is necessary or approved (</w:t>
      </w:r>
      <w:r>
        <w:rPr>
          <w:i/>
        </w:rPr>
        <w:t>Managed Physical Sensing Systems</w:t>
      </w:r>
      <w:r>
        <w:t xml:space="preserve"> 2026, §§5.12, 5.14).</w:t>
      </w:r>
    </w:p>
    <w:p>
      <w:r>
        <w:t xml:space="preserve">The manufacturer entry shows why this distinction needs actual examination. RFC 8348 defines a manufacturer-name string for a physical component, while the draft’s wording extends to an organization responsible for equipment or a product model. A broader concept may be useful, but its source relationship should then be described as an adaptation rather than exact reuse. The review issue is to preserve the intended meaning or justify the change, not to remove manufacturer information from the profile (Bierman et al. 2018, §7.1, mfg-name; </w:t>
      </w:r>
      <w:r>
        <w:rPr>
          <w:i/>
        </w:rPr>
        <w:t>Managed Physical Sensing Systems</w:t>
      </w:r>
      <w:r>
        <w:t xml:space="preserve"> 2026, §5.14.2).</w:t>
      </w:r>
    </w:p>
    <w:p>
      <w:pPr>
        <w:pStyle w:val="Heading2"/>
      </w:pPr>
      <w:r>
        <w:t>9.2 A new identifier is not necessarily a new idea</w:t>
      </w:r>
    </w:p>
    <w:p>
      <w:r>
        <w:t>The example catalogue uses a reserved example namespace to identify terms, groups, roles, events, and profile scopes. A namespace is a controlled naming context; in this draft it makes references consistent without claiming an operational registry or an approved publication. Some local identifiers label translated meanings, whereas others identify authored rules or temporary examples. Their common prefix should not hide those different kinds of provenance (</w:t>
      </w:r>
      <w:r>
        <w:rPr>
          <w:i/>
        </w:rPr>
        <w:t>Managed Physical Sensing Systems</w:t>
      </w:r>
      <w:r>
        <w:t xml:space="preserve"> 2026, §§5.2, 5.12).</w:t>
      </w:r>
    </w:p>
    <w:p>
      <w:r>
        <w:t>The recommendation is to use an appropriate authoritative concept identifier when the selected meaning matches and the intended use permits it. A mapped profile identifier can be reasonable when the original representation lacks a suitable independent identifier or when a genuine specialization needs to be named. Its justification should state that reason and preserve the connection to the source. Renaming familiar ideas for convenience alone would increase local stewardship without necessarily improving interoperability (</w:t>
      </w:r>
      <w:r>
        <w:rPr>
          <w:i/>
        </w:rPr>
        <w:t>Managed Physical Sensing Systems</w:t>
      </w:r>
      <w:r>
        <w:t xml:space="preserve"> 2026, §5.14.1–5.14.2).</w:t>
      </w:r>
    </w:p>
    <w:p>
      <w:pPr>
        <w:pStyle w:val="Heading2"/>
      </w:pPr>
      <w:r>
        <w:t>9.3 Necessary binding work still needs an explicit value argument</w:t>
      </w:r>
    </w:p>
    <w:p>
      <w:r>
        <w:t>The domain definition says what information means, while a binding tells producers where to put it and consumers how to interpret it. If the relevant standards do not already provide the selected cross-model representation, some explicit binding work may be necessary. That is not proof that the current draft has chosen the least burdensome or most reusable binding. The project’s review must compare the particular choice with the closest applicable native mechanism or published alternative, without assuming that a source not yet selected does not exist (</w:t>
      </w:r>
      <w:r>
        <w:rPr>
          <w:i/>
        </w:rPr>
        <w:t>Managed Physical Sensing Systems</w:t>
      </w:r>
      <w:r>
        <w:t xml:space="preserve"> 2026, §5.14.2).</w:t>
      </w:r>
    </w:p>
    <w:p>
      <w:r>
        <w:t>This review should preserve the operator’s intended capability. Replacing a duplicate reference with a native association can improve the design, but reducing the model to the smallest number of known screenshot fields would answer a different question. The useful test is whether the retained custom work supplies a needed, reusable interpretation and whether its implementation and maintenance obligations are justified. The selected disposition can be to retain, replace, or keep provisional, with the reason recorded next to the affected relationship and example (</w:t>
      </w:r>
      <w:r>
        <w:rPr>
          <w:i/>
        </w:rPr>
        <w:t>Managed Physical Sensing Systems</w:t>
      </w:r>
      <w:r>
        <w:t xml:space="preserve"> 2026, §§5.14.2–5.14.3).</w:t>
      </w:r>
    </w:p>
    <w:p>
      <w:bookmarkStart w:id="11" w:name="ch10"/>
      <w:pPr>
        <w:pStyle w:val="Heading1"/>
      </w:pPr>
      <w:r>
        <w:t>10. What profile awareness adds—and what it does not prove</w:t>
      </w:r>
      <w:bookmarkEnd w:id="11"/>
    </w:p>
    <w:p>
      <w:pPr>
        <w:pStyle w:val="Heading2"/>
      </w:pPr>
      <w:r>
        <w:t>10.1 Declaring a profile is not introducing another service</w:t>
      </w:r>
    </w:p>
    <w:p>
      <w:r>
        <w:t xml:space="preserve">RFC 6906 defines the profile link relation for additional representation semantics that preserve the underlying media-type meaning. It can be expressed in a supported link structure or an HTTP Link header, where HTTP is the Hypertext Transfer Protocol used for Web requests and responses. The relation identifies the profile; it does not certify an implementation or define the profile’s contents. MERLIN’s draft selects this existing declaration mechanism while leaving the publication namespace and final profile release unresolved (Wilde 2013, §§3–5; </w:t>
      </w:r>
      <w:r>
        <w:rPr>
          <w:i/>
        </w:rPr>
        <w:t>Managed Physical Sensing Systems</w:t>
      </w:r>
      <w:r>
        <w:t xml:space="preserve"> 2026, §5.2).</w:t>
      </w:r>
    </w:p>
    <w:p>
      <w:r>
        <w:t>The intended compatibility has layers. A generic feature client can use the feature representation it supports, a CSAPI/SensorML-aware client can use richer supported base content, and a profile-aware client can recognize the selected domain relationships. A reader that displays a reference string has not necessarily implemented the rule for following it. Compatibility therefore means preserving the applicable base contracts, not promising that every existing client renders every detail or derives the same operational picture (</w:t>
      </w:r>
      <w:r>
        <w:rPr>
          <w:i/>
        </w:rPr>
        <w:t>Managed Physical Sensing Systems</w:t>
      </w:r>
      <w:r>
        <w:t xml:space="preserve"> 2026, §7).</w:t>
      </w:r>
    </w:p>
    <w:p>
      <w:pPr>
        <w:pStyle w:val="Heading2"/>
      </w:pPr>
      <w:r>
        <w:t>10.2 Implementing a profile is not implementing every source it cites</w:t>
      </w:r>
    </w:p>
    <w:p>
      <w:r>
        <w:t>The principal proposed implementation is production and consumption of OGC representations with the profile’s selected additional obligations. A native external implementation, a permitted alternative realization of an information model, a bridge between conformant interfaces, and reuse of design ideas support different claims. The profile needs to identify the component or artifact that would meet each applicable requirement and the assessment needed to substantiate that claim. It does not need to turn every explanatory increment into a test campaign to remain honest about those future obligations (</w:t>
      </w:r>
      <w:r>
        <w:rPr>
          <w:i/>
        </w:rPr>
        <w:t>Managed Physical Sensing Systems</w:t>
      </w:r>
      <w:r>
        <w:t xml:space="preserve"> 2026, §§2.3, 8).</w:t>
      </w:r>
    </w:p>
    <w:p>
      <w:r>
        <w:t xml:space="preserve">A schema is a machine-readable description of allowed structure and constraints; satisfying it does not by itself establish the meaning of every mapping or the behavior of a complete service. The OGC standards distinguish conformance targets and applicable requirement classes, and the ModSpec framework requires identifiable obligations rather than specification by example. The connected fictional dataset therefore helps inspect a design but does not establish supplier accuracy, interoperability among independent clients, or reduced development cost. The appropriate current claim is a source-grounded technical proposal with explicitly unfinished selections (Open Geospatial Consortium 2009b, §6.5; 2025c, §2; </w:t>
      </w:r>
      <w:r>
        <w:rPr>
          <w:i/>
        </w:rPr>
        <w:t>Managed Physical Sensing Systems</w:t>
      </w:r>
      <w:r>
        <w:t xml:space="preserve"> 2026, §§5.13, 8).</w:t>
      </w:r>
    </w:p>
    <w:p>
      <w:bookmarkStart w:id="12" w:name="ch11"/>
      <w:pPr>
        <w:pStyle w:val="Heading1"/>
      </w:pPr>
      <w:r>
        <w:t>11. Keeping the explanation useful as the profile develops</w:t>
      </w:r>
      <w:bookmarkEnd w:id="12"/>
    </w:p>
    <w:p>
      <w:pPr>
        <w:pStyle w:val="Heading2"/>
      </w:pPr>
      <w:r>
        <w:t>11.1 Separate explanation, requirements, evidence, and continuity</w:t>
      </w:r>
    </w:p>
    <w:p>
      <w:r>
        <w:t>The technical profile states the proposed definitions and bindings, while this primer explains their pedigree, rationale, tradeoffs, and limits. The annotated bibliography remains the source-level evidence record, and the PITON handoffs preserve project continuity and the authorized next steps. PITON is the project’s handoff label; no additional expansion or technical standard is implied by that name. Each artifact has a different purpose, and repeating the same citation in several artifacts must not be mistaken for independent confirmation (</w:t>
      </w:r>
      <w:r>
        <w:rPr>
          <w:i/>
        </w:rPr>
        <w:t>Managed Physical Sensing Systems</w:t>
      </w:r>
      <w:r>
        <w:t xml:space="preserve"> 2026, §§5.14, 11; </w:t>
      </w:r>
      <w:r>
        <w:rPr>
          <w:i/>
        </w:rPr>
        <w:t>Power Source Restart</w:t>
      </w:r>
      <w:r>
        <w:t xml:space="preserve"> 2026, §§1, 12).</w:t>
      </w:r>
    </w:p>
    <w:p>
      <w:r>
        <w:t>The primer should remain paired with a named profile baseline, and each explanatory section should retain its relationship and clause locators. A changed binding should cause the corresponding explanation to be updated, including the source or requirement that justified the change. Where this document recommends review rather than records a settled choice, the profile should not silently treat that recommendation as an approved rule. Keeping those distinctions visible gives reviewers a usable rationale without replaying the drafting history.</w:t>
      </w:r>
    </w:p>
    <w:p>
      <w:pPr>
        <w:pStyle w:val="Heading2"/>
      </w:pPr>
      <w:r>
        <w:t>11.2 The acceptance question is coherent reuse, not the absence of authorship</w:t>
      </w:r>
    </w:p>
    <w:p>
      <w:r>
        <w:t>Four owner-approved increments now reach technical v0.3.5. The latest makes native observation-subject selection and historical context explicit, preserves donor-specific lineage rather than flattening it, and adds bounded quantity/nil mapping. Existing design and donor proposals still face the same bidirectional test. The parent v0.3.4 and earlier versions remain immutable; no universal lineage or complete adapter capability follows from the accepted guidance.</w:t>
      </w:r>
    </w:p>
    <w:p>
      <w:r>
        <w:t>Adoption standing and technical pedigree must also remain distinct. The supplied export is the authoritative Department of Defense Information Technology Standards Registry (DISR) baseline for this investigation; North Atlantic Treaty Organization (NATO) standing requires its own exact-artifact assessment. Those governance records influence selection and implementation obligations, but neither a registry entry nor its absence proves a particular mapping correct. This primer makes no new adoption finding or submission recommendation and leaves the detailed status record with the existing research and handoffs (</w:t>
      </w:r>
      <w:r>
        <w:rPr>
          <w:i/>
        </w:rPr>
        <w:t>Power Source Restart</w:t>
      </w:r>
      <w:r>
        <w:t xml:space="preserve"> 2026, §10).</w:t>
      </w:r>
    </w:p>
    <w:p>
      <w:r>
        <w:t>The recommendation is to continue with a source-grounded profile whose remaining authorship is deliberate and reviewable. Existing mechanisms should be reused for the purposes they actually support, while domain specialists should supply the knowledge that general structures leave open. Local work can be justified when it provides a missing, useful connection at a reasonable cost, but it should not quietly replace an available model. That is the standard of explanation this primer is intended to preserve.</w:t>
      </w:r>
    </w:p>
    <w:p>
      <w:r>
        <w:br w:type="page"/>
      </w:r>
    </w:p>
    <w:p>
      <w:bookmarkStart w:id="13" w:name="app_a"/>
      <w:pPr>
        <w:pStyle w:val="Heading1"/>
        <w:spacing w:before="0"/>
      </w:pPr>
      <w:r>
        <w:t>Appendix A. Where each explanation belongs in the profile</w:t>
      </w:r>
      <w:bookmarkEnd w:id="13"/>
    </w:p>
    <w:p>
      <w:r>
        <w:t>The original section and R identifiers remain stable. Technical §6.9 retains the two-mode example; new §6.10 adds subject/lineage guidance and separate battery conversion fragments. Chapter 7 of this primer now explains R11/R17 source meaning, alternatives and consumer cost. The provisional /0.3/ namespace and historical v0.8 master source record remain separately controlled.</w:t>
      </w:r>
    </w:p>
    <w:tbl>
      <w:tblPr>
        <w:tblW w:type="auto" w:w="0"/>
        <w:jc w:val="center"/>
        <w:tblLayout w:type="fixed"/>
        <w:tblLook w:firstColumn="1" w:firstRow="1" w:lastColumn="0" w:lastRow="0" w:noHBand="0" w:noVBand="1" w:val="04A0"/>
        <w:tblBorders>
          <w:top w:val="single" w:sz="4" w:color="D4DFE3"/>
          <w:bottom w:val="single" w:sz="4" w:color="D4DFE3"/>
          <w:insideH w:val="single" w:sz="4" w:color="D4DFE3"/>
        </w:tblBorders>
      </w:tblPr>
      <w:tblGrid>
        <w:gridCol w:w="3917"/>
        <w:gridCol w:w="3168"/>
        <w:gridCol w:w="2794"/>
      </w:tblGrid>
      <w:tr>
        <w:trPr>
          <w:cantSplit/>
          <w:tblHeader/>
        </w:trPr>
        <w:tc>
          <w:tcPr>
            <w:tcW w:type="dxa" w:w="3917"/>
            <w:vAlign w:val="center"/>
            <w:tcMar>
              <w:top w:w="72" w:type="dxa"/>
              <w:bottom w:w="72" w:type="dxa"/>
              <w:left w:w="90" w:type="dxa"/>
              <w:right w:w="90" w:type="dxa"/>
            </w:tcMar>
            <w:shd w:fill="193F53"/>
          </w:tcPr>
          <w:p>
            <w:pPr>
              <w:spacing w:after="0" w:line="247" w:lineRule="auto"/>
            </w:pPr>
            <w:r>
              <w:rPr>
                <w:b/>
                <w:color w:val="FFFFFF"/>
                <w:sz w:val="18"/>
              </w:rPr>
              <w:t>Primer discussion</w:t>
            </w:r>
          </w:p>
        </w:tc>
        <w:tc>
          <w:tcPr>
            <w:tcW w:type="dxa" w:w="3168"/>
            <w:vAlign w:val="center"/>
            <w:tcMar>
              <w:top w:w="72" w:type="dxa"/>
              <w:bottom w:w="72" w:type="dxa"/>
              <w:left w:w="90" w:type="dxa"/>
              <w:right w:w="90" w:type="dxa"/>
            </w:tcMar>
            <w:shd w:fill="193F53"/>
          </w:tcPr>
          <w:p>
            <w:pPr>
              <w:spacing w:after="0" w:line="247" w:lineRule="auto"/>
            </w:pPr>
            <w:r>
              <w:rPr>
                <w:b/>
                <w:color w:val="FFFFFF"/>
                <w:sz w:val="18"/>
              </w:rPr>
              <w:t>Profile locator</w:t>
            </w:r>
          </w:p>
        </w:tc>
        <w:tc>
          <w:tcPr>
            <w:tcW w:type="dxa" w:w="2794"/>
            <w:vAlign w:val="center"/>
            <w:tcMar>
              <w:top w:w="72" w:type="dxa"/>
              <w:bottom w:w="72" w:type="dxa"/>
              <w:left w:w="90" w:type="dxa"/>
              <w:right w:w="90" w:type="dxa"/>
            </w:tcMar>
            <w:shd w:fill="193F53"/>
          </w:tcPr>
          <w:p>
            <w:pPr>
              <w:spacing w:after="0" w:line="247" w:lineRule="auto"/>
            </w:pPr>
            <w:r>
              <w:rPr>
                <w:b/>
                <w:color w:val="FFFFFF"/>
                <w:sz w:val="18"/>
              </w:rPr>
              <w:t>Relationship coverage</w:t>
            </w:r>
          </w:p>
        </w:tc>
      </w:tr>
      <w:tr>
        <w:trPr>
          <w:cantSplit/>
        </w:trPr>
        <w:tc>
          <w:tcPr>
            <w:tcW w:type="dxa" w:w="3917"/>
            <w:vAlign w:val="center"/>
            <w:tcMar>
              <w:top w:w="72" w:type="dxa"/>
              <w:bottom w:w="72" w:type="dxa"/>
              <w:left w:w="90" w:type="dxa"/>
              <w:right w:w="90" w:type="dxa"/>
            </w:tcMar>
            <w:shd w:fill="F2F6F7"/>
          </w:tcPr>
          <w:p>
            <w:pPr>
              <w:spacing w:after="0" w:line="247" w:lineRule="auto"/>
            </w:pPr>
            <w:r>
              <w:rPr>
                <w:sz w:val="18"/>
              </w:rPr>
              <w:t>1. Domain model, profile, binding, and method</w:t>
            </w:r>
          </w:p>
        </w:tc>
        <w:tc>
          <w:tcPr>
            <w:tcW w:type="dxa" w:w="3168"/>
            <w:vAlign w:val="center"/>
            <w:tcMar>
              <w:top w:w="72" w:type="dxa"/>
              <w:bottom w:w="72" w:type="dxa"/>
              <w:left w:w="90" w:type="dxa"/>
              <w:right w:w="90" w:type="dxa"/>
            </w:tcMar>
            <w:shd w:fill="F2F6F7"/>
          </w:tcPr>
          <w:p>
            <w:pPr>
              <w:spacing w:after="0" w:line="247" w:lineRule="auto"/>
            </w:pPr>
            <w:r>
              <w:rPr>
                <w:sz w:val="18"/>
              </w:rPr>
              <w:t>§§1–3, 5.14, 8</w:t>
            </w:r>
          </w:p>
        </w:tc>
        <w:tc>
          <w:tcPr>
            <w:tcW w:type="dxa" w:w="2794"/>
            <w:vAlign w:val="center"/>
            <w:tcMar>
              <w:top w:w="72" w:type="dxa"/>
              <w:bottom w:w="72" w:type="dxa"/>
              <w:left w:w="90" w:type="dxa"/>
              <w:right w:w="90" w:type="dxa"/>
            </w:tcMar>
            <w:shd w:fill="F2F6F7"/>
          </w:tcPr>
          <w:p>
            <w:pPr>
              <w:spacing w:after="0" w:line="247" w:lineRule="auto"/>
            </w:pPr>
            <w:r>
              <w:rPr>
                <w:sz w:val="18"/>
              </w:rPr>
              <w:t>Framework for R01–R20</w:t>
            </w:r>
          </w:p>
        </w:tc>
      </w:tr>
      <w:tr>
        <w:trPr>
          <w:cantSplit/>
        </w:trPr>
        <w:tc>
          <w:tcPr>
            <w:tcW w:type="dxa" w:w="3917"/>
            <w:vAlign w:val="center"/>
            <w:tcMar>
              <w:top w:w="72" w:type="dxa"/>
              <w:bottom w:w="72" w:type="dxa"/>
              <w:left w:w="90" w:type="dxa"/>
              <w:right w:w="90" w:type="dxa"/>
            </w:tcMar>
          </w:tcPr>
          <w:p>
            <w:pPr>
              <w:spacing w:after="0" w:line="247" w:lineRule="auto"/>
            </w:pPr>
            <w:r>
              <w:rPr>
                <w:sz w:val="18"/>
              </w:rPr>
              <w:t>2. Family, equipment instance, model, and employment</w:t>
            </w:r>
          </w:p>
        </w:tc>
        <w:tc>
          <w:tcPr>
            <w:tcW w:type="dxa" w:w="3168"/>
            <w:vAlign w:val="center"/>
            <w:tcMar>
              <w:top w:w="72" w:type="dxa"/>
              <w:bottom w:w="72" w:type="dxa"/>
              <w:left w:w="90" w:type="dxa"/>
              <w:right w:w="90" w:type="dxa"/>
            </w:tcMar>
          </w:tcPr>
          <w:p>
            <w:pPr>
              <w:spacing w:after="0" w:line="247" w:lineRule="auto"/>
            </w:pPr>
            <w:r>
              <w:rPr>
                <w:sz w:val="18"/>
              </w:rPr>
              <w:t>§§1, 4.1, 4.4, 5.6–5.7</w:t>
            </w:r>
          </w:p>
        </w:tc>
        <w:tc>
          <w:tcPr>
            <w:tcW w:type="dxa" w:w="2794"/>
            <w:vAlign w:val="center"/>
            <w:tcMar>
              <w:top w:w="72" w:type="dxa"/>
              <w:bottom w:w="72" w:type="dxa"/>
              <w:left w:w="90" w:type="dxa"/>
              <w:right w:w="90" w:type="dxa"/>
            </w:tcMar>
          </w:tcPr>
          <w:p>
            <w:pPr>
              <w:spacing w:after="0" w:line="247" w:lineRule="auto"/>
            </w:pPr>
            <w:r>
              <w:rPr>
                <w:sz w:val="18"/>
              </w:rPr>
              <w:t>R01, R05–R08</w:t>
            </w:r>
          </w:p>
        </w:tc>
      </w:tr>
      <w:tr>
        <w:trPr>
          <w:cantSplit/>
        </w:trPr>
        <w:tc>
          <w:tcPr>
            <w:tcW w:type="dxa" w:w="3917"/>
            <w:vAlign w:val="center"/>
            <w:tcMar>
              <w:top w:w="72" w:type="dxa"/>
              <w:bottom w:w="72" w:type="dxa"/>
              <w:left w:w="90" w:type="dxa"/>
              <w:right w:w="90" w:type="dxa"/>
            </w:tcMar>
            <w:shd w:fill="F2F6F7"/>
          </w:tcPr>
          <w:p>
            <w:pPr>
              <w:spacing w:after="0" w:line="247" w:lineRule="auto"/>
            </w:pPr>
            <w:r>
              <w:rPr>
                <w:sz w:val="18"/>
              </w:rPr>
              <w:t>3. Domain grouping and organizing precedents</w:t>
            </w:r>
          </w:p>
        </w:tc>
        <w:tc>
          <w:tcPr>
            <w:tcW w:type="dxa" w:w="3168"/>
            <w:vAlign w:val="center"/>
            <w:tcMar>
              <w:top w:w="72" w:type="dxa"/>
              <w:bottom w:w="72" w:type="dxa"/>
              <w:left w:w="90" w:type="dxa"/>
              <w:right w:w="90" w:type="dxa"/>
            </w:tcMar>
            <w:shd w:fill="F2F6F7"/>
          </w:tcPr>
          <w:p>
            <w:pPr>
              <w:spacing w:after="0" w:line="247" w:lineRule="auto"/>
            </w:pPr>
            <w:r>
              <w:rPr>
                <w:sz w:val="18"/>
              </w:rPr>
              <w:t>§§3–4, 5.5, 7.3</w:t>
            </w:r>
          </w:p>
        </w:tc>
        <w:tc>
          <w:tcPr>
            <w:tcW w:type="dxa" w:w="2794"/>
            <w:vAlign w:val="center"/>
            <w:tcMar>
              <w:top w:w="72" w:type="dxa"/>
              <w:bottom w:w="72" w:type="dxa"/>
              <w:left w:w="90" w:type="dxa"/>
              <w:right w:w="90" w:type="dxa"/>
            </w:tcMar>
            <w:shd w:fill="F2F6F7"/>
          </w:tcPr>
          <w:p>
            <w:pPr>
              <w:spacing w:after="0" w:line="247" w:lineRule="auto"/>
            </w:pPr>
            <w:r>
              <w:rPr>
                <w:sz w:val="18"/>
              </w:rPr>
              <w:t>Organization across all eight subjects</w:t>
            </w:r>
          </w:p>
        </w:tc>
      </w:tr>
      <w:tr>
        <w:trPr>
          <w:cantSplit/>
        </w:trPr>
        <w:tc>
          <w:tcPr>
            <w:tcW w:type="dxa" w:w="3917"/>
            <w:vAlign w:val="center"/>
            <w:tcMar>
              <w:top w:w="72" w:type="dxa"/>
              <w:bottom w:w="72" w:type="dxa"/>
              <w:left w:w="90" w:type="dxa"/>
              <w:right w:w="90" w:type="dxa"/>
            </w:tcMar>
          </w:tcPr>
          <w:p>
            <w:pPr>
              <w:spacing w:after="0" w:line="247" w:lineRule="auto"/>
            </w:pPr>
            <w:r>
              <w:rPr>
                <w:sz w:val="18"/>
              </w:rPr>
              <w:t>4. Embedded subject references and native path mechanisms</w:t>
            </w:r>
          </w:p>
        </w:tc>
        <w:tc>
          <w:tcPr>
            <w:tcW w:type="dxa" w:w="3168"/>
            <w:vAlign w:val="center"/>
            <w:tcMar>
              <w:top w:w="72" w:type="dxa"/>
              <w:bottom w:w="72" w:type="dxa"/>
              <w:left w:w="90" w:type="dxa"/>
              <w:right w:w="90" w:type="dxa"/>
            </w:tcMar>
          </w:tcPr>
          <w:p>
            <w:pPr>
              <w:spacing w:after="0" w:line="247" w:lineRule="auto"/>
            </w:pPr>
            <w:r>
              <w:rPr>
                <w:sz w:val="18"/>
              </w:rPr>
              <w:t>§§5.3–5.4, 5.14.2</w:t>
            </w:r>
          </w:p>
        </w:tc>
        <w:tc>
          <w:tcPr>
            <w:tcW w:type="dxa" w:w="2794"/>
            <w:vAlign w:val="center"/>
            <w:tcMar>
              <w:top w:w="72" w:type="dxa"/>
              <w:bottom w:w="72" w:type="dxa"/>
              <w:left w:w="90" w:type="dxa"/>
              <w:right w:w="90" w:type="dxa"/>
            </w:tcMar>
          </w:tcPr>
          <w:p>
            <w:pPr>
              <w:spacing w:after="0" w:line="247" w:lineRule="auto"/>
            </w:pPr>
            <w:r>
              <w:rPr>
                <w:sz w:val="18"/>
              </w:rPr>
              <w:t>Cross-cutting; especially R09, R11, R13–R20</w:t>
            </w:r>
          </w:p>
        </w:tc>
      </w:tr>
      <w:tr>
        <w:trPr>
          <w:cantSplit/>
        </w:trPr>
        <w:tc>
          <w:tcPr>
            <w:tcW w:type="dxa" w:w="3917"/>
            <w:vAlign w:val="center"/>
            <w:tcMar>
              <w:top w:w="72" w:type="dxa"/>
              <w:bottom w:w="72" w:type="dxa"/>
              <w:left w:w="90" w:type="dxa"/>
              <w:right w:w="90" w:type="dxa"/>
            </w:tcMar>
            <w:shd w:fill="F2F6F7"/>
          </w:tcPr>
          <w:p>
            <w:pPr>
              <w:spacing w:after="0" w:line="247" w:lineRule="auto"/>
            </w:pPr>
            <w:r>
              <w:rPr>
                <w:sz w:val="18"/>
              </w:rPr>
              <w:t>5. Equipment, sensing functions, products, and actions</w:t>
            </w:r>
          </w:p>
        </w:tc>
        <w:tc>
          <w:tcPr>
            <w:tcW w:type="dxa" w:w="3168"/>
            <w:vAlign w:val="center"/>
            <w:tcMar>
              <w:top w:w="72" w:type="dxa"/>
              <w:bottom w:w="72" w:type="dxa"/>
              <w:left w:w="90" w:type="dxa"/>
              <w:right w:w="90" w:type="dxa"/>
            </w:tcMar>
            <w:shd w:fill="F2F6F7"/>
          </w:tcPr>
          <w:p>
            <w:pPr>
              <w:spacing w:after="0" w:line="247" w:lineRule="auto"/>
            </w:pPr>
            <w:r>
              <w:rPr>
                <w:sz w:val="18"/>
              </w:rPr>
              <w:t>§§4.1–4.3, 4.5, 5.6, 5.8</w:t>
            </w:r>
          </w:p>
        </w:tc>
        <w:tc>
          <w:tcPr>
            <w:tcW w:type="dxa" w:w="2794"/>
            <w:vAlign w:val="center"/>
            <w:tcMar>
              <w:top w:w="72" w:type="dxa"/>
              <w:bottom w:w="72" w:type="dxa"/>
              <w:left w:w="90" w:type="dxa"/>
              <w:right w:w="90" w:type="dxa"/>
            </w:tcMar>
            <w:shd w:fill="F2F6F7"/>
          </w:tcPr>
          <w:p>
            <w:pPr>
              <w:spacing w:after="0" w:line="247" w:lineRule="auto"/>
            </w:pPr>
            <w:r>
              <w:rPr>
                <w:sz w:val="18"/>
              </w:rPr>
              <w:t>R01–R04, R09–R12</w:t>
            </w:r>
          </w:p>
        </w:tc>
      </w:tr>
      <w:tr>
        <w:trPr>
          <w:cantSplit/>
        </w:trPr>
        <w:tc>
          <w:tcPr>
            <w:tcW w:type="dxa" w:w="3917"/>
            <w:vAlign w:val="center"/>
            <w:tcMar>
              <w:top w:w="72" w:type="dxa"/>
              <w:bottom w:w="72" w:type="dxa"/>
              <w:left w:w="90" w:type="dxa"/>
              <w:right w:w="90" w:type="dxa"/>
            </w:tcMar>
          </w:tcPr>
          <w:p>
            <w:pPr>
              <w:spacing w:after="0" w:line="247" w:lineRule="auto"/>
            </w:pPr>
            <w:r>
              <w:rPr>
                <w:sz w:val="18"/>
              </w:rPr>
              <w:t>6. Interfaces, topology, and gateway access</w:t>
            </w:r>
          </w:p>
        </w:tc>
        <w:tc>
          <w:tcPr>
            <w:tcW w:type="dxa" w:w="3168"/>
            <w:vAlign w:val="center"/>
            <w:tcMar>
              <w:top w:w="72" w:type="dxa"/>
              <w:bottom w:w="72" w:type="dxa"/>
              <w:left w:w="90" w:type="dxa"/>
              <w:right w:w="90" w:type="dxa"/>
            </w:tcMar>
          </w:tcPr>
          <w:p>
            <w:pPr>
              <w:spacing w:after="0" w:line="247" w:lineRule="auto"/>
            </w:pPr>
            <w:r>
              <w:rPr>
                <w:sz w:val="18"/>
              </w:rPr>
              <w:t>§§4.6, 5.9</w:t>
            </w:r>
          </w:p>
        </w:tc>
        <w:tc>
          <w:tcPr>
            <w:tcW w:type="dxa" w:w="2794"/>
            <w:vAlign w:val="center"/>
            <w:tcMar>
              <w:top w:w="72" w:type="dxa"/>
              <w:bottom w:w="72" w:type="dxa"/>
              <w:left w:w="90" w:type="dxa"/>
              <w:right w:w="90" w:type="dxa"/>
            </w:tcMar>
          </w:tcPr>
          <w:p>
            <w:pPr>
              <w:spacing w:after="0" w:line="247" w:lineRule="auto"/>
            </w:pPr>
            <w:r>
              <w:rPr>
                <w:sz w:val="18"/>
              </w:rPr>
              <w:t>R13–R15</w:t>
            </w:r>
          </w:p>
        </w:tc>
      </w:tr>
      <w:tr>
        <w:trPr>
          <w:cantSplit/>
        </w:trPr>
        <w:tc>
          <w:tcPr>
            <w:tcW w:type="dxa" w:w="3917"/>
            <w:vAlign w:val="center"/>
            <w:tcMar>
              <w:top w:w="72" w:type="dxa"/>
              <w:bottom w:w="72" w:type="dxa"/>
              <w:left w:w="90" w:type="dxa"/>
              <w:right w:w="90" w:type="dxa"/>
            </w:tcMar>
            <w:shd w:fill="F2F6F7"/>
          </w:tcPr>
          <w:p>
            <w:pPr>
              <w:spacing w:after="0" w:line="247" w:lineRule="auto"/>
            </w:pPr>
            <w:r>
              <w:rPr>
                <w:sz w:val="18"/>
              </w:rPr>
              <w:t>7. Power arrangement and coordination</w:t>
            </w:r>
          </w:p>
        </w:tc>
        <w:tc>
          <w:tcPr>
            <w:tcW w:type="dxa" w:w="3168"/>
            <w:vAlign w:val="center"/>
            <w:tcMar>
              <w:top w:w="72" w:type="dxa"/>
              <w:bottom w:w="72" w:type="dxa"/>
              <w:left w:w="90" w:type="dxa"/>
              <w:right w:w="90" w:type="dxa"/>
            </w:tcMar>
            <w:shd w:fill="F2F6F7"/>
          </w:tcPr>
          <w:p>
            <w:pPr>
              <w:spacing w:after="0" w:line="247" w:lineRule="auto"/>
            </w:pPr>
            <w:r>
              <w:rPr>
                <w:sz w:val="18"/>
              </w:rPr>
              <w:t>§§4.7, 5.10, 6.6</w:t>
            </w:r>
          </w:p>
        </w:tc>
        <w:tc>
          <w:tcPr>
            <w:tcW w:type="dxa" w:w="2794"/>
            <w:vAlign w:val="center"/>
            <w:tcMar>
              <w:top w:w="72" w:type="dxa"/>
              <w:bottom w:w="72" w:type="dxa"/>
              <w:left w:w="90" w:type="dxa"/>
              <w:right w:w="90" w:type="dxa"/>
            </w:tcMar>
            <w:shd w:fill="F2F6F7"/>
          </w:tcPr>
          <w:p>
            <w:pPr>
              <w:spacing w:after="0" w:line="247" w:lineRule="auto"/>
            </w:pPr>
            <w:r>
              <w:rPr>
                <w:sz w:val="18"/>
              </w:rPr>
              <w:t>R16–R17, linked to R18–R19</w:t>
            </w:r>
          </w:p>
        </w:tc>
      </w:tr>
      <w:tr>
        <w:trPr>
          <w:cantSplit/>
        </w:trPr>
        <w:tc>
          <w:tcPr>
            <w:tcW w:type="dxa" w:w="3917"/>
            <w:vAlign w:val="center"/>
            <w:tcMar>
              <w:top w:w="72" w:type="dxa"/>
              <w:bottom w:w="72" w:type="dxa"/>
              <w:left w:w="90" w:type="dxa"/>
              <w:right w:w="90" w:type="dxa"/>
            </w:tcMar>
          </w:tcPr>
          <w:p>
            <w:pPr>
              <w:spacing w:after="0" w:line="247" w:lineRule="auto"/>
            </w:pPr>
            <w:r>
              <w:rPr>
                <w:sz w:val="18"/>
              </w:rPr>
              <w:t>8. Events, responsibility, assessments, and continuity</w:t>
            </w:r>
          </w:p>
        </w:tc>
        <w:tc>
          <w:tcPr>
            <w:tcW w:type="dxa" w:w="3168"/>
            <w:vAlign w:val="center"/>
            <w:tcMar>
              <w:top w:w="72" w:type="dxa"/>
              <w:bottom w:w="72" w:type="dxa"/>
              <w:left w:w="90" w:type="dxa"/>
              <w:right w:w="90" w:type="dxa"/>
            </w:tcMar>
          </w:tcPr>
          <w:p>
            <w:pPr>
              <w:spacing w:after="0" w:line="247" w:lineRule="auto"/>
            </w:pPr>
            <w:r>
              <w:rPr>
                <w:sz w:val="18"/>
              </w:rPr>
              <w:t>§§4.4, 4.8, 5.11, 5.14.2</w:t>
            </w:r>
          </w:p>
        </w:tc>
        <w:tc>
          <w:tcPr>
            <w:tcW w:type="dxa" w:w="2794"/>
            <w:vAlign w:val="center"/>
            <w:tcMar>
              <w:top w:w="72" w:type="dxa"/>
              <w:bottom w:w="72" w:type="dxa"/>
              <w:left w:w="90" w:type="dxa"/>
              <w:right w:w="90" w:type="dxa"/>
            </w:tcMar>
          </w:tcPr>
          <w:p>
            <w:pPr>
              <w:spacing w:after="0" w:line="247" w:lineRule="auto"/>
            </w:pPr>
            <w:r>
              <w:rPr>
                <w:sz w:val="18"/>
              </w:rPr>
              <w:t>R07, R18–R20</w:t>
            </w:r>
          </w:p>
        </w:tc>
      </w:tr>
      <w:tr>
        <w:trPr>
          <w:cantSplit/>
        </w:trPr>
        <w:tc>
          <w:tcPr>
            <w:tcW w:type="dxa" w:w="3917"/>
            <w:vAlign w:val="center"/>
            <w:tcMar>
              <w:top w:w="72" w:type="dxa"/>
              <w:bottom w:w="72" w:type="dxa"/>
              <w:left w:w="90" w:type="dxa"/>
              <w:right w:w="90" w:type="dxa"/>
            </w:tcMar>
            <w:shd w:fill="F2F6F7"/>
          </w:tcPr>
          <w:p>
            <w:pPr>
              <w:spacing w:after="0" w:line="247" w:lineRule="auto"/>
            </w:pPr>
            <w:r>
              <w:rPr>
                <w:sz w:val="18"/>
              </w:rPr>
              <w:t>9. Translation, authorship, and provisional content</w:t>
            </w:r>
          </w:p>
        </w:tc>
        <w:tc>
          <w:tcPr>
            <w:tcW w:type="dxa" w:w="3168"/>
            <w:vAlign w:val="center"/>
            <w:tcMar>
              <w:top w:w="72" w:type="dxa"/>
              <w:bottom w:w="72" w:type="dxa"/>
              <w:left w:w="90" w:type="dxa"/>
              <w:right w:w="90" w:type="dxa"/>
            </w:tcMar>
            <w:shd w:fill="F2F6F7"/>
          </w:tcPr>
          <w:p>
            <w:pPr>
              <w:spacing w:after="0" w:line="247" w:lineRule="auto"/>
            </w:pPr>
            <w:r>
              <w:rPr>
                <w:sz w:val="18"/>
              </w:rPr>
              <w:t>§§5.12–5.14</w:t>
            </w:r>
          </w:p>
        </w:tc>
        <w:tc>
          <w:tcPr>
            <w:tcW w:type="dxa" w:w="2794"/>
            <w:vAlign w:val="center"/>
            <w:tcMar>
              <w:top w:w="72" w:type="dxa"/>
              <w:bottom w:w="72" w:type="dxa"/>
              <w:left w:w="90" w:type="dxa"/>
              <w:right w:w="90" w:type="dxa"/>
            </w:tcMar>
            <w:shd w:fill="F2F6F7"/>
          </w:tcPr>
          <w:p>
            <w:pPr>
              <w:spacing w:after="0" w:line="247" w:lineRule="auto"/>
            </w:pPr>
            <w:r>
              <w:rPr>
                <w:sz w:val="18"/>
              </w:rPr>
              <w:t>Source and decision status for all relationships</w:t>
            </w:r>
          </w:p>
        </w:tc>
      </w:tr>
      <w:tr>
        <w:trPr>
          <w:cantSplit/>
        </w:trPr>
        <w:tc>
          <w:tcPr>
            <w:tcW w:type="dxa" w:w="3917"/>
            <w:vAlign w:val="center"/>
            <w:tcMar>
              <w:top w:w="72" w:type="dxa"/>
              <w:bottom w:w="72" w:type="dxa"/>
              <w:left w:w="90" w:type="dxa"/>
              <w:right w:w="90" w:type="dxa"/>
            </w:tcMar>
          </w:tcPr>
          <w:p>
            <w:pPr>
              <w:spacing w:after="0" w:line="247" w:lineRule="auto"/>
            </w:pPr>
            <w:r>
              <w:rPr>
                <w:sz w:val="18"/>
              </w:rPr>
              <w:t>10. Declaration, compatibility, and implementation claims</w:t>
            </w:r>
          </w:p>
        </w:tc>
        <w:tc>
          <w:tcPr>
            <w:tcW w:type="dxa" w:w="3168"/>
            <w:vAlign w:val="center"/>
            <w:tcMar>
              <w:top w:w="72" w:type="dxa"/>
              <w:bottom w:w="72" w:type="dxa"/>
              <w:left w:w="90" w:type="dxa"/>
              <w:right w:w="90" w:type="dxa"/>
            </w:tcMar>
          </w:tcPr>
          <w:p>
            <w:pPr>
              <w:spacing w:after="0" w:line="247" w:lineRule="auto"/>
            </w:pPr>
            <w:r>
              <w:rPr>
                <w:sz w:val="18"/>
              </w:rPr>
              <w:t>§§5.2, 7–8</w:t>
            </w:r>
          </w:p>
        </w:tc>
        <w:tc>
          <w:tcPr>
            <w:tcW w:type="dxa" w:w="2794"/>
            <w:vAlign w:val="center"/>
            <w:tcMar>
              <w:top w:w="72" w:type="dxa"/>
              <w:bottom w:w="72" w:type="dxa"/>
              <w:left w:w="90" w:type="dxa"/>
              <w:right w:w="90" w:type="dxa"/>
            </w:tcMar>
          </w:tcPr>
          <w:p>
            <w:pPr>
              <w:spacing w:after="0" w:line="247" w:lineRule="auto"/>
            </w:pPr>
            <w:r>
              <w:rPr>
                <w:sz w:val="18"/>
              </w:rPr>
              <w:t>Producer and consumer responsibilities</w:t>
            </w:r>
          </w:p>
        </w:tc>
      </w:tr>
      <w:tr>
        <w:trPr>
          <w:cantSplit/>
        </w:trPr>
        <w:tc>
          <w:tcPr>
            <w:tcW w:type="dxa" w:w="3917"/>
            <w:vAlign w:val="center"/>
            <w:tcMar>
              <w:top w:w="72" w:type="dxa"/>
              <w:bottom w:w="72" w:type="dxa"/>
              <w:left w:w="90" w:type="dxa"/>
              <w:right w:w="90" w:type="dxa"/>
            </w:tcMar>
            <w:shd w:fill="F2F6F7"/>
          </w:tcPr>
          <w:p>
            <w:pPr>
              <w:spacing w:after="0" w:line="247" w:lineRule="auto"/>
            </w:pPr>
            <w:r>
              <w:rPr>
                <w:sz w:val="18"/>
              </w:rPr>
              <w:t>11. Continuing review and coordinated documents</w:t>
            </w:r>
          </w:p>
        </w:tc>
        <w:tc>
          <w:tcPr>
            <w:tcW w:type="dxa" w:w="3168"/>
            <w:vAlign w:val="center"/>
            <w:tcMar>
              <w:top w:w="72" w:type="dxa"/>
              <w:bottom w:w="72" w:type="dxa"/>
              <w:left w:w="90" w:type="dxa"/>
              <w:right w:w="90" w:type="dxa"/>
            </w:tcMar>
            <w:shd w:fill="F2F6F7"/>
          </w:tcPr>
          <w:p>
            <w:pPr>
              <w:spacing w:after="0" w:line="247" w:lineRule="auto"/>
            </w:pPr>
            <w:r>
              <w:rPr>
                <w:sz w:val="18"/>
              </w:rPr>
              <w:t>§§5.14.3, 9, 11.2</w:t>
            </w:r>
          </w:p>
        </w:tc>
        <w:tc>
          <w:tcPr>
            <w:tcW w:type="dxa" w:w="2794"/>
            <w:vAlign w:val="center"/>
            <w:tcMar>
              <w:top w:w="72" w:type="dxa"/>
              <w:bottom w:w="72" w:type="dxa"/>
              <w:left w:w="90" w:type="dxa"/>
              <w:right w:w="90" w:type="dxa"/>
            </w:tcMar>
            <w:shd w:fill="F2F6F7"/>
          </w:tcPr>
          <w:p>
            <w:pPr>
              <w:spacing w:after="0" w:line="247" w:lineRule="auto"/>
            </w:pPr>
            <w:r>
              <w:rPr>
                <w:sz w:val="18"/>
              </w:rPr>
              <w:t>Next decisions; no technical revision in this primer</w:t>
            </w:r>
          </w:p>
        </w:tc>
      </w:tr>
    </w:tbl>
    <w:p>
      <w:pPr>
        <w:spacing w:after="40" w:before="40" w:line="240" w:lineRule="auto"/>
      </w:pPr>
      <w:r>
        <w:rPr>
          <w:sz w:val="2"/>
        </w:rPr>
      </w:r>
    </w:p>
    <w:p>
      <w:r>
        <w:t xml:space="preserve">The exact fragment source chain can be recovered without replaying the discussion. Begin with the SensorML </w:t>
      </w:r>
      <w:r>
        <w:rPr>
          <w:rFonts w:ascii="DejaVu Sans Mono" w:hAnsi="DejaVu Sans Mono"/>
          <w:sz w:val="18"/>
        </w:rPr>
        <w:t>CharacteristicList</w:t>
      </w:r>
      <w:r>
        <w:t xml:space="preserve">, </w:t>
      </w:r>
      <w:r>
        <w:rPr>
          <w:rFonts w:ascii="DejaVu Sans Mono" w:hAnsi="DejaVu Sans Mono"/>
          <w:sz w:val="18"/>
        </w:rPr>
        <w:t>CapabilityList</w:t>
      </w:r>
      <w:r>
        <w:t xml:space="preserve">, or </w:t>
      </w:r>
      <w:r>
        <w:rPr>
          <w:rFonts w:ascii="DejaVu Sans Mono" w:hAnsi="DejaVu Sans Mono"/>
          <w:sz w:val="18"/>
        </w:rPr>
        <w:t>Event</w:t>
      </w:r>
      <w:r>
        <w:t xml:space="preserve"> definition, follow the </w:t>
      </w:r>
      <w:r>
        <w:rPr>
          <w:rFonts w:ascii="DejaVu Sans Mono" w:hAnsi="DejaVu Sans Mono"/>
          <w:sz w:val="18"/>
        </w:rPr>
        <w:t>sweCommonDefs.json</w:t>
      </w:r>
      <w:r>
        <w:t xml:space="preserve"> alias, then read SWE Common’s </w:t>
      </w:r>
      <w:r>
        <w:rPr>
          <w:rFonts w:ascii="DejaVu Sans Mono" w:hAnsi="DejaVu Sans Mono"/>
          <w:sz w:val="18"/>
        </w:rPr>
        <w:t>AbstractSweIdentifiable.json</w:t>
      </w:r>
      <w:r>
        <w:t xml:space="preserve"> and </w:t>
      </w:r>
      <w:r>
        <w:rPr>
          <w:rFonts w:ascii="DejaVu Sans Mono" w:hAnsi="DejaVu Sans Mono"/>
          <w:sz w:val="18"/>
        </w:rPr>
        <w:t>basicTypes.json</w:t>
      </w:r>
      <w:r>
        <w:t xml:space="preserve">. The </w:t>
      </w:r>
      <w:r>
        <w:rPr>
          <w:rFonts w:ascii="DejaVu Sans Mono" w:hAnsi="DejaVu Sans Mono"/>
          <w:sz w:val="18"/>
        </w:rPr>
        <w:t>id</w:t>
      </w:r>
      <w:r>
        <w:t xml:space="preserve"> annotation is at </w:t>
      </w:r>
      <w:r>
        <w:rPr>
          <w:rFonts w:ascii="DejaVu Sans Mono" w:hAnsi="DejaVu Sans Mono"/>
          <w:sz w:val="18"/>
        </w:rPr>
        <w:t>$defs/AbstractSWE/properties/id</w:t>
      </w:r>
      <w:r>
        <w:t xml:space="preserve"> in the last file. The separate profile contribution is documented in §5.3; its necessity review remains in §5.14.2 (Open Geospatial Consortium n.d.-a, named schemas; n.d.-b, named schemas; </w:t>
      </w:r>
      <w:r>
        <w:rPr>
          <w:i/>
        </w:rPr>
        <w:t>Managed Physical Sensing Systems</w:t>
      </w:r>
      <w:r>
        <w:t xml:space="preserve"> 2026, §§5.3, 5.14.2).</w:t>
      </w:r>
    </w:p>
    <w:p>
      <w:r>
        <w:br w:type="page"/>
      </w:r>
    </w:p>
    <w:p>
      <w:bookmarkStart w:id="14" w:name="app_b"/>
      <w:pPr>
        <w:pStyle w:val="Heading1"/>
        <w:spacing w:before="0"/>
      </w:pPr>
      <w:r>
        <w:t>Appendix B. Acronyms and working terminology</w:t>
      </w:r>
      <w:bookmarkEnd w:id="14"/>
    </w:p>
    <w:p>
      <w:r>
        <w:t>Acronyms are expanded on first use in the narrative, with explanations where the expansion alone would not make their role clear. The glossary is a reading aid, not another list of dependencies that every implementation must adopt. Technical identifiers and publication titles preserve their source spelling; a source’s acronym does not indicate that its complete ecosystem has been selected. The explanatory meanings below summarize the usage established in the cited chapters.</w:t>
      </w:r>
    </w:p>
    <w:tbl>
      <w:tblPr>
        <w:tblW w:type="auto" w:w="0"/>
        <w:jc w:val="center"/>
        <w:tblLayout w:type="fixed"/>
        <w:tblLook w:firstColumn="1" w:firstRow="1" w:lastColumn="0" w:lastRow="0" w:noHBand="0" w:noVBand="1" w:val="04A0"/>
        <w:tblBorders>
          <w:top w:val="single" w:sz="4" w:color="D4DFE3"/>
          <w:bottom w:val="single" w:sz="4" w:color="D4DFE3"/>
          <w:insideH w:val="single" w:sz="4" w:color="D4DFE3"/>
        </w:tblBorders>
      </w:tblPr>
      <w:tblGrid>
        <w:gridCol w:w="1728"/>
        <w:gridCol w:w="8150"/>
      </w:tblGrid>
      <w:tr>
        <w:trPr>
          <w:cantSplit/>
          <w:tblHeader/>
        </w:trPr>
        <w:tc>
          <w:tcPr>
            <w:tcW w:type="dxa" w:w="1728"/>
            <w:vAlign w:val="center"/>
            <w:tcMar>
              <w:top w:w="72" w:type="dxa"/>
              <w:bottom w:w="72" w:type="dxa"/>
              <w:left w:w="90" w:type="dxa"/>
              <w:right w:w="90" w:type="dxa"/>
            </w:tcMar>
            <w:shd w:fill="193F53"/>
          </w:tcPr>
          <w:p>
            <w:pPr>
              <w:spacing w:after="0" w:line="247" w:lineRule="auto"/>
            </w:pPr>
            <w:r>
              <w:rPr>
                <w:b/>
                <w:color w:val="FFFFFF"/>
                <w:sz w:val="18"/>
              </w:rPr>
              <w:t>Term</w:t>
            </w:r>
          </w:p>
        </w:tc>
        <w:tc>
          <w:tcPr>
            <w:tcW w:type="dxa" w:w="8150"/>
            <w:vAlign w:val="center"/>
            <w:tcMar>
              <w:top w:w="72" w:type="dxa"/>
              <w:bottom w:w="72" w:type="dxa"/>
              <w:left w:w="90" w:type="dxa"/>
              <w:right w:w="90" w:type="dxa"/>
            </w:tcMar>
            <w:shd w:fill="193F53"/>
          </w:tcPr>
          <w:p>
            <w:pPr>
              <w:spacing w:after="0" w:line="247" w:lineRule="auto"/>
            </w:pPr>
            <w:r>
              <w:rPr>
                <w:b/>
                <w:color w:val="FFFFFF"/>
                <w:sz w:val="18"/>
              </w:rPr>
              <w:t>Expansion or meaning in this primer</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AAS</w:t>
            </w:r>
          </w:p>
        </w:tc>
        <w:tc>
          <w:tcPr>
            <w:tcW w:type="dxa" w:w="8150"/>
            <w:vAlign w:val="center"/>
            <w:tcMar>
              <w:top w:w="72" w:type="dxa"/>
              <w:bottom w:w="72" w:type="dxa"/>
              <w:left w:w="90" w:type="dxa"/>
              <w:right w:w="90" w:type="dxa"/>
            </w:tcMar>
            <w:shd w:fill="F2F6F7"/>
          </w:tcPr>
          <w:p>
            <w:pPr>
              <w:spacing w:after="0" w:line="247" w:lineRule="auto"/>
            </w:pPr>
            <w:r>
              <w:rPr>
                <w:sz w:val="18"/>
              </w:rPr>
              <w:t>Asset Administration Shell. An asset-description framework whose submodels describe particular aspects of an asset.</w:t>
            </w:r>
          </w:p>
        </w:tc>
      </w:tr>
      <w:tr>
        <w:trPr>
          <w:cantSplit/>
        </w:trPr>
        <w:tc>
          <w:tcPr>
            <w:tcW w:type="dxa" w:w="1728"/>
            <w:vAlign w:val="center"/>
            <w:tcMar>
              <w:top w:w="72" w:type="dxa"/>
              <w:bottom w:w="72" w:type="dxa"/>
              <w:left w:w="90" w:type="dxa"/>
              <w:right w:w="90" w:type="dxa"/>
            </w:tcMar>
          </w:tcPr>
          <w:p>
            <w:pPr>
              <w:spacing w:after="0" w:line="247" w:lineRule="auto"/>
            </w:pPr>
            <w:r>
              <w:rPr>
                <w:sz w:val="18"/>
              </w:rPr>
              <w:t>API</w:t>
            </w:r>
          </w:p>
        </w:tc>
        <w:tc>
          <w:tcPr>
            <w:tcW w:type="dxa" w:w="8150"/>
            <w:vAlign w:val="center"/>
            <w:tcMar>
              <w:top w:w="72" w:type="dxa"/>
              <w:bottom w:w="72" w:type="dxa"/>
              <w:left w:w="90" w:type="dxa"/>
              <w:right w:w="90" w:type="dxa"/>
            </w:tcMar>
          </w:tcPr>
          <w:p>
            <w:pPr>
              <w:spacing w:after="0" w:line="247" w:lineRule="auto"/>
            </w:pPr>
            <w:r>
              <w:rPr>
                <w:sz w:val="18"/>
              </w:rPr>
              <w:t>Application programming interface. The software-access contract; it does not independently supply all domain meanings.</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CCOM</w:t>
            </w:r>
          </w:p>
        </w:tc>
        <w:tc>
          <w:tcPr>
            <w:tcW w:type="dxa" w:w="8150"/>
            <w:vAlign w:val="center"/>
            <w:tcMar>
              <w:top w:w="72" w:type="dxa"/>
              <w:bottom w:w="72" w:type="dxa"/>
              <w:left w:w="90" w:type="dxa"/>
              <w:right w:w="90" w:type="dxa"/>
            </w:tcMar>
            <w:shd w:fill="F2F6F7"/>
          </w:tcPr>
          <w:p>
            <w:pPr>
              <w:spacing w:after="0" w:line="247" w:lineRule="auto"/>
            </w:pPr>
            <w:r>
              <w:rPr>
                <w:sz w:val="18"/>
              </w:rPr>
              <w:t>Common Conceptual Object Model. MIMOSA’s asset-information model; the detailed artifact inspected here is from the 4.1.0-RC1 package.</w:t>
            </w:r>
          </w:p>
        </w:tc>
      </w:tr>
      <w:tr>
        <w:trPr>
          <w:cantSplit/>
        </w:trPr>
        <w:tc>
          <w:tcPr>
            <w:tcW w:type="dxa" w:w="1728"/>
            <w:vAlign w:val="center"/>
            <w:tcMar>
              <w:top w:w="72" w:type="dxa"/>
              <w:bottom w:w="72" w:type="dxa"/>
              <w:left w:w="90" w:type="dxa"/>
              <w:right w:w="90" w:type="dxa"/>
            </w:tcMar>
          </w:tcPr>
          <w:p>
            <w:pPr>
              <w:spacing w:after="0" w:line="247" w:lineRule="auto"/>
            </w:pPr>
            <w:r>
              <w:rPr>
                <w:sz w:val="18"/>
              </w:rPr>
              <w:t>CSAPI</w:t>
            </w:r>
          </w:p>
        </w:tc>
        <w:tc>
          <w:tcPr>
            <w:tcW w:type="dxa" w:w="8150"/>
            <w:vAlign w:val="center"/>
            <w:tcMar>
              <w:top w:w="72" w:type="dxa"/>
              <w:bottom w:w="72" w:type="dxa"/>
              <w:left w:w="90" w:type="dxa"/>
              <w:right w:w="90" w:type="dxa"/>
            </w:tcMar>
          </w:tcPr>
          <w:p>
            <w:pPr>
              <w:spacing w:after="0" w:line="247" w:lineRule="auto"/>
            </w:pPr>
            <w:r>
              <w:rPr>
                <w:sz w:val="18"/>
              </w:rPr>
              <w:t>The project’s short name for OGC API – Connected Systems, the base resource and interaction framework.</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DISR</w:t>
            </w:r>
          </w:p>
        </w:tc>
        <w:tc>
          <w:tcPr>
            <w:tcW w:type="dxa" w:w="8150"/>
            <w:vAlign w:val="center"/>
            <w:tcMar>
              <w:top w:w="72" w:type="dxa"/>
              <w:bottom w:w="72" w:type="dxa"/>
              <w:left w:w="90" w:type="dxa"/>
              <w:right w:w="90" w:type="dxa"/>
            </w:tcMar>
            <w:shd w:fill="F2F6F7"/>
          </w:tcPr>
          <w:p>
            <w:pPr>
              <w:spacing w:after="0" w:line="247" w:lineRule="auto"/>
            </w:pPr>
            <w:r>
              <w:rPr>
                <w:sz w:val="18"/>
              </w:rPr>
              <w:t>Department of Defense Information Technology Standards Registry. Its supplied export is the authoritative baseline for this investigation.</w:t>
            </w:r>
          </w:p>
        </w:tc>
      </w:tr>
      <w:tr>
        <w:trPr>
          <w:cantSplit/>
        </w:trPr>
        <w:tc>
          <w:tcPr>
            <w:tcW w:type="dxa" w:w="1728"/>
            <w:vAlign w:val="center"/>
            <w:tcMar>
              <w:top w:w="72" w:type="dxa"/>
              <w:bottom w:w="72" w:type="dxa"/>
              <w:left w:w="90" w:type="dxa"/>
              <w:right w:w="90" w:type="dxa"/>
            </w:tcMar>
          </w:tcPr>
          <w:p>
            <w:pPr>
              <w:spacing w:after="0" w:line="247" w:lineRule="auto"/>
            </w:pPr>
            <w:r>
              <w:rPr>
                <w:sz w:val="18"/>
              </w:rPr>
              <w:t>HTTP</w:t>
            </w:r>
          </w:p>
        </w:tc>
        <w:tc>
          <w:tcPr>
            <w:tcW w:type="dxa" w:w="8150"/>
            <w:vAlign w:val="center"/>
            <w:tcMar>
              <w:top w:w="72" w:type="dxa"/>
              <w:bottom w:w="72" w:type="dxa"/>
              <w:left w:w="90" w:type="dxa"/>
              <w:right w:w="90" w:type="dxa"/>
            </w:tcMar>
          </w:tcPr>
          <w:p>
            <w:pPr>
              <w:spacing w:after="0" w:line="247" w:lineRule="auto"/>
            </w:pPr>
            <w:r>
              <w:rPr>
                <w:sz w:val="18"/>
              </w:rPr>
              <w:t>Hypertext Transfer Protocol. The Web request/response protocol used for the proposed profile declaration in a Link header.</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IEC / ISO</w:t>
            </w:r>
          </w:p>
        </w:tc>
        <w:tc>
          <w:tcPr>
            <w:tcW w:type="dxa" w:w="8150"/>
            <w:vAlign w:val="center"/>
            <w:tcMar>
              <w:top w:w="72" w:type="dxa"/>
              <w:bottom w:w="72" w:type="dxa"/>
              <w:left w:w="90" w:type="dxa"/>
              <w:right w:w="90" w:type="dxa"/>
            </w:tcMar>
            <w:shd w:fill="F2F6F7"/>
          </w:tcPr>
          <w:p>
            <w:pPr>
              <w:spacing w:after="0" w:line="247" w:lineRule="auto"/>
            </w:pPr>
            <w:r>
              <w:rPr>
                <w:sz w:val="18"/>
              </w:rPr>
              <w:t>International Electrotechnical Commission / International Organization for Standardization. Joint publishers of the sensor-network reference series cited here.</w:t>
            </w:r>
          </w:p>
        </w:tc>
      </w:tr>
      <w:tr>
        <w:trPr>
          <w:cantSplit/>
        </w:trPr>
        <w:tc>
          <w:tcPr>
            <w:tcW w:type="dxa" w:w="1728"/>
            <w:vAlign w:val="center"/>
            <w:tcMar>
              <w:top w:w="72" w:type="dxa"/>
              <w:bottom w:w="72" w:type="dxa"/>
              <w:left w:w="90" w:type="dxa"/>
              <w:right w:w="90" w:type="dxa"/>
            </w:tcMar>
          </w:tcPr>
          <w:p>
            <w:pPr>
              <w:spacing w:after="0" w:line="247" w:lineRule="auto"/>
            </w:pPr>
            <w:r>
              <w:rPr>
                <w:sz w:val="18"/>
              </w:rPr>
              <w:t>IETF</w:t>
            </w:r>
          </w:p>
        </w:tc>
        <w:tc>
          <w:tcPr>
            <w:tcW w:type="dxa" w:w="8150"/>
            <w:vAlign w:val="center"/>
            <w:tcMar>
              <w:top w:w="72" w:type="dxa"/>
              <w:bottom w:w="72" w:type="dxa"/>
              <w:left w:w="90" w:type="dxa"/>
              <w:right w:w="90" w:type="dxa"/>
            </w:tcMar>
          </w:tcPr>
          <w:p>
            <w:pPr>
              <w:spacing w:after="0" w:line="247" w:lineRule="auto"/>
            </w:pPr>
            <w:r>
              <w:rPr>
                <w:sz w:val="18"/>
              </w:rPr>
              <w:t>Internet Engineering Task Force. The standards organization responsible for several network-management publications used in the research.</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IF-MIB</w:t>
            </w:r>
          </w:p>
        </w:tc>
        <w:tc>
          <w:tcPr>
            <w:tcW w:type="dxa" w:w="8150"/>
            <w:vAlign w:val="center"/>
            <w:tcMar>
              <w:top w:w="72" w:type="dxa"/>
              <w:bottom w:w="72" w:type="dxa"/>
              <w:left w:w="90" w:type="dxa"/>
              <w:right w:w="90" w:type="dxa"/>
            </w:tcMar>
            <w:shd w:fill="F2F6F7"/>
          </w:tcPr>
          <w:p>
            <w:pPr>
              <w:spacing w:after="0" w:line="247" w:lineRule="auto"/>
            </w:pPr>
            <w:r>
              <w:rPr>
                <w:sz w:val="18"/>
              </w:rPr>
              <w:t>Interfaces Group Management Information Base. The interface-management information specified in RFC 2863 and related to RFC 8343.</w:t>
            </w:r>
          </w:p>
        </w:tc>
      </w:tr>
      <w:tr>
        <w:trPr>
          <w:cantSplit/>
        </w:trPr>
        <w:tc>
          <w:tcPr>
            <w:tcW w:type="dxa" w:w="1728"/>
            <w:vAlign w:val="center"/>
            <w:tcMar>
              <w:top w:w="72" w:type="dxa"/>
              <w:bottom w:w="72" w:type="dxa"/>
              <w:left w:w="90" w:type="dxa"/>
              <w:right w:w="90" w:type="dxa"/>
            </w:tcMar>
          </w:tcPr>
          <w:p>
            <w:pPr>
              <w:spacing w:after="0" w:line="247" w:lineRule="auto"/>
            </w:pPr>
            <w:r>
              <w:rPr>
                <w:sz w:val="18"/>
              </w:rPr>
              <w:t>JSON / XML</w:t>
            </w:r>
          </w:p>
        </w:tc>
        <w:tc>
          <w:tcPr>
            <w:tcW w:type="dxa" w:w="8150"/>
            <w:vAlign w:val="center"/>
            <w:tcMar>
              <w:top w:w="72" w:type="dxa"/>
              <w:bottom w:w="72" w:type="dxa"/>
              <w:left w:w="90" w:type="dxa"/>
              <w:right w:w="90" w:type="dxa"/>
            </w:tcMar>
          </w:tcPr>
          <w:p>
            <w:pPr>
              <w:spacing w:after="0" w:line="247" w:lineRule="auto"/>
            </w:pPr>
            <w:r>
              <w:rPr>
                <w:sz w:val="18"/>
              </w:rPr>
              <w:t>JavaScript Object Notation / Extensible Markup Language. Different representation languages; an older XML profile is not automatically a current JSON binding.</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MASINT / MERLIN</w:t>
            </w:r>
          </w:p>
        </w:tc>
        <w:tc>
          <w:tcPr>
            <w:tcW w:type="dxa" w:w="8150"/>
            <w:vAlign w:val="center"/>
            <w:tcMar>
              <w:top w:w="72" w:type="dxa"/>
              <w:bottom w:w="72" w:type="dxa"/>
              <w:left w:w="90" w:type="dxa"/>
              <w:right w:w="90" w:type="dxa"/>
            </w:tcMar>
            <w:shd w:fill="F2F6F7"/>
          </w:tcPr>
          <w:p>
            <w:pPr>
              <w:spacing w:after="0" w:line="247" w:lineRule="auto"/>
            </w:pPr>
            <w:r>
              <w:rPr>
                <w:sz w:val="18"/>
              </w:rPr>
              <w:t>Measurement and signature intelligence / MASINT Enterprise Reporting Linked Integration Network. MERLIN is the project in which this profile is being developed.</w:t>
            </w:r>
          </w:p>
        </w:tc>
      </w:tr>
      <w:tr>
        <w:trPr>
          <w:cantSplit/>
        </w:trPr>
        <w:tc>
          <w:tcPr>
            <w:tcW w:type="dxa" w:w="1728"/>
            <w:vAlign w:val="center"/>
            <w:tcMar>
              <w:top w:w="72" w:type="dxa"/>
              <w:bottom w:w="72" w:type="dxa"/>
              <w:left w:w="90" w:type="dxa"/>
              <w:right w:w="90" w:type="dxa"/>
            </w:tcMar>
          </w:tcPr>
          <w:p>
            <w:pPr>
              <w:spacing w:after="0" w:line="247" w:lineRule="auto"/>
            </w:pPr>
            <w:r>
              <w:rPr>
                <w:sz w:val="18"/>
              </w:rPr>
              <w:t>MIMOSA</w:t>
            </w:r>
          </w:p>
        </w:tc>
        <w:tc>
          <w:tcPr>
            <w:tcW w:type="dxa" w:w="8150"/>
            <w:vAlign w:val="center"/>
            <w:tcMar>
              <w:top w:w="72" w:type="dxa"/>
              <w:bottom w:w="72" w:type="dxa"/>
              <w:left w:w="90" w:type="dxa"/>
              <w:right w:w="90" w:type="dxa"/>
            </w:tcMar>
          </w:tcPr>
          <w:p>
            <w:pPr>
              <w:spacing w:after="0" w:line="247" w:lineRule="auto"/>
            </w:pPr>
            <w:r>
              <w:rPr>
                <w:sz w:val="18"/>
              </w:rPr>
              <w:t>Machinery Information Management Open Systems Alliance. The industry organization behind the asset and lifecycle references discussed here.</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ModSpec</w:t>
            </w:r>
          </w:p>
        </w:tc>
        <w:tc>
          <w:tcPr>
            <w:tcW w:type="dxa" w:w="8150"/>
            <w:vAlign w:val="center"/>
            <w:tcMar>
              <w:top w:w="72" w:type="dxa"/>
              <w:bottom w:w="72" w:type="dxa"/>
              <w:left w:w="90" w:type="dxa"/>
              <w:right w:w="90" w:type="dxa"/>
            </w:tcMar>
            <w:shd w:fill="F2F6F7"/>
          </w:tcPr>
          <w:p>
            <w:pPr>
              <w:spacing w:after="0" w:line="247" w:lineRule="auto"/>
            </w:pPr>
            <w:r>
              <w:rPr>
                <w:sz w:val="18"/>
              </w:rPr>
              <w:t xml:space="preserve">Common name for </w:t>
            </w:r>
            <w:r>
              <w:rPr>
                <w:i/>
                <w:sz w:val="18"/>
              </w:rPr>
              <w:t>The Specification Model—A Standard for Modular Specifications</w:t>
            </w:r>
            <w:r>
              <w:rPr>
                <w:sz w:val="18"/>
              </w:rPr>
              <w:t>. It structures requirements and conformance, not the sensor-domain vocabulary.</w:t>
            </w:r>
          </w:p>
        </w:tc>
      </w:tr>
      <w:tr>
        <w:trPr>
          <w:cantSplit/>
        </w:trPr>
        <w:tc>
          <w:tcPr>
            <w:tcW w:type="dxa" w:w="1728"/>
            <w:vAlign w:val="center"/>
            <w:tcMar>
              <w:top w:w="72" w:type="dxa"/>
              <w:bottom w:w="72" w:type="dxa"/>
              <w:left w:w="90" w:type="dxa"/>
              <w:right w:w="90" w:type="dxa"/>
            </w:tcMar>
          </w:tcPr>
          <w:p>
            <w:pPr>
              <w:spacing w:after="0" w:line="247" w:lineRule="auto"/>
            </w:pPr>
            <w:r>
              <w:rPr>
                <w:sz w:val="18"/>
              </w:rPr>
              <w:t>NATO</w:t>
            </w:r>
          </w:p>
        </w:tc>
        <w:tc>
          <w:tcPr>
            <w:tcW w:type="dxa" w:w="8150"/>
            <w:vAlign w:val="center"/>
            <w:tcMar>
              <w:top w:w="72" w:type="dxa"/>
              <w:bottom w:w="72" w:type="dxa"/>
              <w:left w:w="90" w:type="dxa"/>
              <w:right w:w="90" w:type="dxa"/>
            </w:tcMar>
          </w:tcPr>
          <w:p>
            <w:pPr>
              <w:spacing w:after="0" w:line="247" w:lineRule="auto"/>
            </w:pPr>
            <w:r>
              <w:rPr>
                <w:sz w:val="18"/>
              </w:rPr>
              <w:t>North Atlantic Treaty Organization. Its standards-adoption evidence is separate from technical model applicability.</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OGC</w:t>
            </w:r>
          </w:p>
        </w:tc>
        <w:tc>
          <w:tcPr>
            <w:tcW w:type="dxa" w:w="8150"/>
            <w:vAlign w:val="center"/>
            <w:tcMar>
              <w:top w:w="72" w:type="dxa"/>
              <w:bottom w:w="72" w:type="dxa"/>
              <w:left w:w="90" w:type="dxa"/>
              <w:right w:w="90" w:type="dxa"/>
            </w:tcMar>
            <w:shd w:fill="F2F6F7"/>
          </w:tcPr>
          <w:p>
            <w:pPr>
              <w:spacing w:after="0" w:line="247" w:lineRule="auto"/>
            </w:pPr>
            <w:r>
              <w:rPr>
                <w:sz w:val="18"/>
              </w:rPr>
              <w:t>Open Geospatial Consortium. Publisher of the Connected Systems, SensorML, and SWE Common standards.</w:t>
            </w:r>
          </w:p>
        </w:tc>
      </w:tr>
      <w:tr>
        <w:trPr>
          <w:cantSplit/>
        </w:trPr>
        <w:tc>
          <w:tcPr>
            <w:tcW w:type="dxa" w:w="1728"/>
            <w:vAlign w:val="center"/>
            <w:tcMar>
              <w:top w:w="72" w:type="dxa"/>
              <w:bottom w:w="72" w:type="dxa"/>
              <w:left w:w="90" w:type="dxa"/>
              <w:right w:w="90" w:type="dxa"/>
            </w:tcMar>
          </w:tcPr>
          <w:p>
            <w:pPr>
              <w:spacing w:after="0" w:line="247" w:lineRule="auto"/>
            </w:pPr>
            <w:r>
              <w:rPr>
                <w:sz w:val="18"/>
              </w:rPr>
              <w:t>OIIE</w:t>
            </w:r>
          </w:p>
        </w:tc>
        <w:tc>
          <w:tcPr>
            <w:tcW w:type="dxa" w:w="8150"/>
            <w:vAlign w:val="center"/>
            <w:tcMar>
              <w:top w:w="72" w:type="dxa"/>
              <w:bottom w:w="72" w:type="dxa"/>
              <w:left w:w="90" w:type="dxa"/>
              <w:right w:w="90" w:type="dxa"/>
            </w:tcMar>
          </w:tcPr>
          <w:p>
            <w:pPr>
              <w:spacing w:after="0" w:line="247" w:lineRule="auto"/>
            </w:pPr>
            <w:r>
              <w:rPr>
                <w:sz w:val="18"/>
              </w:rPr>
              <w:t>Open Industrial Interoperability Ecosystem. The MIMOSA-led interoperability work that includes the installation/removal scenario.</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OPC UA</w:t>
            </w:r>
          </w:p>
        </w:tc>
        <w:tc>
          <w:tcPr>
            <w:tcW w:type="dxa" w:w="8150"/>
            <w:vAlign w:val="center"/>
            <w:tcMar>
              <w:top w:w="72" w:type="dxa"/>
              <w:bottom w:w="72" w:type="dxa"/>
              <w:left w:w="90" w:type="dxa"/>
              <w:right w:w="90" w:type="dxa"/>
            </w:tcMar>
            <w:shd w:fill="F2F6F7"/>
          </w:tcPr>
          <w:p>
            <w:pPr>
              <w:spacing w:after="0" w:line="247" w:lineRule="auto"/>
            </w:pPr>
            <w:r>
              <w:rPr>
                <w:sz w:val="18"/>
              </w:rPr>
              <w:t>Open Platform Communications Unified Architecture. The Devices specification supplies grouping and composition precedents; no native OPC runtime is selected here.</w:t>
            </w:r>
          </w:p>
        </w:tc>
      </w:tr>
      <w:tr>
        <w:trPr>
          <w:cantSplit/>
        </w:trPr>
        <w:tc>
          <w:tcPr>
            <w:tcW w:type="dxa" w:w="1728"/>
            <w:vAlign w:val="center"/>
            <w:tcMar>
              <w:top w:w="72" w:type="dxa"/>
              <w:bottom w:w="72" w:type="dxa"/>
              <w:left w:w="90" w:type="dxa"/>
              <w:right w:w="90" w:type="dxa"/>
            </w:tcMar>
          </w:tcPr>
          <w:p>
            <w:pPr>
              <w:spacing w:after="0" w:line="247" w:lineRule="auto"/>
            </w:pPr>
            <w:r>
              <w:rPr>
                <w:sz w:val="18"/>
              </w:rPr>
              <w:t>OSA-EAI</w:t>
            </w:r>
          </w:p>
        </w:tc>
        <w:tc>
          <w:tcPr>
            <w:tcW w:type="dxa" w:w="8150"/>
            <w:vAlign w:val="center"/>
            <w:tcMar>
              <w:top w:w="72" w:type="dxa"/>
              <w:bottom w:w="72" w:type="dxa"/>
              <w:left w:w="90" w:type="dxa"/>
              <w:right w:w="90" w:type="dxa"/>
            </w:tcMar>
          </w:tcPr>
          <w:p>
            <w:pPr>
              <w:spacing w:after="0" w:line="247" w:lineRule="auto"/>
            </w:pPr>
            <w:r>
              <w:rPr>
                <w:sz w:val="18"/>
              </w:rPr>
              <w:t>Open Systems Architecture for Enterprise Application Integration. A MIMOSA specification family; its listed edition is not interchangeable with the inspected CCOM package.</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OSUS / OSUS-R</w:t>
            </w:r>
          </w:p>
        </w:tc>
        <w:tc>
          <w:tcPr>
            <w:tcW w:type="dxa" w:w="8150"/>
            <w:vAlign w:val="center"/>
            <w:tcMar>
              <w:top w:w="72" w:type="dxa"/>
              <w:bottom w:w="72" w:type="dxa"/>
              <w:left w:w="90" w:type="dxa"/>
              <w:right w:w="90" w:type="dxa"/>
            </w:tcMar>
            <w:shd w:fill="F2F6F7"/>
          </w:tcPr>
          <w:p>
            <w:pPr>
              <w:spacing w:after="0" w:line="247" w:lineRule="auto"/>
            </w:pPr>
            <w:r>
              <w:rPr>
                <w:sz w:val="18"/>
              </w:rPr>
              <w:t>Open Standard for Unattended Sensors / its reference implementation. The inspected code is evidence of a managed-device abstraction.</w:t>
            </w:r>
          </w:p>
        </w:tc>
      </w:tr>
      <w:tr>
        <w:trPr>
          <w:cantSplit/>
        </w:trPr>
        <w:tc>
          <w:tcPr>
            <w:tcW w:type="dxa" w:w="1728"/>
            <w:vAlign w:val="center"/>
            <w:tcMar>
              <w:top w:w="72" w:type="dxa"/>
              <w:bottom w:w="72" w:type="dxa"/>
              <w:left w:w="90" w:type="dxa"/>
              <w:right w:w="90" w:type="dxa"/>
            </w:tcMar>
          </w:tcPr>
          <w:p>
            <w:pPr>
              <w:spacing w:after="0" w:line="247" w:lineRule="auto"/>
            </w:pPr>
            <w:r>
              <w:rPr>
                <w:sz w:val="18"/>
              </w:rPr>
              <w:t>PITON</w:t>
            </w:r>
          </w:p>
        </w:tc>
        <w:tc>
          <w:tcPr>
            <w:tcW w:type="dxa" w:w="8150"/>
            <w:vAlign w:val="center"/>
            <w:tcMar>
              <w:top w:w="72" w:type="dxa"/>
              <w:bottom w:w="72" w:type="dxa"/>
              <w:left w:w="90" w:type="dxa"/>
              <w:right w:w="90" w:type="dxa"/>
            </w:tcMar>
          </w:tcPr>
          <w:p>
            <w:pPr>
              <w:spacing w:after="0" w:line="247" w:lineRule="auto"/>
            </w:pPr>
            <w:r>
              <w:rPr>
                <w:sz w:val="18"/>
              </w:rPr>
              <w:t>Project label for a continuity handoff. No invented acronym expansion or external methodology is implied.</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RFC</w:t>
            </w:r>
          </w:p>
        </w:tc>
        <w:tc>
          <w:tcPr>
            <w:tcW w:type="dxa" w:w="8150"/>
            <w:vAlign w:val="center"/>
            <w:tcMar>
              <w:top w:w="72" w:type="dxa"/>
              <w:bottom w:w="72" w:type="dxa"/>
              <w:left w:w="90" w:type="dxa"/>
              <w:right w:w="90" w:type="dxa"/>
            </w:tcMar>
            <w:shd w:fill="F2F6F7"/>
          </w:tcPr>
          <w:p>
            <w:pPr>
              <w:spacing w:after="0" w:line="247" w:lineRule="auto"/>
            </w:pPr>
            <w:r>
              <w:rPr>
                <w:sz w:val="18"/>
              </w:rPr>
              <w:t>Request for Comments. A numbered publication in the RFC Series; informational and standards-track publications have different standing.</w:t>
            </w:r>
          </w:p>
        </w:tc>
      </w:tr>
      <w:tr>
        <w:trPr>
          <w:cantSplit/>
        </w:trPr>
        <w:tc>
          <w:tcPr>
            <w:tcW w:type="dxa" w:w="1728"/>
            <w:vAlign w:val="center"/>
            <w:tcMar>
              <w:top w:w="72" w:type="dxa"/>
              <w:bottom w:w="72" w:type="dxa"/>
              <w:left w:w="90" w:type="dxa"/>
              <w:right w:w="90" w:type="dxa"/>
            </w:tcMar>
          </w:tcPr>
          <w:p>
            <w:pPr>
              <w:spacing w:after="0" w:line="247" w:lineRule="auto"/>
            </w:pPr>
            <w:r>
              <w:rPr>
                <w:sz w:val="18"/>
              </w:rPr>
              <w:t>SensorML</w:t>
            </w:r>
          </w:p>
        </w:tc>
        <w:tc>
          <w:tcPr>
            <w:tcW w:type="dxa" w:w="8150"/>
            <w:vAlign w:val="center"/>
            <w:tcMar>
              <w:top w:w="72" w:type="dxa"/>
              <w:bottom w:w="72" w:type="dxa"/>
              <w:left w:w="90" w:type="dxa"/>
              <w:right w:w="90" w:type="dxa"/>
            </w:tcMar>
          </w:tcPr>
          <w:p>
            <w:pPr>
              <w:spacing w:after="0" w:line="247" w:lineRule="auto"/>
            </w:pPr>
            <w:r>
              <w:rPr>
                <w:sz w:val="18"/>
              </w:rPr>
              <w:t>Sensor Model Language. The descriptive framework for processes, systems, and deployment-related information.</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SNMP</w:t>
            </w:r>
          </w:p>
        </w:tc>
        <w:tc>
          <w:tcPr>
            <w:tcW w:type="dxa" w:w="8150"/>
            <w:vAlign w:val="center"/>
            <w:tcMar>
              <w:top w:w="72" w:type="dxa"/>
              <w:bottom w:w="72" w:type="dxa"/>
              <w:left w:w="90" w:type="dxa"/>
              <w:right w:w="90" w:type="dxa"/>
            </w:tcMar>
            <w:shd w:fill="F2F6F7"/>
          </w:tcPr>
          <w:p>
            <w:pPr>
              <w:spacing w:after="0" w:line="247" w:lineRule="auto"/>
            </w:pPr>
            <w:r>
              <w:rPr>
                <w:sz w:val="18"/>
              </w:rPr>
              <w:t>Simple Network Management Protocol. A native management protocol, not selected merely by translating a managed-object definition.</w:t>
            </w:r>
          </w:p>
        </w:tc>
      </w:tr>
      <w:tr>
        <w:trPr>
          <w:cantSplit/>
        </w:trPr>
        <w:tc>
          <w:tcPr>
            <w:tcW w:type="dxa" w:w="1728"/>
            <w:vAlign w:val="center"/>
            <w:tcMar>
              <w:top w:w="72" w:type="dxa"/>
              <w:bottom w:w="72" w:type="dxa"/>
              <w:left w:w="90" w:type="dxa"/>
              <w:right w:w="90" w:type="dxa"/>
            </w:tcMar>
          </w:tcPr>
          <w:p>
            <w:pPr>
              <w:spacing w:after="0" w:line="247" w:lineRule="auto"/>
            </w:pPr>
            <w:r>
              <w:rPr>
                <w:sz w:val="18"/>
              </w:rPr>
              <w:t>SNRA</w:t>
            </w:r>
          </w:p>
        </w:tc>
        <w:tc>
          <w:tcPr>
            <w:tcW w:type="dxa" w:w="8150"/>
            <w:vAlign w:val="center"/>
            <w:tcMar>
              <w:top w:w="72" w:type="dxa"/>
              <w:bottom w:w="72" w:type="dxa"/>
              <w:left w:w="90" w:type="dxa"/>
              <w:right w:w="90" w:type="dxa"/>
            </w:tcMar>
          </w:tcPr>
          <w:p>
            <w:pPr>
              <w:spacing w:after="0" w:line="247" w:lineRule="auto"/>
            </w:pPr>
            <w:r>
              <w:rPr>
                <w:sz w:val="18"/>
              </w:rPr>
              <w:t>Sensor Network Reference Architecture. The family and coverage reference, not a complete imported sensor-domain dictionary.</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STANAG</w:t>
            </w:r>
          </w:p>
        </w:tc>
        <w:tc>
          <w:tcPr>
            <w:tcW w:type="dxa" w:w="8150"/>
            <w:vAlign w:val="center"/>
            <w:tcMar>
              <w:top w:w="72" w:type="dxa"/>
              <w:bottom w:w="72" w:type="dxa"/>
              <w:left w:w="90" w:type="dxa"/>
              <w:right w:w="90" w:type="dxa"/>
            </w:tcMar>
            <w:shd w:fill="F2F6F7"/>
          </w:tcPr>
          <w:p>
            <w:pPr>
              <w:spacing w:after="0" w:line="247" w:lineRule="auto"/>
            </w:pPr>
            <w:r>
              <w:rPr>
                <w:sz w:val="18"/>
              </w:rPr>
              <w:t>Standardization Agreement. It appears in the title of the project briefing used for project-name provenance.</w:t>
            </w:r>
          </w:p>
        </w:tc>
      </w:tr>
      <w:tr>
        <w:trPr>
          <w:cantSplit/>
        </w:trPr>
        <w:tc>
          <w:tcPr>
            <w:tcW w:type="dxa" w:w="1728"/>
            <w:vAlign w:val="center"/>
            <w:tcMar>
              <w:top w:w="72" w:type="dxa"/>
              <w:bottom w:w="72" w:type="dxa"/>
              <w:left w:w="90" w:type="dxa"/>
              <w:right w:w="90" w:type="dxa"/>
            </w:tcMar>
          </w:tcPr>
          <w:p>
            <w:pPr>
              <w:spacing w:after="0" w:line="247" w:lineRule="auto"/>
            </w:pPr>
            <w:r>
              <w:rPr>
                <w:sz w:val="18"/>
              </w:rPr>
              <w:t>SWE</w:t>
            </w:r>
          </w:p>
        </w:tc>
        <w:tc>
          <w:tcPr>
            <w:tcW w:type="dxa" w:w="8150"/>
            <w:vAlign w:val="center"/>
            <w:tcMar>
              <w:top w:w="72" w:type="dxa"/>
              <w:bottom w:w="72" w:type="dxa"/>
              <w:left w:w="90" w:type="dxa"/>
              <w:right w:w="90" w:type="dxa"/>
            </w:tcMar>
          </w:tcPr>
          <w:p>
            <w:pPr>
              <w:spacing w:after="0" w:line="247" w:lineRule="auto"/>
            </w:pPr>
            <w:r>
              <w:rPr>
                <w:sz w:val="18"/>
              </w:rPr>
              <w:t>Sensor Web Enablement. SWE Common provides typed data descriptions, including definitions, labels, and units.</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TRSS / UGS</w:t>
            </w:r>
          </w:p>
        </w:tc>
        <w:tc>
          <w:tcPr>
            <w:tcW w:type="dxa" w:w="8150"/>
            <w:vAlign w:val="center"/>
            <w:tcMar>
              <w:top w:w="72" w:type="dxa"/>
              <w:bottom w:w="72" w:type="dxa"/>
              <w:left w:w="90" w:type="dxa"/>
              <w:right w:w="90" w:type="dxa"/>
            </w:tcMar>
            <w:shd w:fill="F2F6F7"/>
          </w:tcPr>
          <w:p>
            <w:pPr>
              <w:spacing w:after="0" w:line="247" w:lineRule="auto"/>
            </w:pPr>
            <w:r>
              <w:rPr>
                <w:sz w:val="18"/>
              </w:rPr>
              <w:t>Tactical Remote Sensor System / unattended ground sensor. TRSS and OmniSense remain application cases within the wider physical-sensing-system family.</w:t>
            </w:r>
          </w:p>
        </w:tc>
      </w:tr>
      <w:tr>
        <w:trPr>
          <w:cantSplit/>
        </w:trPr>
        <w:tc>
          <w:tcPr>
            <w:tcW w:type="dxa" w:w="1728"/>
            <w:vAlign w:val="center"/>
            <w:tcMar>
              <w:top w:w="72" w:type="dxa"/>
              <w:bottom w:w="72" w:type="dxa"/>
              <w:left w:w="90" w:type="dxa"/>
              <w:right w:w="90" w:type="dxa"/>
            </w:tcMar>
          </w:tcPr>
          <w:p>
            <w:pPr>
              <w:spacing w:after="0" w:line="247" w:lineRule="auto"/>
            </w:pPr>
            <w:r>
              <w:rPr>
                <w:sz w:val="18"/>
              </w:rPr>
              <w:t>URI / URL</w:t>
            </w:r>
          </w:p>
        </w:tc>
        <w:tc>
          <w:tcPr>
            <w:tcW w:type="dxa" w:w="8150"/>
            <w:vAlign w:val="center"/>
            <w:tcMar>
              <w:top w:w="72" w:type="dxa"/>
              <w:bottom w:w="72" w:type="dxa"/>
              <w:left w:w="90" w:type="dxa"/>
              <w:right w:w="90" w:type="dxa"/>
            </w:tcMar>
          </w:tcPr>
          <w:p>
            <w:pPr>
              <w:spacing w:after="0" w:line="247" w:lineRule="auto"/>
            </w:pPr>
            <w:r>
              <w:rPr>
                <w:sz w:val="18"/>
              </w:rPr>
              <w:t>Uniform Resource Identifier / Uniform Resource Locator. The first identifies; the second is a location-oriented form used for retrieval. A fragment’s interpretation depends on the representation.</w:t>
            </w:r>
          </w:p>
        </w:tc>
      </w:tr>
      <w:tr>
        <w:trPr>
          <w:cantSplit/>
        </w:trPr>
        <w:tc>
          <w:tcPr>
            <w:tcW w:type="dxa" w:w="1728"/>
            <w:vAlign w:val="center"/>
            <w:tcMar>
              <w:top w:w="72" w:type="dxa"/>
              <w:bottom w:w="72" w:type="dxa"/>
              <w:left w:w="90" w:type="dxa"/>
              <w:right w:w="90" w:type="dxa"/>
            </w:tcMar>
            <w:shd w:fill="F2F6F7"/>
          </w:tcPr>
          <w:p>
            <w:pPr>
              <w:spacing w:after="0" w:line="247" w:lineRule="auto"/>
            </w:pPr>
            <w:r>
              <w:rPr>
                <w:sz w:val="18"/>
              </w:rPr>
              <w:t>YANG</w:t>
            </w:r>
          </w:p>
        </w:tc>
        <w:tc>
          <w:tcPr>
            <w:tcW w:type="dxa" w:w="8150"/>
            <w:vAlign w:val="center"/>
            <w:tcMar>
              <w:top w:w="72" w:type="dxa"/>
              <w:bottom w:w="72" w:type="dxa"/>
              <w:left w:w="90" w:type="dxa"/>
              <w:right w:w="90" w:type="dxa"/>
            </w:tcMar>
            <w:shd w:fill="F2F6F7"/>
          </w:tcPr>
          <w:p>
            <w:pPr>
              <w:spacing w:after="0" w:line="247" w:lineRule="auto"/>
            </w:pPr>
            <w:r>
              <w:rPr>
                <w:sz w:val="18"/>
              </w:rPr>
              <w:t>Yet Another Next Generation. A data-modeling language used for network-management information, not another sensor product.</w:t>
            </w:r>
          </w:p>
        </w:tc>
      </w:tr>
    </w:tbl>
    <w:p>
      <w:pPr>
        <w:spacing w:after="40" w:before="40" w:line="240" w:lineRule="auto"/>
      </w:pPr>
      <w:r>
        <w:rPr>
          <w:sz w:val="2"/>
        </w:rPr>
      </w:r>
    </w:p>
    <w:p>
      <w:r>
        <w:t xml:space="preserve">A </w:t>
      </w:r>
      <w:r>
        <w:rPr>
          <w:b/>
        </w:rPr>
        <w:t>domain model</w:t>
      </w:r>
      <w:r>
        <w:t xml:space="preserve"> defines the domain’s substantive things and relationships, while a </w:t>
      </w:r>
      <w:r>
        <w:rPr>
          <w:b/>
        </w:rPr>
        <w:t>binding</w:t>
      </w:r>
      <w:r>
        <w:t xml:space="preserve"> specifies how selected information is expressed in a particular representation. An </w:t>
      </w:r>
      <w:r>
        <w:rPr>
          <w:b/>
        </w:rPr>
        <w:t>application profile</w:t>
      </w:r>
      <w:r>
        <w:t xml:space="preserve"> coordinates the requirements for a particular use of base specifications; a </w:t>
      </w:r>
      <w:r>
        <w:rPr>
          <w:b/>
        </w:rPr>
        <w:t>mapping</w:t>
      </w:r>
      <w:r>
        <w:t xml:space="preserve"> states correspondences and any adaptations between concepts or representations. A </w:t>
      </w:r>
      <w:r>
        <w:rPr>
          <w:b/>
        </w:rPr>
        <w:t>semantic definition</w:t>
      </w:r>
      <w:r>
        <w:t xml:space="preserve"> identifies meaning, whereas a local object identifier distinguishes a particular described item. These distinctions explain why a profile can reuse established content yet still contain authored decisions (Pras and Schönwälder 2003, §§2–4; Open Geospatial Consortium 2009b, §4.16; </w:t>
      </w:r>
      <w:r>
        <w:rPr>
          <w:i/>
        </w:rPr>
        <w:t>Managed Physical Sensing Systems</w:t>
      </w:r>
      <w:r>
        <w:t xml:space="preserve"> 2026, §§2, 5.3).</w:t>
      </w:r>
    </w:p>
    <w:p>
      <w:r>
        <w:t xml:space="preserve">A </w:t>
      </w:r>
      <w:r>
        <w:rPr>
          <w:b/>
        </w:rPr>
        <w:t>schema</w:t>
      </w:r>
      <w:r>
        <w:t xml:space="preserve"> expresses allowed structure and constraints, and </w:t>
      </w:r>
      <w:r>
        <w:rPr>
          <w:b/>
        </w:rPr>
        <w:t>conformance</w:t>
      </w:r>
      <w:r>
        <w:t xml:space="preserve"> concerns fulfillment of the applicable requirements for a specified target. </w:t>
      </w:r>
      <w:r>
        <w:rPr>
          <w:b/>
        </w:rPr>
        <w:t>Normative</w:t>
      </w:r>
      <w:r>
        <w:t xml:space="preserve"> material states applicable obligations; </w:t>
      </w:r>
      <w:r>
        <w:rPr>
          <w:b/>
        </w:rPr>
        <w:t>informative</w:t>
      </w:r>
      <w:r>
        <w:t xml:space="preserve"> material explains, illustrates, or motivates without becoming a requirement on that basis alone. A </w:t>
      </w:r>
      <w:r>
        <w:rPr>
          <w:b/>
        </w:rPr>
        <w:t>reference convention</w:t>
      </w:r>
      <w:r>
        <w:t xml:space="preserve"> can include consumer behavior beyond the syntax of the identifier it uses. These are the reasons that source pedigree, schema readability, and demonstrated interoperability remain related but different judgments (Open Geospatial Consortium 2009b, §§4–6; </w:t>
      </w:r>
      <w:r>
        <w:rPr>
          <w:i/>
        </w:rPr>
        <w:t>Managed Physical Sensing Systems</w:t>
      </w:r>
      <w:r>
        <w:t xml:space="preserve"> 2026, §§5.13–5.14, 8).</w:t>
      </w:r>
    </w:p>
    <w:p>
      <w:r>
        <w:br w:type="page"/>
      </w:r>
    </w:p>
    <w:p>
      <w:bookmarkStart w:id="15" w:name="references"/>
      <w:pPr>
        <w:pStyle w:val="Heading1"/>
        <w:spacing w:before="0"/>
      </w:pPr>
      <w:r>
        <w:t>References and inspection basis</w:t>
      </w:r>
      <w:bookmarkEnd w:id="15"/>
    </w:p>
    <w:p>
      <w:r>
        <w:t>The references follow Chicago eighteenth-edition author–date conventions and identify the exact editions used, rather than asserting that each is the newest release. Section and schema locators in the narrative indicate the provisions supporting the explanation. Project documents are cited as records of the proposal and its decisions, not independent verification of those decisions. Notes identify inherited inspection limits, selected code or schema review, and the sources that serve only as guidance or precedent.</w:t>
      </w:r>
    </w:p>
    <w:p>
      <w:pPr>
        <w:pStyle w:val="Reference"/>
        <w:keepNext/>
      </w:pPr>
      <w:r>
        <w:t xml:space="preserve">Berners-Lee, Tim, Roy T. Fielding, and Larry Masinter. 2005. </w:t>
      </w:r>
      <w:r>
        <w:rPr>
          <w:i/>
        </w:rPr>
        <w:t>Uniform Resource Identifier (URI): Generic Syntax</w:t>
      </w:r>
      <w:r>
        <w:t>. RFC 3986. January.</w:t>
      </w:r>
    </w:p>
    <w:p>
      <w:pPr>
        <w:pStyle w:val="SourceNote"/>
        <w:keepNext/>
        <w:spacing w:after="60"/>
      </w:pPr>
      <w:hyperlink r:id="rId12">
        <w:r>
          <w:rPr>
            <w:color w:val="24767A"/>
            <w:sz w:val="18"/>
            <w:rFonts w:ascii="Carlito" w:hAnsi="Carlito"/>
          </w:rPr>
          <w:t>https:/​/​www.rfc-​editor.org/​rfc/​rfc3986.html</w:t>
        </w:r>
      </w:hyperlink>
    </w:p>
    <w:p>
      <w:pPr>
        <w:pStyle w:val="SourceNote"/>
        <w:keepLines/>
      </w:pPr>
      <w:r>
        <w:t>Inspection / role: Inspected §§1.1.3 and 3.5 for identification, location, and fragment semantics. These provisions do not define the profile’s whole lookup policy.</w:t>
      </w:r>
    </w:p>
    <w:p>
      <w:pPr>
        <w:pStyle w:val="Reference"/>
        <w:keepNext/>
      </w:pPr>
      <w:r>
        <w:t xml:space="preserve">Bierman, Andy, Martin Bjorklund, Jie Dong, and Dan Romascanu. 2018. </w:t>
      </w:r>
      <w:r>
        <w:rPr>
          <w:i/>
        </w:rPr>
        <w:t>A YANG Data Model for Hardware Management</w:t>
      </w:r>
      <w:r>
        <w:t>. RFC 8348. March.</w:t>
      </w:r>
    </w:p>
    <w:p>
      <w:pPr>
        <w:pStyle w:val="SourceNote"/>
        <w:keepNext/>
        <w:spacing w:after="60"/>
      </w:pPr>
      <w:hyperlink r:id="rId13">
        <w:r>
          <w:rPr>
            <w:color w:val="24767A"/>
            <w:sz w:val="18"/>
            <w:rFonts w:ascii="Carlito" w:hAnsi="Carlito"/>
          </w:rPr>
          <w:t>https:/​/​www.rfc-​editor.org/​rfc/​rfc8348.html</w:t>
        </w:r>
      </w:hyperlink>
    </w:p>
    <w:p>
      <w:pPr>
        <w:pStyle w:val="SourceNote"/>
        <w:keepLines/>
      </w:pPr>
      <w:r>
        <w:t>Inspection / role: Selected model provisions and module definitions, especially mfg-name and revision properties, support the hardware comparison and the identified translation-scope issue.</w:t>
      </w:r>
    </w:p>
    <w:p>
      <w:pPr>
        <w:pStyle w:val="Reference"/>
        <w:keepNext/>
      </w:pPr>
      <w:r>
        <w:t xml:space="preserve">Bjorklund, Martin. 2018. </w:t>
      </w:r>
      <w:r>
        <w:rPr>
          <w:i/>
        </w:rPr>
        <w:t>A YANG Data Model for Interface Management</w:t>
      </w:r>
      <w:r>
        <w:t>. RFC 8343. March.</w:t>
      </w:r>
    </w:p>
    <w:p>
      <w:pPr>
        <w:pStyle w:val="SourceNote"/>
        <w:keepNext/>
        <w:spacing w:after="60"/>
      </w:pPr>
      <w:hyperlink r:id="rId14">
        <w:r>
          <w:rPr>
            <w:color w:val="24767A"/>
            <w:sz w:val="18"/>
            <w:rFonts w:ascii="Carlito" w:hAnsi="Carlito"/>
          </w:rPr>
          <w:t>https:/​/​www.rfc-​editor.org/​rfc/​rfc8343.html</w:t>
        </w:r>
      </w:hyperlink>
    </w:p>
    <w:p>
      <w:pPr>
        <w:pStyle w:val="SourceNote"/>
        <w:keepLines/>
      </w:pPr>
      <w:r>
        <w:t>Inspection / role: Inspected the interface model and its documented relationship to the Interfaces Group MIB. This is not evidence of a completed SensorML binding.</w:t>
      </w:r>
    </w:p>
    <w:p>
      <w:pPr>
        <w:pStyle w:val="Reference"/>
        <w:keepNext/>
      </w:pPr>
      <w:r>
        <w:t xml:space="preserve">Bryan, Paul, Kris Zyp, and Mark Nottingham. 2013. </w:t>
      </w:r>
      <w:r>
        <w:rPr>
          <w:i/>
        </w:rPr>
        <w:t>JavaScript Object Notation (JSON) Pointer</w:t>
      </w:r>
      <w:r>
        <w:t>. RFC 6901. April.</w:t>
      </w:r>
    </w:p>
    <w:p>
      <w:pPr>
        <w:pStyle w:val="SourceNote"/>
        <w:keepNext/>
        <w:spacing w:after="60"/>
      </w:pPr>
      <w:hyperlink r:id="rId15">
        <w:r>
          <w:rPr>
            <w:color w:val="24767A"/>
            <w:sz w:val="18"/>
            <w:rFonts w:ascii="Carlito" w:hAnsi="Carlito"/>
          </w:rPr>
          <w:t>https:/​/​www.rfc-​editor.org/​rfc/​rfc6901.html</w:t>
        </w:r>
      </w:hyperlink>
    </w:p>
    <w:p>
      <w:pPr>
        <w:pStyle w:val="SourceNote"/>
        <w:keepLines/>
      </w:pPr>
      <w:r>
        <w:t>Inspection / role: Inspected §§3–6 to distinguish structural selection from the profile’s identifier-based lookup, including the media-type qualification for fragment syntax.</w:t>
      </w:r>
    </w:p>
    <w:p>
      <w:pPr>
        <w:pStyle w:val="Reference"/>
        <w:keepNext/>
      </w:pPr>
      <w:r>
        <w:t xml:space="preserve">Clemm, Alexander, Jan Medved, Robert Varga, Nitin Bahadur, Hariharan Ananthakrishnan, and Xufeng Liu. 2018. </w:t>
      </w:r>
      <w:r>
        <w:rPr>
          <w:i/>
        </w:rPr>
        <w:t>A YANG Data Model for Network Topologies</w:t>
      </w:r>
      <w:r>
        <w:t>. RFC 8345. March.</w:t>
      </w:r>
    </w:p>
    <w:p>
      <w:pPr>
        <w:pStyle w:val="SourceNote"/>
        <w:keepNext/>
        <w:spacing w:after="60"/>
      </w:pPr>
      <w:hyperlink r:id="rId16">
        <w:r>
          <w:rPr>
            <w:color w:val="24767A"/>
            <w:sz w:val="18"/>
            <w:rFonts w:ascii="Carlito" w:hAnsi="Carlito"/>
          </w:rPr>
          <w:t>https:/​/​www.rfc-​editor.org/​rfc/​rfc8345.html</w:t>
        </w:r>
      </w:hyperlink>
    </w:p>
    <w:p>
      <w:pPr>
        <w:pStyle w:val="SourceNote"/>
        <w:keepLines/>
      </w:pPr>
      <w:r>
        <w:t>Inspection / role: Inspected §§4.2–4.4.2 for topology entities, links, and specialization. The equipment-interface projection remains the profile’s design.</w:t>
      </w:r>
    </w:p>
    <w:p>
      <w:pPr>
        <w:pStyle w:val="Reference"/>
        <w:keepNext/>
      </w:pPr>
      <w:r>
        <w:rPr>
          <w:i/>
        </w:rPr>
        <w:t>Domain Information Models and CSAPI Integration: Engineering Lineage, System-Family Applicability, and Narrative Annotated Bibliography</w:t>
      </w:r>
      <w:r>
        <w:t>. 2026. Version 0.7. Prepared for Sam Bolling. October 12. Project research document.</w:t>
      </w:r>
    </w:p>
    <w:p>
      <w:pPr>
        <w:pStyle w:val="SourceNote"/>
        <w:keepNext/>
        <w:spacing w:after="60"/>
      </w:pPr>
      <w:r>
        <w:t>Project file: MERLIN_​Domain_​Information_​Models_​Annotated_​Bibliography_​v0.7_​12OCT2026.docx</w:t>
      </w:r>
    </w:p>
    <w:p>
      <w:pPr>
        <w:pStyle w:val="SourceNote"/>
        <w:keepLines/>
      </w:pPr>
      <w:r>
        <w:t>Inspection / role: Cited as the project evidence record, including the inherited AAS-template and sensor-network inspection boundaries; not independent confirmation of the proposed profile.</w:t>
      </w:r>
    </w:p>
    <w:p>
      <w:pPr>
        <w:pStyle w:val="Reference"/>
        <w:keepNext/>
      </w:pPr>
      <w:r>
        <w:t xml:space="preserve">Internet Engineering Task Force. n.d. “Formal Languages.” </w:t>
      </w:r>
      <w:r>
        <w:rPr>
          <w:i/>
        </w:rPr>
        <w:t>Internet-Draft Author Resources</w:t>
      </w:r>
      <w:r>
        <w:t>. Accessed October 14, 2026.</w:t>
      </w:r>
    </w:p>
    <w:p>
      <w:pPr>
        <w:pStyle w:val="SourceNote"/>
        <w:keepNext/>
        <w:spacing w:after="60"/>
      </w:pPr>
      <w:hyperlink r:id="rId17">
        <w:r>
          <w:rPr>
            <w:color w:val="24767A"/>
            <w:sz w:val="18"/>
            <w:rFonts w:ascii="Carlito" w:hAnsi="Carlito"/>
          </w:rPr>
          <w:t>https:/​/​authors.ietf.org/​formal-​languages</w:t>
        </w:r>
      </w:hyperlink>
    </w:p>
    <w:p>
      <w:pPr>
        <w:pStyle w:val="SourceNote"/>
        <w:keepLines/>
      </w:pPr>
      <w:r>
        <w:t>Inspection / role: Used for the expansion and role of YANG. The acronym’s historical wording does not describe a selected sensor architecture.</w:t>
      </w:r>
    </w:p>
    <w:p>
      <w:pPr>
        <w:pStyle w:val="Reference"/>
        <w:keepNext/>
      </w:pPr>
      <w:r>
        <w:t xml:space="preserve">International Organization for Standardization and International Electrotechnical Commission. 2013. </w:t>
      </w:r>
      <w:r>
        <w:rPr>
          <w:i/>
        </w:rPr>
        <w:t>Information Technology—Sensor Networks: Sensor Network Reference Architecture (SNRA)—Part 4: Entity Models</w:t>
      </w:r>
      <w:r>
        <w:t>. ISO/IEC 29182-4:2013. Edition 1.</w:t>
      </w:r>
    </w:p>
    <w:p>
      <w:pPr>
        <w:pStyle w:val="SourceNote"/>
        <w:keepNext/>
        <w:spacing w:after="60"/>
      </w:pPr>
      <w:hyperlink r:id="rId18">
        <w:r>
          <w:rPr>
            <w:color w:val="24767A"/>
            <w:sz w:val="18"/>
            <w:rFonts w:ascii="Carlito" w:hAnsi="Carlito"/>
          </w:rPr>
          <w:t>https:/​/​www.iso.org/​standard/​57094.html</w:t>
        </w:r>
      </w:hyperlink>
    </w:p>
    <w:p>
      <w:pPr>
        <w:pStyle w:val="SourceNote"/>
        <w:keepLines/>
      </w:pPr>
      <w:r>
        <w:t>Inspection / role: Cited as ISO/IEC. Catalogue rechecked; substantive family evidence retains the earlier preview-only inspection through printed page 6. The complete standard was not reviewed for this primer.</w:t>
      </w:r>
    </w:p>
    <w:p>
      <w:pPr>
        <w:pStyle w:val="Reference"/>
        <w:keepNext/>
      </w:pPr>
      <w:r>
        <w:t xml:space="preserve">Kokkinaki, Alexandra, Simon Jirka, Robert Huber, Matthes Rieke, and Christian Autermann. n.d. </w:t>
      </w:r>
      <w:r>
        <w:rPr>
          <w:i/>
        </w:rPr>
        <w:t>Marine Profiles of the OGC Sensor Web Enablement Standards</w:t>
      </w:r>
      <w:r>
        <w:t>. “2. SensorML.” Community proposal. Accessed October 14, 2026.</w:t>
      </w:r>
    </w:p>
    <w:p>
      <w:pPr>
        <w:pStyle w:val="SourceNote"/>
        <w:keepNext/>
        <w:spacing w:after="60"/>
      </w:pPr>
      <w:hyperlink r:id="rId19">
        <w:r>
          <w:rPr>
            <w:color w:val="24767A"/>
            <w:sz w:val="18"/>
            <w:rFonts w:ascii="Carlito" w:hAnsi="Carlito"/>
          </w:rPr>
          <w:t>https:/​/​odip.github.io/​MarineProfilesForSWE/​02_​SensorML.html</w:t>
        </w:r>
      </w:hyperlink>
    </w:p>
    <w:p>
      <w:pPr>
        <w:pStyle w:val="SourceNote"/>
        <w:keepLines/>
      </w:pPr>
      <w:r>
        <w:t>Inspection / role: The SensorML overview and model/instance conventions were reviewed. Historical community content is not a current adopted defense or MERLIN profile.</w:t>
      </w:r>
    </w:p>
    <w:p>
      <w:pPr>
        <w:pStyle w:val="Reference"/>
        <w:keepNext/>
      </w:pPr>
      <w:r>
        <w:rPr>
          <w:i/>
        </w:rPr>
        <w:t>Managed Physical Sensing Systems and Deployments: Profile Scope, Content Outline and Integrated Binding Draft</w:t>
      </w:r>
      <w:r>
        <w:t>. 2026. Version 0.3.1. Prepared for Sam Bolling. October 14. Project design proposal.</w:t>
      </w:r>
    </w:p>
    <w:p>
      <w:pPr>
        <w:pStyle w:val="SourceNote"/>
        <w:keepNext/>
        <w:spacing w:after="60"/>
      </w:pPr>
      <w:r>
        <w:t>Project file: MERLIN_​Managed_​Physical_​Sensing_​Systems_​Profile_​Scope_​and_​Content_​Outline_​v0.3.1_​14OCT2026.docx</w:t>
      </w:r>
    </w:p>
    <w:p>
      <w:pPr>
        <w:pStyle w:val="SourceNote"/>
        <w:keepLines/>
      </w:pPr>
      <w:r>
        <w:t>Inspection / role: historical v0.3.1 and accepted parents through v0.3.4 are preserved. Current technical companion: v0.3.5, 17 October 2026. This primer v0.5 explains the fourth approved increment; its number is not technical profile v0.4 or v0.5.</w:t>
      </w:r>
    </w:p>
    <w:p>
      <w:pPr>
        <w:pStyle w:val="Reference"/>
        <w:keepNext/>
      </w:pPr>
      <w:r>
        <w:t xml:space="preserve">McCloghrie, Keith, and Frank Kastenholz. 2000. </w:t>
      </w:r>
      <w:r>
        <w:rPr>
          <w:i/>
        </w:rPr>
        <w:t>The Interfaces Group MIB</w:t>
      </w:r>
      <w:r>
        <w:t>. RFC 2863. June.</w:t>
      </w:r>
    </w:p>
    <w:p>
      <w:pPr>
        <w:pStyle w:val="SourceNote"/>
        <w:keepNext/>
        <w:spacing w:after="60"/>
      </w:pPr>
      <w:hyperlink r:id="rId20">
        <w:r>
          <w:rPr>
            <w:color w:val="24767A"/>
            <w:sz w:val="18"/>
            <w:rFonts w:ascii="Carlito" w:hAnsi="Carlito"/>
          </w:rPr>
          <w:t>https:/​/​www.rfc-​editor.org/​rfc/​rfc2863.html</w:t>
        </w:r>
      </w:hyperlink>
    </w:p>
    <w:p>
      <w:pPr>
        <w:pStyle w:val="SourceNote"/>
        <w:keepLines/>
      </w:pPr>
      <w:r>
        <w:t>Inspection / role: Selected interface and layering provisions support the comparison with RFC 8343; no native management agent is implemented by this explanatory work.</w:t>
      </w:r>
    </w:p>
    <w:p>
      <w:pPr>
        <w:pStyle w:val="Reference"/>
        <w:keepNext/>
      </w:pPr>
      <w:r>
        <w:t xml:space="preserve">MIMOSA. 2018. </w:t>
      </w:r>
      <w:r>
        <w:rPr>
          <w:i/>
        </w:rPr>
        <w:t>CCOM UML Class Model</w:t>
      </w:r>
      <w:r>
        <w:t>. Version 4.1.0, marked Proposed; distributed in the 4.1.0-RC1 package. Generated June 27.</w:t>
      </w:r>
    </w:p>
    <w:p>
      <w:pPr>
        <w:pStyle w:val="SourceNote"/>
        <w:keepNext/>
        <w:spacing w:after="60"/>
      </w:pPr>
      <w:hyperlink r:id="rId21">
        <w:r>
          <w:rPr>
            <w:color w:val="24767A"/>
            <w:sz w:val="18"/>
            <w:rFonts w:ascii="Carlito" w:hAnsi="Carlito"/>
          </w:rPr>
          <w:t>https:/​/​www.mimosa.org/​wp-​content/​uploads/​specifications/​2019/​12/​ccom-​4-​1-​0-​rc1/​CCOM-​UML-​Class-​Model-​4.1.0-​RC1.pdf</w:t>
        </w:r>
      </w:hyperlink>
    </w:p>
    <w:p>
      <w:pPr>
        <w:pStyle w:val="SourceNote"/>
        <w:keepLines/>
      </w:pPr>
      <w:r>
        <w:t>Inspection / role: Registry, configuration, and assessment diagrams on printed pages 7, 8, and 27 were visually checked. CCOM means Common Conceptual Object Model; UML in the source title means Unified Modeling Language.</w:t>
      </w:r>
    </w:p>
    <w:p>
      <w:pPr>
        <w:pStyle w:val="Reference"/>
        <w:keepNext/>
      </w:pPr>
      <w:r>
        <w:t>MIMOSA. n.d. “OIIE Scenario 11—Publish Asset Removal/Installation Events from MMS to O&amp;M.” Accessed October 14, 2026.</w:t>
      </w:r>
    </w:p>
    <w:p>
      <w:pPr>
        <w:pStyle w:val="SourceNote"/>
        <w:keepNext/>
        <w:spacing w:after="60"/>
      </w:pPr>
      <w:hyperlink r:id="rId22">
        <w:r>
          <w:rPr>
            <w:color w:val="24767A"/>
            <w:sz w:val="18"/>
            <w:rFonts w:ascii="Carlito" w:hAnsi="Carlito"/>
          </w:rPr>
          <w:t>https:/​/​www.mimosa.org/​open-​industrial-​interoperability-​ecosystem-​oiie/​oiie-​use-​cases/​oiie-​scenario-​11-​publish-​asset-​removalinstallation-​events-​from-​mms-​to-​om/​</w:t>
        </w:r>
      </w:hyperlink>
    </w:p>
    <w:p>
      <w:pPr>
        <w:pStyle w:val="SourceNote"/>
        <w:keepLines/>
      </w:pPr>
      <w:r>
        <w:t>Inspection / role: Official scenario narrative reviewed for the asset, functional-location, time, and participant pattern. The title’s MMS and O&amp;M denote maintenance-management system and operations and maintenance.</w:t>
      </w:r>
    </w:p>
    <w:p>
      <w:pPr>
        <w:pStyle w:val="Reference"/>
        <w:keepNext/>
      </w:pPr>
      <w:r>
        <w:t xml:space="preserve">Open Geospatial Consortium. 2009a. </w:t>
      </w:r>
      <w:r>
        <w:rPr>
          <w:i/>
        </w:rPr>
        <w:t>OWS-6 SensorML Profile for Discovery Engineering Report</w:t>
      </w:r>
      <w:r>
        <w:t>. Edited by Simon Jirka and Arne Bröring. OGC 09-033. Version 0.3.0. July 29.</w:t>
      </w:r>
    </w:p>
    <w:p>
      <w:pPr>
        <w:pStyle w:val="SourceNote"/>
        <w:keepNext/>
        <w:spacing w:after="60"/>
      </w:pPr>
      <w:hyperlink r:id="rId23">
        <w:r>
          <w:rPr>
            <w:color w:val="24767A"/>
            <w:sz w:val="18"/>
            <w:rFonts w:ascii="Carlito" w:hAnsi="Carlito"/>
          </w:rPr>
          <w:t>https:/​/​docs.ogc.org/​per/​09-​033/​09-​033.pdf</w:t>
        </w:r>
      </w:hyperlink>
    </w:p>
    <w:p>
      <w:pPr>
        <w:pStyle w:val="SourceNote"/>
        <w:keepLines/>
      </w:pPr>
      <w:r>
        <w:t>Inspection / role: Purpose and content-coordination passages inspected. OWS-6 denotes OGC Web Services Phase 6; the report is not an adopted OGC Standard and is used here as a historical precedent.</w:t>
      </w:r>
    </w:p>
    <w:p>
      <w:pPr>
        <w:pStyle w:val="Reference"/>
        <w:keepNext/>
      </w:pPr>
      <w:r>
        <w:t xml:space="preserve">Open Geospatial Consortium. 2009b. </w:t>
      </w:r>
      <w:r>
        <w:rPr>
          <w:i/>
        </w:rPr>
        <w:t>The Specification Model—A Standard for Modular Specifications</w:t>
      </w:r>
      <w:r>
        <w:t>. OGC 08-131r3. Version 1.0.0. October 19. Policy Standard.</w:t>
      </w:r>
    </w:p>
    <w:p>
      <w:pPr>
        <w:pStyle w:val="SourceNote"/>
        <w:keepNext/>
        <w:spacing w:after="60"/>
      </w:pPr>
      <w:hyperlink r:id="rId24">
        <w:r>
          <w:rPr>
            <w:color w:val="24767A"/>
            <w:sz w:val="18"/>
            <w:rFonts w:ascii="Carlito" w:hAnsi="Carlito"/>
          </w:rPr>
          <w:t>https:/​/​docs.ogc.org/​pol/​08-​131r3/​08-​131r3.pdf</w:t>
        </w:r>
      </w:hyperlink>
    </w:p>
    <w:p>
      <w:pPr>
        <w:pStyle w:val="SourceNote"/>
        <w:keepLines/>
      </w:pPr>
      <w:r>
        <w:t>Inspection / role: Inspected the profile definition and selected modularity/conformance provisions. This authoring framework is not a published recipe for MERLIN’s combined model.</w:t>
      </w:r>
    </w:p>
    <w:p>
      <w:pPr>
        <w:pStyle w:val="Reference"/>
        <w:keepNext/>
      </w:pPr>
      <w:r>
        <w:t xml:space="preserve">Open Geospatial Consortium. 2025a. </w:t>
      </w:r>
      <w:r>
        <w:rPr>
          <w:i/>
        </w:rPr>
        <w:t>OGC API—Connected Systems—Part 1: Feature Resources</w:t>
      </w:r>
      <w:r>
        <w:t>. OGC 23-001. Version 1.0.</w:t>
      </w:r>
    </w:p>
    <w:p>
      <w:pPr>
        <w:pStyle w:val="SourceNote"/>
        <w:keepNext/>
        <w:spacing w:after="60"/>
      </w:pPr>
      <w:hyperlink r:id="rId25">
        <w:r>
          <w:rPr>
            <w:color w:val="24767A"/>
            <w:sz w:val="18"/>
            <w:rFonts w:ascii="Carlito" w:hAnsi="Carlito"/>
          </w:rPr>
          <w:t>https:/​/​docs.ogc.org/​is/​23-​001/​23-​001.html</w:t>
        </w:r>
      </w:hyperlink>
    </w:p>
    <w:p>
      <w:pPr>
        <w:pStyle w:val="SourceNote"/>
        <w:keepLines/>
      </w:pPr>
      <w:r>
        <w:t>Inspection / role: Selected resource, systemKind, deployment, and encoding-mapping provisions checked, especially §§9.2, 11–13, and 19.2.5. References concern the published edition, not every possible server capability.</w:t>
      </w:r>
    </w:p>
    <w:p>
      <w:pPr>
        <w:pStyle w:val="Reference"/>
        <w:keepNext/>
      </w:pPr>
      <w:r>
        <w:t xml:space="preserve">Open Geospatial Consortium. 2025b. </w:t>
      </w:r>
      <w:r>
        <w:rPr>
          <w:i/>
        </w:rPr>
        <w:t>OGC API—Connected Systems—Part 2: Dynamic Data</w:t>
      </w:r>
      <w:r>
        <w:t>. OGC 23-002. Version 1.0.</w:t>
      </w:r>
    </w:p>
    <w:p>
      <w:pPr>
        <w:pStyle w:val="SourceNote"/>
        <w:keepNext/>
        <w:spacing w:after="60"/>
      </w:pPr>
      <w:hyperlink r:id="rId26">
        <w:r>
          <w:rPr>
            <w:color w:val="24767A"/>
            <w:sz w:val="18"/>
            <w:rFonts w:ascii="Carlito" w:hAnsi="Carlito"/>
          </w:rPr>
          <w:t>https:/​/​docs.ogc.org/​is/​23-​002/​23-​002.html</w:t>
        </w:r>
      </w:hyperlink>
    </w:p>
    <w:p>
      <w:pPr>
        <w:pStyle w:val="SourceNote"/>
        <w:keepLines/>
      </w:pPr>
      <w:r>
        <w:t>Inspection / role: Selected stream, command, event, and representation provisions checked. Section 12 supports the SystemEvent access alternative that remains open in the design review.</w:t>
      </w:r>
    </w:p>
    <w:p>
      <w:pPr>
        <w:pStyle w:val="Reference"/>
        <w:keepNext/>
      </w:pPr>
      <w:r>
        <w:t xml:space="preserve">Open Geospatial Consortium. 2025c. </w:t>
      </w:r>
      <w:r>
        <w:rPr>
          <w:i/>
        </w:rPr>
        <w:t>OGC SensorML Encoding Standard</w:t>
      </w:r>
      <w:r>
        <w:t>. OGC 23-000. Version 3.0.</w:t>
      </w:r>
    </w:p>
    <w:p>
      <w:pPr>
        <w:pStyle w:val="SourceNote"/>
        <w:keepNext/>
        <w:spacing w:after="60"/>
      </w:pPr>
      <w:hyperlink r:id="rId27">
        <w:r>
          <w:rPr>
            <w:color w:val="24767A"/>
            <w:sz w:val="18"/>
            <w:rFonts w:ascii="Carlito" w:hAnsi="Carlito"/>
          </w:rPr>
          <w:t>https:/​/​docs.ogc.org/​is/​23-​000/​23-​000.html</w:t>
        </w:r>
      </w:hyperlink>
    </w:p>
    <w:p>
      <w:pPr>
        <w:pStyle w:val="SourceNote"/>
        <w:keepLines/>
      </w:pPr>
      <w:r>
        <w:t>Inspection / role: Scope, conformance, process/configuration, and deployment provisions checked. Community-semantic flexibility supports investigation but does not validate a particular external-model selection.</w:t>
      </w:r>
    </w:p>
    <w:p>
      <w:pPr>
        <w:pStyle w:val="Reference"/>
        <w:keepNext/>
      </w:pPr>
      <w:r>
        <w:t xml:space="preserve">Open Geospatial Consortium. 2025d. </w:t>
      </w:r>
      <w:r>
        <w:rPr>
          <w:i/>
        </w:rPr>
        <w:t>OGC SWE Common Data Model Encoding Standard</w:t>
      </w:r>
      <w:r>
        <w:t>. OGC 24-014. Version 3.0.</w:t>
      </w:r>
    </w:p>
    <w:p>
      <w:pPr>
        <w:pStyle w:val="SourceNote"/>
        <w:keepNext/>
        <w:spacing w:after="60"/>
      </w:pPr>
      <w:hyperlink r:id="rId28">
        <w:r>
          <w:rPr>
            <w:color w:val="24767A"/>
            <w:sz w:val="18"/>
            <w:rFonts w:ascii="Carlito" w:hAnsi="Carlito"/>
          </w:rPr>
          <w:t>https:/​/​docs.ogc.org/​is/​24-​014/​24-​014.html</w:t>
        </w:r>
      </w:hyperlink>
    </w:p>
    <w:p>
      <w:pPr>
        <w:pStyle w:val="SourceNote"/>
        <w:keepLines/>
      </w:pPr>
      <w:r>
        <w:t>Inspection / role: Selected semantic-description and aggregate provisions checked, including §§7.3, 8.2.2, and 8.3. Human labels, definitions, and object identifiers have different roles.</w:t>
      </w:r>
    </w:p>
    <w:p>
      <w:pPr>
        <w:pStyle w:val="Reference"/>
        <w:keepNext/>
      </w:pPr>
      <w:r>
        <w:t xml:space="preserve">Open Geospatial Consortium. n.d.-a. </w:t>
      </w:r>
      <w:r>
        <w:rPr>
          <w:i/>
        </w:rPr>
        <w:t>SensorML 3.0 JSON Schema Set</w:t>
      </w:r>
      <w:r>
        <w:t>. Accessed October 14, 2026.</w:t>
      </w:r>
    </w:p>
    <w:p>
      <w:pPr>
        <w:pStyle w:val="SourceNote"/>
        <w:keepNext/>
        <w:spacing w:after="60"/>
      </w:pPr>
      <w:hyperlink r:id="rId29">
        <w:r>
          <w:rPr>
            <w:color w:val="24767A"/>
            <w:sz w:val="18"/>
            <w:rFonts w:ascii="Carlito" w:hAnsi="Carlito"/>
          </w:rPr>
          <w:t>https:/​/​schemas.opengis.net/​sensorML/​3.0/​json/​</w:t>
        </w:r>
      </w:hyperlink>
    </w:p>
    <w:p>
      <w:pPr>
        <w:pStyle w:val="SourceNote"/>
        <w:keepLines/>
      </w:pPr>
      <w:r>
        <w:t>Inspection / role: Files inspected for the cited mechanisms: AbstractProcess.json; AbstractPhysicalProcess.json; AggregateProcess.json; DescribedObject.json; Deployment.json; DeployedSystem.json; Event.json; Settings.json; commonDefs.json; and sweCommonDefs.json. These are selected published schema definitions, not a complete conformance assessment.</w:t>
      </w:r>
    </w:p>
    <w:p>
      <w:pPr>
        <w:pStyle w:val="Reference"/>
        <w:keepNext/>
      </w:pPr>
      <w:r>
        <w:t xml:space="preserve">Open Geospatial Consortium. n.d.-b. </w:t>
      </w:r>
      <w:r>
        <w:rPr>
          <w:i/>
        </w:rPr>
        <w:t>SWE Common 3.0 JSON Schema Set</w:t>
      </w:r>
      <w:r>
        <w:t>. Accessed October 14, 2026.</w:t>
      </w:r>
    </w:p>
    <w:p>
      <w:pPr>
        <w:pStyle w:val="SourceNote"/>
        <w:keepNext/>
        <w:spacing w:after="60"/>
      </w:pPr>
      <w:hyperlink r:id="rId30">
        <w:r>
          <w:rPr>
            <w:color w:val="24767A"/>
            <w:sz w:val="18"/>
            <w:rFonts w:ascii="Carlito" w:hAnsi="Carlito"/>
          </w:rPr>
          <w:t>https:/​/​schemas.opengis.net/​sweCommon/​3.0/​json/​</w:t>
        </w:r>
      </w:hyperlink>
    </w:p>
    <w:p>
      <w:pPr>
        <w:pStyle w:val="SourceNote"/>
        <w:keepLines/>
      </w:pPr>
      <w:r>
        <w:t>Inspection / role: Files inspected: basicTypes.json; AbstractSweIdentifiable.json; and Text.json. The exact identifier annotation is basicTypes.json → $defs → AbstractSWE → properties → id. SensorML’s alias uses AbstractSWEIdentifiable, while the external filename is AbstractSweIdentifiable.json.</w:t>
      </w:r>
    </w:p>
    <w:p>
      <w:pPr>
        <w:pStyle w:val="Reference"/>
        <w:keepNext/>
      </w:pPr>
      <w:r>
        <w:t xml:space="preserve">OPC Foundation. 2025. </w:t>
      </w:r>
      <w:r>
        <w:rPr>
          <w:i/>
        </w:rPr>
        <w:t>OPC Unified Architecture—Part 100: Devices</w:t>
      </w:r>
      <w:r>
        <w:t>. OPC 10000-100. Version 1.05.0.</w:t>
      </w:r>
    </w:p>
    <w:p>
      <w:pPr>
        <w:pStyle w:val="SourceNote"/>
        <w:keepNext/>
        <w:spacing w:after="60"/>
      </w:pPr>
      <w:hyperlink r:id="rId31">
        <w:r>
          <w:rPr>
            <w:color w:val="24767A"/>
            <w:sz w:val="18"/>
            <w:rFonts w:ascii="Carlito" w:hAnsi="Carlito"/>
          </w:rPr>
          <w:t>https:/​/​reference.opcfoundation.org/​specs/​OPC-​10000-​100/​full</w:t>
        </w:r>
      </w:hyperlink>
    </w:p>
    <w:p>
      <w:pPr>
        <w:pStyle w:val="SourceNote"/>
        <w:keepLines/>
      </w:pPr>
      <w:r>
        <w:t>Inspection / role: FunctionalGroupType in §4.4 and informative Annex C checked as organizing precedents. They do not specify the profile’s exact eight-domain partition or an OGC binding.</w:t>
      </w:r>
    </w:p>
    <w:p>
      <w:pPr>
        <w:pStyle w:val="Reference"/>
        <w:keepNext/>
      </w:pPr>
      <w:r>
        <w:t xml:space="preserve">OSUS-R Contributors. n.d. </w:t>
      </w:r>
      <w:r>
        <w:rPr>
          <w:i/>
        </w:rPr>
        <w:t>Open Standard for Unattended Sensors Reference Implementation</w:t>
      </w:r>
      <w:r>
        <w:t>. Repository commit d09088fbe56d4b64f0544d72e98c3cb70fa941f6. Accessed October 14, 2026.</w:t>
      </w:r>
    </w:p>
    <w:p>
      <w:pPr>
        <w:pStyle w:val="SourceNote"/>
        <w:keepNext/>
        <w:spacing w:after="60"/>
      </w:pPr>
      <w:hyperlink r:id="rId32">
        <w:r>
          <w:rPr>
            <w:color w:val="24767A"/>
            <w:sz w:val="18"/>
            <w:rFonts w:ascii="Carlito" w:hAnsi="Carlito"/>
          </w:rPr>
          <w:t>https:/​/​github.com/​ssg-​udri/​OSUS-​R/​tree/​d09088fbe56d4b64f0544d72e98c3cb70fa941f6</w:t>
        </w:r>
      </w:hyperlink>
    </w:p>
    <w:p>
      <w:pPr>
        <w:pStyle w:val="SourceNote"/>
        <w:keepLines/>
      </w:pPr>
      <w:r>
        <w:t>Inspection / role: Asset.java introductory contract freshly read at mil.dod.th.core/src/mil/dod/th/core/asset/Asset.java. Capability-model scope retains the prior selected inspection recorded in source S47; no runtime was executed.</w:t>
      </w:r>
    </w:p>
    <w:p>
      <w:pPr>
        <w:pStyle w:val="Reference"/>
        <w:keepNext/>
      </w:pPr>
      <w:r>
        <w:t xml:space="preserve">Parello, John, Benoît Claise, Brad Schoening, and Jürgen Quittek. 2014. </w:t>
      </w:r>
      <w:r>
        <w:rPr>
          <w:i/>
        </w:rPr>
        <w:t>Energy Management Framework</w:t>
      </w:r>
      <w:r>
        <w:t>. RFC 7326. September. Informational.</w:t>
      </w:r>
    </w:p>
    <w:p>
      <w:pPr>
        <w:pStyle w:val="SourceNote"/>
        <w:keepNext/>
        <w:spacing w:after="60"/>
      </w:pPr>
      <w:hyperlink r:id="rId33">
        <w:r>
          <w:rPr>
            <w:color w:val="24767A"/>
            <w:sz w:val="18"/>
            <w:rFonts w:ascii="Carlito" w:hAnsi="Carlito"/>
          </w:rPr>
          <w:t>https:/​/​www.rfc-​editor.org/​rfc/​rfc7326.html</w:t>
        </w:r>
      </w:hyperlink>
    </w:p>
    <w:p>
      <w:pPr>
        <w:pStyle w:val="SourceNote"/>
        <w:keepLines/>
      </w:pPr>
      <w:r>
        <w:t>Inspection / role: Selected object and relationship provisions and §7’s alternate-realization allowance reviewed. These justify investigating a power binding, not claiming the provisional association implements the entire model.</w:t>
      </w:r>
    </w:p>
    <w:p>
      <w:pPr>
        <w:pStyle w:val="Reference"/>
        <w:keepNext/>
      </w:pPr>
      <w:r>
        <w:rPr>
          <w:i/>
        </w:rPr>
        <w:t>Power Source: Restart and Main-Profile Coordination</w:t>
      </w:r>
      <w:r>
        <w:t>. 2026. PITON version 2.0. Prepared for Sam Bolling. October 14. Project continuity handoff.</w:t>
      </w:r>
    </w:p>
    <w:p>
      <w:pPr>
        <w:pStyle w:val="SourceNote"/>
        <w:keepNext/>
        <w:spacing w:after="60"/>
      </w:pPr>
      <w:r>
        <w:t>Project file: PITON_​MERLIN_​Power_​Source_​Restart_​and_​Profile_​Coordination_​v2.0_​14OCT2026.docx</w:t>
      </w:r>
    </w:p>
    <w:p>
      <w:pPr>
        <w:pStyle w:val="SourceNote"/>
        <w:keepLines/>
      </w:pPr>
      <w:r>
        <w:t>Inspection / role: Cited by the shortened title Power Source Restart. It records the coordinated scope and the specialist work’s authority to recommend specific changes; this primer does not update the other chat’s deliverable.</w:t>
      </w:r>
    </w:p>
    <w:p>
      <w:pPr>
        <w:pStyle w:val="Reference"/>
        <w:keepNext/>
      </w:pPr>
      <w:r>
        <w:t xml:space="preserve">Pras, Aiko, and Jürgen Schönwälder. 2003. </w:t>
      </w:r>
      <w:r>
        <w:rPr>
          <w:i/>
        </w:rPr>
        <w:t>On the Difference between Information Models and Data Models</w:t>
      </w:r>
      <w:r>
        <w:t>. RFC 3444. January. Informational.</w:t>
      </w:r>
    </w:p>
    <w:p>
      <w:pPr>
        <w:pStyle w:val="SourceNote"/>
        <w:keepNext/>
        <w:spacing w:after="60"/>
      </w:pPr>
      <w:hyperlink r:id="rId34">
        <w:r>
          <w:rPr>
            <w:color w:val="24767A"/>
            <w:sz w:val="18"/>
            <w:rFonts w:ascii="Carlito" w:hAnsi="Carlito"/>
          </w:rPr>
          <w:t>https:/​/​www.rfc-​editor.org/​rfc/​rfc3444.html</w:t>
        </w:r>
      </w:hyperlink>
    </w:p>
    <w:p>
      <w:pPr>
        <w:pStyle w:val="SourceNote"/>
        <w:keepLines/>
      </w:pPr>
      <w:r>
        <w:t>Inspection / role: Sections 2–4 support the model/data-model distinction. This terminology source does not supply the profile’s selected domain design.</w:t>
      </w:r>
    </w:p>
    <w:p>
      <w:pPr>
        <w:pStyle w:val="Reference"/>
        <w:keepNext/>
      </w:pPr>
      <w:r>
        <w:rPr>
          <w:i/>
        </w:rPr>
        <w:t>STANAG 4789 Brief</w:t>
      </w:r>
      <w:r>
        <w:t>. 2026. May 24. Project briefing supplied in the research collection.</w:t>
      </w:r>
    </w:p>
    <w:p>
      <w:pPr>
        <w:pStyle w:val="SourceNote"/>
        <w:keepNext/>
        <w:spacing w:after="60"/>
      </w:pPr>
      <w:r>
        <w:t>Project file: STANAG 4789 Brief 24MAY2026.pdf</w:t>
      </w:r>
    </w:p>
    <w:p>
      <w:pPr>
        <w:pStyle w:val="SourceNote"/>
        <w:keepLines/>
      </w:pPr>
      <w:r>
        <w:t>Inspection / role: Slide 14 supplies the MERLIN and MASINT expansions. No additional technical or current adoption claim is based on that slide.</w:t>
      </w:r>
    </w:p>
    <w:p>
      <w:pPr>
        <w:pStyle w:val="Reference"/>
        <w:keepNext/>
      </w:pPr>
      <w:r>
        <w:t xml:space="preserve">Wilde, Erik. 2013. </w:t>
      </w:r>
      <w:r>
        <w:rPr>
          <w:i/>
        </w:rPr>
        <w:t>The ‘profile’ Link Relation Type</w:t>
      </w:r>
      <w:r>
        <w:t>. RFC 6906. March. Informational, Independent Submission.</w:t>
      </w:r>
    </w:p>
    <w:p>
      <w:pPr>
        <w:pStyle w:val="SourceNote"/>
        <w:keepNext/>
        <w:spacing w:after="60"/>
      </w:pPr>
      <w:hyperlink r:id="rId35">
        <w:r>
          <w:rPr>
            <w:color w:val="24767A"/>
            <w:sz w:val="18"/>
            <w:rFonts w:ascii="Carlito" w:hAnsi="Carlito"/>
          </w:rPr>
          <w:t>https:/​/​www.rfc-​editor.org/​rfc/​rfc6906.html</w:t>
        </w:r>
      </w:hyperlink>
    </w:p>
    <w:p>
      <w:pPr>
        <w:pStyle w:val="SourceNote"/>
        <w:keepLines/>
      </w:pPr>
      <w:r>
        <w:t>Inspection / role: Sections 1 and 3–5 support the profile declaration and its compatibility purpose. A profile link does not certify the contents or implementation of the linked profile.</w:t>
      </w:r>
    </w:p>
    <w:p>
      <w:pPr>
        <w:pStyle w:val="SourceNote"/>
      </w:pPr>
      <w:r>
        <w:t>Revision note — 17 October 2026. Primer v0.5 adds the accepted R11/R17 subject-selection, donor-lineage preservation and quantity/nil-mapping rationale, retaining prior accepted explanations. Native OGC carriers remain preferred where appropriate. One new property definition is illustrative and locally qualified; no universal lineage fields, native adapter, new master source IDs or IEEE normative mappings are added. Technical companion: v0.3.5; parent: v0.3.4.</w:t>
      </w:r>
    </w:p>
    <w:p>
      <w:pPr>
        <w:pStyle w:val="Reference"/>
      </w:pPr>
      <w:r>
        <w:t>MERLIN SAPIENT v2 Research. 2026. Main-Chat Reconciliation Memo, version 1.0, 15 October. Mode-scoped R04/R09 recommendations and declaration-versus-status boundaries; original research artifact unchanged.</w:t>
      </w:r>
    </w:p>
    <w:p>
      <w:pPr>
        <w:pStyle w:val="Reference"/>
      </w:pPr>
      <w:r>
        <w:t>MERLIN OMS3 Research. 2026. Main-Profile Reconciliation Memo, version 1.0, 15 October. Prospective capability and produced-observation distinctions; no automatic new endpoint.</w:t>
      </w:r>
    </w:p>
    <w:p>
      <w:pPr>
        <w:pStyle w:val="Reference"/>
      </w:pPr>
      <w:r>
        <w:t>ISA Component Requirements. 2023. Integrated Sensor Architecture, release 6.0 revision 4. CMPT-L-0072 distinguishes command-enabled readiness from resource availability; source-specific meaning retained.</w:t>
      </w:r>
    </w:p>
    <w:p>
      <w:pPr>
        <w:pStyle w:val="Reference"/>
      </w:pPr>
      <w:r>
        <w:t>IEEE Pass 1A. 2026. MERLIN IEEE 1451/TEDS Public-Source Technical Reconstruction, version 0.1, 14 October, §11. Exact IEEE/ISO normative requirements remain unverified.</w:t>
      </w:r>
    </w:p>
    <w:p>
      <w:pPr>
        <w:pStyle w:val="Reference"/>
      </w:pPr>
      <w:r>
        <w:t>BSI. 2024. BSI Flex 335 v2.0:2024-03. Supplied publisher standard, §5.5 and §6.4.2.1–2/19; completed SAPIENT v2 assessment remains unchanged.</w:t>
      </w:r>
    </w:p>
    <w:p>
      <w:pPr>
        <w:pStyle w:val="Reference"/>
      </w:pPr>
      <w:r>
        <w:t>U.S. Army. 2023. ISA Data Model Topics. Release 6.0, revision 2, October 31, §§2.2–2.5. Source-defined corrections, recall, resolution and tracking are not generic equipment events.</w:t>
      </w:r>
    </w:p>
    <w:p>
      <w:pPr>
        <w:pStyle w:val="Reference"/>
      </w:pPr>
      <w:r>
        <w:t>Power Source Recommendation. 2026. MERLIN Power Source Domain Model and Main-Profile Binding Recommendation. Version 0.1, October 14, §§9.1–9.5. Battery-qualified recommendation and generic external-source example are kept distinct.</w:t>
      </w:r>
    </w:p>
    <w:p>
      <w:pPr>
        <w:pStyle w:val="Reference"/>
      </w:pPr>
      <w:r>
        <w:t>Quittek, Juergen, Rolf Winter, and Thomas Dietz. 2015. Definition of Managed Objects for Battery Monitoring. RFC 7577, §5, batteryActualVoltage. https://www.rfc-editor.org/rfc/rfc7577.html.</w:t>
      </w:r>
    </w:p>
    <w:p>
      <w:pPr>
        <w:pStyle w:val="Reference"/>
      </w:pPr>
      <w:r>
        <w:t>QUDT.org. 2026. Voltage. http://qudt.org/vocab/quantitykind/Voltage. Quantity-kind page inspected 17 October at https://qudt.org/vocab/quantitykind/Voltage; no claim of a battery-specific QUDT property.</w:t>
      </w:r>
    </w:p>
    <w:sectPr w:rsidR="00FC693F" w:rsidRPr="0006063C" w:rsidSect="00034616">
      <w:headerReference w:type="default" r:id="rId9"/>
      <w:footerReference w:type="default" r:id="rId10"/>
      <w:footerReference w:type="first" r:id="rId11"/>
      <w:headerReference w:type="first" r:id="rId36"/>
      <w:headerReference w:type="even" r:id="rId37"/>
      <w:footerReference w:type="even" r:id="rId38"/>
      <w:pgSz w:w="12240" w:h="15840"/>
      <w:pgMar w:top="1109" w:right="1181" w:bottom="1051" w:left="1181" w:header="432" w:footer="4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878" w:val="right"/>
      </w:tabs>
      <w:spacing w:after="0"/>
    </w:pPr>
    <w:r>
      <w:t>17 October 2026  •  Informative design companion</w:t>
    </w:r>
    <w:r>
      <w:tab/>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Working explanation  •  Not an approved profile specification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878" w:val="right"/>
      </w:tabs>
      <w:spacing w:after="0"/>
      <w:pBdr>
        <w:bottom w:val="single" w:sz="6" w:color="D4DFE3" w:space="6"/>
      </w:pBdr>
    </w:pPr>
    <w:r>
      <w:rPr>
        <w:b/>
      </w:rPr>
      <w:t>MERLIN  /  PROFILE DESIGN RATIONALE</w:t>
    </w:r>
    <w:r>
      <w:tab/>
      <w:t>Companion primer • v0.5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rlito" w:hAnsi="Carlito"/>
      <w:color w:val="172932"/>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rlito" w:hAnsi="Carlito"/>
      <w:b/>
      <w:bCs/>
      <w:color w:val="193F53"/>
      <w:sz w:val="36"/>
      <w:szCs w:val="28"/>
      <w:lang w:val="en-US"/>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b/>
      <w:bCs/>
      <w:color w:val="193F53"/>
      <w:sz w:val="25"/>
      <w:szCs w:val="26"/>
      <w:lang w:val="en-US"/>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b/>
      <w:bCs/>
      <w:color w:val="193F53"/>
      <w:sz w:val="23"/>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172932"/>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172932"/>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rFonts w:ascii="Carlito" w:hAnsi="Carlito"/>
      <w:color w:val="172932"/>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rlito" w:hAnsi="Carlito"/>
      <w:b/>
      <w:bCs/>
      <w:color w:val="4A5C66"/>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widowControl/>
      <w:spacing w:line="254" w:lineRule="auto" w:after="100"/>
    </w:pPr>
    <w:rPr>
      <w:rFonts w:ascii="Carlito" w:hAnsi="Carlito"/>
      <w:color w:val="4A5C66"/>
      <w:sz w:val="18"/>
      <w:lang w:val="en-US"/>
    </w:rPr>
  </w:style>
  <w:style w:type="paragraph" w:customStyle="1" w:styleId="Reference">
    <w:name w:val="Reference"/>
    <w:pPr>
      <w:widowControl/>
      <w:spacing w:line="254" w:lineRule="auto" w:after="100"/>
      <w:ind w:left="317" w:hanging="317"/>
    </w:pPr>
    <w:rPr>
      <w:rFonts w:ascii="Carlito" w:hAnsi="Carlito"/>
      <w:color w:val="263B47"/>
      <w:sz w:val="20"/>
      <w:lang w:val="en-US"/>
    </w:rPr>
  </w:style>
  <w:style w:type="paragraph" w:customStyle="1" w:styleId="SourceNote">
    <w:name w:val="Source Note"/>
    <w:pPr>
      <w:widowControl/>
      <w:spacing w:line="254" w:lineRule="auto" w:after="180"/>
      <w:ind w:left="317"/>
    </w:pPr>
    <w:rPr>
      <w:rFonts w:ascii="Carlito" w:hAnsi="Carlito"/>
      <w:color w:val="4A5C66"/>
      <w:sz w:val="18"/>
      <w:lang w:val="en-US"/>
    </w:rPr>
  </w:style>
  <w:style w:type="paragraph" w:customStyle="1" w:styleId="TOCLink">
    <w:name w:val="TOC Link"/>
    <w:pPr>
      <w:keepNext w:val="0"/>
      <w:widowControl/>
      <w:spacing w:line="254" w:lineRule="auto" w:after="60"/>
    </w:pPr>
    <w:rPr>
      <w:rFonts w:ascii="Carlito" w:hAnsi="Carlito"/>
      <w:color w:val="193F53"/>
      <w:sz w:val="20"/>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rfc-editor.org/rfc/rfc3986.html" TargetMode="External"/><Relationship Id="rId13" Type="http://schemas.openxmlformats.org/officeDocument/2006/relationships/hyperlink" Target="https://www.rfc-editor.org/rfc/rfc8348.html" TargetMode="External"/><Relationship Id="rId14" Type="http://schemas.openxmlformats.org/officeDocument/2006/relationships/hyperlink" Target="https://www.rfc-editor.org/rfc/rfc8343.html" TargetMode="External"/><Relationship Id="rId15" Type="http://schemas.openxmlformats.org/officeDocument/2006/relationships/hyperlink" Target="https://www.rfc-editor.org/rfc/rfc6901.html" TargetMode="External"/><Relationship Id="rId16" Type="http://schemas.openxmlformats.org/officeDocument/2006/relationships/hyperlink" Target="https://www.rfc-editor.org/rfc/rfc8345.html" TargetMode="External"/><Relationship Id="rId17" Type="http://schemas.openxmlformats.org/officeDocument/2006/relationships/hyperlink" Target="https://authors.ietf.org/formal-languages" TargetMode="External"/><Relationship Id="rId18" Type="http://schemas.openxmlformats.org/officeDocument/2006/relationships/hyperlink" Target="https://www.iso.org/standard/57094.html" TargetMode="External"/><Relationship Id="rId19" Type="http://schemas.openxmlformats.org/officeDocument/2006/relationships/hyperlink" Target="https://odip.github.io/MarineProfilesForSWE/02_SensorML.html" TargetMode="External"/><Relationship Id="rId20" Type="http://schemas.openxmlformats.org/officeDocument/2006/relationships/hyperlink" Target="https://www.rfc-editor.org/rfc/rfc2863.html" TargetMode="External"/><Relationship Id="rId21" Type="http://schemas.openxmlformats.org/officeDocument/2006/relationships/hyperlink" Target="https://www.mimosa.org/wp-content/uploads/specifications/2019/12/ccom-4-1-0-rc1/CCOM-UML-Class-Model-4.1.0-RC1.pdf" TargetMode="External"/><Relationship Id="rId22" Type="http://schemas.openxmlformats.org/officeDocument/2006/relationships/hyperlink" Target="https://www.mimosa.org/open-industrial-interoperability-ecosystem-oiie/oiie-use-cases/oiie-scenario-11-publish-asset-removalinstallation-events-from-mms-to-om/" TargetMode="External"/><Relationship Id="rId23" Type="http://schemas.openxmlformats.org/officeDocument/2006/relationships/hyperlink" Target="https://docs.ogc.org/per/09-033/09-033.pdf" TargetMode="External"/><Relationship Id="rId24" Type="http://schemas.openxmlformats.org/officeDocument/2006/relationships/hyperlink" Target="https://docs.ogc.org/pol/08-131r3/08-131r3.pdf" TargetMode="External"/><Relationship Id="rId25" Type="http://schemas.openxmlformats.org/officeDocument/2006/relationships/hyperlink" Target="https://docs.ogc.org/is/23-001/23-001.html" TargetMode="External"/><Relationship Id="rId26" Type="http://schemas.openxmlformats.org/officeDocument/2006/relationships/hyperlink" Target="https://docs.ogc.org/is/23-002/23-002.html" TargetMode="External"/><Relationship Id="rId27" Type="http://schemas.openxmlformats.org/officeDocument/2006/relationships/hyperlink" Target="https://docs.ogc.org/is/23-000/23-000.html" TargetMode="External"/><Relationship Id="rId28" Type="http://schemas.openxmlformats.org/officeDocument/2006/relationships/hyperlink" Target="https://docs.ogc.org/is/24-014/24-014.html" TargetMode="External"/><Relationship Id="rId29" Type="http://schemas.openxmlformats.org/officeDocument/2006/relationships/hyperlink" Target="https://schemas.opengis.net/sensorML/3.0/json/" TargetMode="External"/><Relationship Id="rId30" Type="http://schemas.openxmlformats.org/officeDocument/2006/relationships/hyperlink" Target="https://schemas.opengis.net/sweCommon/3.0/json/" TargetMode="External"/><Relationship Id="rId31" Type="http://schemas.openxmlformats.org/officeDocument/2006/relationships/hyperlink" Target="https://reference.opcfoundation.org/specs/OPC-10000-100/full" TargetMode="External"/><Relationship Id="rId32" Type="http://schemas.openxmlformats.org/officeDocument/2006/relationships/hyperlink" Target="https://github.com/ssg-udri/OSUS-R/tree/d09088fbe56d4b64f0544d72e98c3cb70fa941f6" TargetMode="External"/><Relationship Id="rId33" Type="http://schemas.openxmlformats.org/officeDocument/2006/relationships/hyperlink" Target="https://www.rfc-editor.org/rfc/rfc7326.html" TargetMode="External"/><Relationship Id="rId34" Type="http://schemas.openxmlformats.org/officeDocument/2006/relationships/hyperlink" Target="https://www.rfc-editor.org/rfc/rfc3444.html" TargetMode="External"/><Relationship Id="rId35" Type="http://schemas.openxmlformats.org/officeDocument/2006/relationships/hyperlink" Target="https://www.rfc-editor.org/rfc/rfc6906.html" TargetMode="External"/><Relationship Id="rId36" Type="http://schemas.openxmlformats.org/officeDocument/2006/relationships/header" Target="header2.xml"/><Relationship Id="rId37" Type="http://schemas.openxmlformats.org/officeDocument/2006/relationships/header" Target="header3.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MERLIN Standards Pedigree Primer v0.4</dc:title>
  <dc:subject>Owner-approved R04/R09/R10 mode scoping and supported-product/data-availability increment, 17 October 2026</dc:subject>
  <dc:creator>MERLIN project working draft</dc:creator>
  <cp:keywords>SensorML, Connected Systems, design rationale, standards pedigree, application profile</cp:keywords>
  <dc:description>Informative explanation; does not revise the technical profile or claim independent validation.</dc:description>
  <cp:lastModifiedBy/>
  <cp:revision>1</cp:revision>
  <dcterms:created xsi:type="dcterms:W3CDTF">2013-12-23T23:15:00Z</dcterms:created>
  <dcterms:modified xsi:type="dcterms:W3CDTF">2013-12-23T23:15:00Z</dcterms:modified>
  <cp:category/>
  <cp:version>0.5</cp:version>
</cp:coreProperties>
</file>