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Evidence-to-Design Update Plan</w:t>
      </w:r>
    </w:p>
    <w:p>
      <w:pPr>
        <w:pStyle w:val="Subtitle"/>
      </w:pPr>
      <w:r>
        <w:t>Bounded successor after OSCAR mapping</w:t>
      </w:r>
    </w:p>
    <w:p>
      <w:r>
        <w:t>Prepared for Sam Bolling • Update plan v1.6 • 22 October 2026</w:t>
      </w:r>
    </w:p>
    <w:p>
      <w:pPr>
        <w:pStyle w:val="Heading1"/>
      </w:pPr>
      <w:r>
        <w:t>1. What is complete</w:t>
      </w:r>
    </w:p>
    <w:p>
      <w:r>
        <w:t>The OSCAR source-contract mapping and bounded residual-standards review are complete as research deliverables. They are recorded in 27 mapping rows, 8 residual questions, 10 dispositions and source identities S125–S140. Technical profile v0.3.5 is unchanged; this plan records concrete remaining design work rather than calling the whole model finished or broken.</w:t>
      </w:r>
    </w:p>
    <w:p>
      <w:pPr>
        <w:pStyle w:val="Heading1"/>
      </w:pPr>
      <w:r>
        <w:t>2. What the owner authorized</w:t>
      </w:r>
    </w:p>
    <w:p>
      <w:r>
        <w:t>The current approval covered mapping the applicable OSCAR ideas, investigating the remaining meanings and updating the documentation package. It did not automatically adopt Operational Episode or every proposed Codex specialization and service. Execute approved bounded work without an additional administrative approval layer, while recording any genuinely new technical obligation clearly.</w:t>
      </w:r>
    </w:p>
    <w:p>
      <w:pPr>
        <w:pStyle w:val="Heading1"/>
      </w:pPr>
      <w:r>
        <w:t>3. First bounded design change</w:t>
      </w:r>
    </w:p>
    <w:p>
      <w:r>
        <w:t>Specify a small radiation function/property vocabulary extension and recognition policy compatible with the existing sensing-function/function-binding groups. Establish exact source meanings before assigning common definitions; distinguish measured/calculated threshold from writable configuration. The exit artifact is a reviewed, edition-qualified term/binding table and valid example—not an entire radiation ontology.</w:t>
      </w:r>
    </w:p>
    <w:p>
      <w:pPr>
        <w:pStyle w:val="Heading1"/>
      </w:pPr>
      <w:r>
        <w:t>4. Second bounded design change</w:t>
      </w:r>
    </w:p>
    <w:p>
      <w:r>
        <w:t>Specify how a consumer identifies the selected command, analysis-observation and media relationships and, where supported, follows a provenance document. Use native CommandResult and external-result mechanisms first, then evaluate the PROV-AQ link pattern and a small PROV-O representation. Define version identity and prohibit derivation from mere association; do not require a new episode/case endpoint.</w:t>
      </w:r>
    </w:p>
    <w:p>
      <w:pPr>
        <w:pStyle w:val="Heading1"/>
      </w:pPr>
      <w:r>
        <w:t>5. Exact source gates</w:t>
      </w:r>
    </w:p>
    <w:p>
      <w:r>
        <w:t>Resolve actual input evidence for ambiguous timestamps, maxima units, physical lane identity and mutable record revisions before claiming faithful normalization. For native N42 interoperability, pin the actual edition and obtain its full relevant requirements and matching XSD/Schematron; do not treat the historical examples as 2020. These gates apply to their claims, not to all unrelated work.</w:t>
      </w:r>
    </w:p>
    <w:p>
      <w:pPr>
        <w:pStyle w:val="Heading1"/>
      </w:pPr>
      <w:r>
        <w:t>6. Implementation comparison</w:t>
      </w:r>
    </w:p>
    <w:p>
      <w:r>
        <w:t>Use the existing approved test deployments and record the versions actually running. Both clients receive the same resources; the generic variant uses supported Properties definitions, schemas, values and native relationships. Measure the additional interpretation furnished by selected profile rules, and remove a custom rule where native behavior already supplies the required result.</w:t>
      </w:r>
    </w:p>
    <w:p>
      <w:pPr>
        <w:pStyle w:val="Heading1"/>
      </w:pPr>
      <w:r>
        <w:t>7. Acceptance evidence</w:t>
      </w:r>
    </w:p>
    <w:p>
      <w:r>
        <w:t>The next specimen must preserve source identity and field meaning, expose exactly supported relationships and survive opaque identifier changes. It must distinguish unavailable data from invalid data, grouping from derivation, and accepted command outcome from independently verified state. Base-standard schema checks, profile-rule checks, native-source mapping and live client behavior are separate results, each with an exact tested scope.</w:t>
      </w:r>
    </w:p>
    <w:p>
      <w:pPr>
        <w:pStyle w:val="Heading1"/>
      </w:pPr>
      <w:r>
        <w:t>8. Stopping rule and conditional candidates</w:t>
      </w:r>
    </w:p>
    <w:p>
      <w:r>
        <w:t>Stop when the chosen source case can be represented and traversed with documented remaining limits; do not automatically survey unrelated domains. Investigate DCAT only for a product/distribution requirement, Processes only for separate job management, and CMMN only for an independently justified continuing case lifecycle. Reopen Operational Episode only if a concrete identity/lifecycle requirement remains unmet after existing alternatives are tested.</w:t>
      </w:r>
    </w:p>
    <w:p>
      <w:pPr>
        <w:pStyle w:val="Heading1"/>
      </w:pPr>
      <w:r>
        <w:t>9. Record maintenance</w:t>
      </w:r>
    </w:p>
    <w:p>
      <w:r>
        <w:t>Keep S01–S140 stable and retain the existing IG01–IG11 history alongside OG01–OG08. The main workbook and annotated bibliography must receive any source-selection or conformance-scope changes. Each technical profile revision must say exactly what changed, why, which donor meaning is reused and what test assesses the change.</w:t>
      </w:r>
    </w:p>
    <w:sectPr w:rsidR="00FC693F" w:rsidRPr="0006063C" w:rsidSect="00034616">
      <w:headerReference w:type="default" r:id="rId9"/>
      <w:footerReference w:type="default" r:id="rId10"/>
      <w:pgSz w:w="12240" w:h="15840"/>
      <w:pgMar w:top="1008" w:right="1080" w:bottom="936" w:left="108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sz w:val="16"/>
      </w:rPr>
      <w:t xml:space="preserve">Update plan v1.6 • 22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07080"/>
        <w:sz w:val="16"/>
      </w:rPr>
      <w:t>MERLIN / MPSS • OSCAR MAPPING &amp; RESIDUAL STANDARDS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7384C"/>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87E8B"/>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7384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Calibri" w:hAnsi="Calibri"/>
      <w:color w:val="17384C"/>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20"/>
    </w:pPr>
    <w:rPr>
      <w:rFonts w:asciiTheme="majorHAnsi" w:eastAsiaTheme="majorEastAsia" w:hAnsiTheme="majorHAnsi" w:cstheme="majorBidi" w:ascii="Calibri" w:hAnsi="Calibri"/>
      <w:i/>
      <w:iCs/>
      <w:color w:val="50708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59" w:lineRule="auto"/>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Evidence-to-Design Update Plan</dc:title>
  <dc:subject>Bounded successor after OSCAR mapping</dc:subject>
  <dc:creator>MERLIN research support</dc:creator>
  <cp:keywords/>
  <dc:description>generated by python-docx</dc:description>
  <cp:lastModifiedBy/>
  <cp:revision>1</cp:revision>
  <dcterms:created xsi:type="dcterms:W3CDTF">2013-12-23T23:15:00Z</dcterms:created>
  <dcterms:modified xsi:type="dcterms:W3CDTF">2013-12-23T23:15:00Z</dcterms:modified>
  <cp:category/>
</cp:coreProperties>
</file>