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ageBreakBefore w:val="0"/>
        <w:widowControl/>
      </w:pPr>
      <w:r>
        <w:t>RESEARCH CONSOLIDATION / CURRENT EVIDENCE AND DESIGN STATUS</w:t>
      </w:r>
    </w:p>
    <w:p>
      <w:pPr>
        <w:pStyle w:val="Title"/>
        <w:widowControl/>
      </w:pPr>
      <w:r>
        <w:t>Domain Information Models</w:t>
        <w:br/>
        <w:t>and CSAPI Integration</w:t>
      </w:r>
    </w:p>
    <w:p>
      <w:pPr>
        <w:pStyle w:val="Subtitle"/>
        <w:widowControl/>
      </w:pPr>
      <w:r>
        <w:t>Engineering lineage, system-family applicability,</w:t>
        <w:br/>
        <w:t>and narrative annotated bibliography</w:t>
      </w:r>
    </w:p>
    <w:p>
      <w:pPr>
        <w:pStyle w:val="Small"/>
        <w:widowControl/>
      </w:pPr>
      <w:r>
        <w:t>Prepared for MERLIN CSAPI PBIs • Consolidated research edition v0.10 • 22 October 2026</w:t>
      </w:r>
    </w:p>
    <w:p>
      <w:pPr>
        <w:pStyle w:val="Callout"/>
        <w:widowControl/>
      </w:pPr>
      <w:r>
        <w:t>Which established engineering family and domain models provide a reusable basis for describing physical sensing systems throughout their deployment?</w:t>
      </w:r>
    </w:p>
    <w:p>
      <w:pPr>
        <w:widowControl/>
      </w:pPr>
      <w:r>
        <w:t>This edition retains all 124 preceding source identities and adds 16 records as S125–S140. It incorporates the bounded OSCAR mapping and residual standards review, preserving the earlier research history and the unchanged MPSS v0.3.5 technical baseline. The new records include standards, official examples/indexes and pinned implementation evidence; they do not represent 16 implemented standards.</w:t>
      </w:r>
    </w:p>
    <w:p>
      <w:pPr>
        <w:pStyle w:val="Heading2"/>
        <w:keepNext/>
        <w:widowControl/>
      </w:pPr>
      <w:r>
        <w:t>Current design standing</w:t>
      </w:r>
    </w:p>
    <w:p>
      <w:pPr>
        <w:pStyle w:val="Callout"/>
        <w:widowControl/>
      </w:pPr>
      <w:r>
        <w:t>The whole managed sensing-system scope is retained. Four bounded technical increments are applied through MPSS v0.3.5; remaining donor mappings and specialist content are explicitly unresolved. This research edition records that standing without approving additional profile rules or changing the technical baseline.</w:t>
      </w:r>
    </w:p>
    <w:p>
      <w:pPr>
        <w:pStyle w:val="Heading2"/>
        <w:keepNext/>
        <w:widowControl/>
      </w:pPr>
      <w:r>
        <w:t>Reading route</w:t>
      </w:r>
    </w:p>
    <w:p>
      <w:pPr>
        <w:widowControl/>
      </w:pPr>
      <w:r>
        <w:t>Begin with the 22 October reconciliation below and the separate OSCAR worked-mapping report. Historical sections preserve the research sequence; the source annotations now extend through S140. The source register, PITON v4.6 and update plan v1.6 control the current evidence and next-action status.</w:t>
      </w:r>
    </w:p>
    <w:p>
      <w:pPr>
        <w:pStyle w:val="Small"/>
        <w:widowControl/>
      </w:pPr>
      <w:r>
        <w:t>The supplied complete 10 October DISR export remains authoritative. Metadata screening of 5, 253 records is not 5, 253 full standards assessments; 137 sampled rows still await independent human QA. No new conformance tests, native adapters, formal DISR actions or technical profile revisions are performed by this consolidation.</w:t>
      </w:r>
    </w:p>
    <w:p>
      <w:pPr>
        <w:pStyle w:val="Heading1"/>
      </w:pPr>
      <w:r>
        <w:t>22 October 2026 — OSCAR mapping and residual research</w:t>
      </w:r>
    </w:p>
    <w:p>
      <w:pPr>
        <w:pStyle w:val="Callout"/>
      </w:pPr>
      <w:r>
        <w:t>Research v0.10 | MPSS v0.3.5 retained | 140 source identities | No Operational Episode adoption</w:t>
      </w:r>
    </w:p>
    <w:p>
      <w:pPr/>
      <w:r>
        <w:t>The worked OSCAR case demonstrates reuse of existing equipment/function/product/action organization and records the precise remainder. It uses inspected source contracts and explicitly synthetic instance values, with independent historical N42 examples kept separate. The conclusion is not full interoperability or an OSCAR-equivalent implementation; it is a bounded mapping and donor-selection result.</w:t>
      </w:r>
    </w:p>
    <w:p>
      <w:pPr/>
      <w:r>
        <w:t>The strongest new donor evidence is that N42 already provides measurement grouping and analysis/derivation relationships, including examples bundled in OSCAR. PROV-DM/PROV-O is selected as the leading source for a narrow lineage binding, with the 21 October SSN draft providing explicit alignment evidence. DCAT, Processes and CMMN remain conditional rather than mandatory additions.</w:t>
      </w:r>
    </w:p>
    <w:p>
      <w:pPr/>
      <w:r>
        <w:t>A concrete existing-draft limitation is recorded: the function-kind code space contains only environmental-measurement and internal-monitoring. Radiation requires an explicit vocabulary/specialization decision, not silently invented values in the current catalogue. The technical profile and example remain unchanged while the new mapping companion and registers document the required finite next increment.</w:t>
      </w:r>
    </w:p>
    <w:p>
      <w:pPr/>
      <w:r>
        <w:t>All prior master IDs and annotations remain. S97 approved OMS access remains closed; S99 remains the 12 October draft and S132 separately identifies 21 October. New N42 normative access/edition limitations must not be mistaken for reopening OMS or IEEE gates already disposed elsewhere.</w:t>
      </w:r>
    </w:p>
    <w:p>
      <w:pPr>
        <w:pStyle w:val="Small"/>
      </w:pPr>
      <w:r>
        <w:t>History below: the 17 October reconciliation and earlier annotations retain their original dates and status statements. Where sequencing conflicts, this22 October checkpoint, PITON 4.6 and plan 1.6 govern. Source-defined meaning, authored translation, candidate binding and native implementation remain separate claims.</w:t>
      </w:r>
    </w:p>
    <w:p>
      <w:pPr>
        <w:pStyle w:val="Heading1"/>
        <w:keepNext/>
        <w:pageBreakBefore/>
        <w:widowControl/>
      </w:pPr>
      <w:r>
        <w:t>17 October 2026 — Research-to-design reconciliation</w:t>
      </w:r>
    </w:p>
    <w:p>
      <w:pPr>
        <w:pStyle w:val="Callout"/>
        <w:widowControl/>
      </w:pPr>
      <w:r>
        <w:t>Research v0.9  |  Technical profile v0.3.5 unchanged  |  124 source identities</w:t>
      </w:r>
    </w:p>
    <w:p>
      <w:pPr>
        <w:pStyle w:val="Heading2"/>
        <w:keepNext/>
        <w:widowControl/>
      </w:pPr>
      <w:r>
        <w:t>What was reconciled</w:t>
      </w:r>
    </w:p>
    <w:p>
      <w:pPr>
        <w:widowControl/>
      </w:pPr>
      <w:r>
        <w:t>The preceding research edition already contained 109 source identities, including approved OMS source S97 and the 12 October 2026 SOSA/SSN draft as S99. This increment therefore updates those records rather than allocating duplicate identifiers. It incorporates the finished OMS, SAPIENT v2 and Open Group SOSA/DISR studies, the evidence cited by the four applied profile increments, and the separate standing of their source artifacts (MERLIN OMS Assessment 2026; MERLIN SAPIENT Assessment 2026; MERLIN SOSA Assessment 2026).</w:t>
      </w:r>
    </w:p>
    <w:p>
      <w:pPr>
        <w:widowControl/>
      </w:pPr>
      <w:r>
        <w:t>The 15 additions are not 15 newly inspected normative standards. They include native specifications, companion models and schemas, pinned implementation documentation, and three metadata/context records, S118–S120, whose limited inspection is explicit. The six SOSA management APIs form one source collection, while their DSDM/IDL companion and the adopted C239 publication remain separately identifiable artifacts. New workbook rows preserve these boundaries, exact editions, implementation targets and suitable assessment methods.</w:t>
      </w:r>
    </w:p>
    <w:p>
      <w:pPr>
        <w:pStyle w:val="Heading2"/>
        <w:keepNext/>
        <w:widowControl/>
      </w:pPr>
      <w:r>
        <w:t>What actually changed in the technical design</w:t>
      </w:r>
    </w:p>
    <w:p>
      <w:pPr>
        <w:widowControl/>
      </w:pPr>
      <w:r>
        <w:t>The applied-decision ledger distinguishes four approved increments from still-proposed specialist work. Version 0.3.2 retained R08 and changed R12 command-effect interpretation, R16 typed energy relationships and R20 condition-assessment treatment. Version 0.3.3 clarified R01/R02 identity and composition and added the optional, locally authored R15 representation-source group. Version 0.3.4 added native-mode scoping and declared-product rules to R04/R09–R10, and v0.3.5 added R11 subject/history and donor-lineage preservation guidance plus bounded R17 quantity/unit/nil mapping (MERLIN MPSS Profile 2026, §§5–6; MERLIN PITON 2026, §2).</w:t>
      </w:r>
    </w:p>
    <w:p>
      <w:pPr>
        <w:widowControl/>
      </w:pPr>
      <w:r>
        <w:t>These are revisions of a working information-model/profile proposal, not evidence that production adapters or clients implement it. The original station resources and later synthetic cases establish what the draft describes, not the truth of unavailable manufacturer data. R03, R05–R07, R13–R14 and R18–R19 remain unchanged baseline choices; this edition does not manufacture new approvals for them. Applied rules, retained content and unresolved capabilities are recorded separately in the workbook.</w:t>
      </w:r>
    </w:p>
    <w:p>
      <w:pPr>
        <w:pStyle w:val="Heading2"/>
        <w:keepNext/>
        <w:widowControl/>
      </w:pPr>
      <w:r>
        <w:t>Closed access issue and preserved source history</w:t>
      </w:r>
    </w:p>
    <w:p>
      <w:pPr>
        <w:widowControl/>
      </w:pPr>
      <w:r>
        <w:t>The complete approved 198-page OMS publication was supplied and examined by the focused study, so the S97 normative-access gate is closed. Its exact ObservingCapability class and imported requirements are now traceable to the normative source and Annex A.3.10. The more general claim that CSAPI representations automatically satisfy all OMS conceptual requirements remains unsupported; source access and conformance are different questions. S98 remains the informative paper, not the substitute authority for S97 (OGC 2023, §§9.2, 10.5, annex A; MERLIN OMS Assessment 2026).</w:t>
      </w:r>
    </w:p>
    <w:p>
      <w:pPr>
        <w:widowControl/>
      </w:pPr>
      <w:r>
        <w:t>The earlier Dstl guidance retained as S51 and the October 2026 guidance newly recorded as S124 have the same web locator but different dated content. The source study attributed historical combined SAPIENT/OSUS/SWE experimentation to the 2024 guidance; the current page check did not recover that exact wording. It remains inherited, attributed historical evidence, not newly verified proof of a normative dependency. Similarly, the original cover’s “108” and dashboard’s “52” were stale presentation counts; the prior research inventory actually contained 109 IDs.</w:t>
      </w:r>
    </w:p>
    <w:p>
      <w:pPr>
        <w:pStyle w:val="Heading2"/>
        <w:keepNext/>
        <w:widowControl/>
      </w:pPr>
      <w:r>
        <w:t>Alignment evidence, not assumed compatibility</w:t>
      </w:r>
    </w:p>
    <w:p>
      <w:pPr>
        <w:widowControl/>
      </w:pPr>
      <w:r>
        <w:t>The donor-lineage register separates explicit reuse, source-author acknowledgements, draft formal alignments, historical adapters and reported coexistence. C239 Appendix B supplies direct evidence that the DSDM/IDL and management API companions belong to the adopted SOSA source set, whereas the S251 material records a separate developmental model and alignment context. The W3C/OGC draft documents SWE/SSNX ancestry, OMS alignment, conceptual CSAPI correspondences and acknowledged ideas from SAREF, SensorThings and CSAPI. None of those relationships establishes universal mutual conformance among the donor systems (The Open Group 2023, app. B; W3C and OGC 2026, §§6–7, annex E).</w:t>
      </w:r>
    </w:p>
    <w:p>
      <w:pPr>
        <w:pStyle w:val="Heading2"/>
        <w:keepNext/>
        <w:widowControl/>
      </w:pPr>
      <w:r>
        <w:t>Current gaps and the next proportionate check</w:t>
      </w:r>
    </w:p>
    <w:p>
      <w:pPr>
        <w:widowControl/>
      </w:pPr>
      <w:r>
        <w:t>Eleven bounded gap records remain, rather than an instruction to restart the landscape survey. They cover end-to-end native-record mapping, common-client lineage navigation, detailed power information, optional service-event access, broader deployment-qualified prospective capability, IEEE normative evidence, vocabulary stewardship, DISR QA, SAPIENT source discrepancies, later implementation validation and draft or unreviewed source scope. Some are design choices and others are evidence limits; they are not all prerequisites for every increment. The next recommended check is one version-pinned SAPIENT v2 native record set traced through existing MPSS representations to common-client questions, with missing, partial and native-linked meanings made explicit (MERLIN Update Plan 2026, §§2, 5–6).</w:t>
      </w:r>
    </w:p>
    <w:p>
      <w:pPr>
        <w:pStyle w:val="Heading2"/>
        <w:keepNext/>
        <w:widowControl/>
      </w:pPr>
      <w:r>
        <w:t>How to read the retained history</w:t>
      </w:r>
    </w:p>
    <w:p>
      <w:pPr>
        <w:widowControl/>
      </w:pPr>
      <w:r>
        <w:t>The following historical sections and the original source annotations retain the research sequence and its earlier framing. Dated notes and the current workbook override obsolete status statements only for evidence access and applied design; they do not silently replace what the earlier authors concluded. Original v0.8 files and completed study artifacts remain unchanged in the continuity package. This preserves the distinction between recovering research provenance and claiming that every old passage describes today’s implementation status.</w:t>
      </w:r>
    </w:p>
    <w:p>
      <w:pPr>
        <w:pStyle w:val="Heading1"/>
        <w:keepNext/>
        <w:pageBreakBefore/>
        <w:widowControl/>
      </w:pPr>
      <w:r>
        <w:t>1. Engineering lineage, system-family applicability, and proposed profile scope</w:t>
      </w:r>
    </w:p>
    <w:p>
      <w:pPr>
        <w:pStyle w:val="Callout"/>
        <w:widowControl/>
      </w:pPr>
      <w:r>
        <w:t>Scope outcome: sufficient evidence to broaden the profile beyond UGS; exact model and binding selections remain explicit design decisions.</w:t>
      </w:r>
    </w:p>
    <w:p>
      <w:pPr>
        <w:pStyle w:val="Heading2"/>
        <w:keepNext/>
        <w:widowControl/>
      </w:pPr>
      <w:r>
        <w:t>1.1 Decision: broaden the subject, not the protocol stack</w:t>
      </w:r>
    </w:p>
    <w:p>
      <w:pPr>
        <w:widowControl/>
      </w:pPr>
      <w:r>
        <w:t>The evidence now supports moving the profile’s subject from two legacy UGS examples to a wider family of physical sensing systems participating in sensor networks and managed through their operational deployments. This is a scope recommendation, not a finding that all such systems implement one existing commercial model. The proposed working title is “OGC Application Profile for Managed Physical Sensing Systems and Deployments”; that title is authored here, whereas the sensor-network and asset concepts supporting it come from identified sources. TRSS and OmniSense remain the first application cases, not the maximum content that the profile may describe (ISO/IEC 2013, §5; OSUS-R Contributors n.d., Asset.java; PITON v2.0 2026, §§3, 12).</w:t>
      </w:r>
    </w:p>
    <w:p>
      <w:pPr>
        <w:widowControl/>
      </w:pPr>
      <w:r>
        <w:t>The decision is supported at different levels. The sources establish a useful engineering family and a concrete UGS-community device abstraction; this study assesses their applicability to MERLIN. They do not yet establish the final property vocabulary, a published CSAPI profile, or the manufacturers’ original internal models. Those remaining choices should be made within the broader scope rather than used to return the project to isolated screenshot fields.</w:t>
      </w:r>
    </w:p>
    <w:p>
      <w:pPr>
        <w:pStyle w:val="Heading2"/>
        <w:keepNext/>
        <w:widowControl/>
      </w:pPr>
      <w:r>
        <w:t>1.2 What was recovered, and what remains a lead</w:t>
      </w:r>
    </w:p>
    <w:p>
      <w:pPr>
        <w:widowControl/>
      </w:pPr>
      <w:r>
        <w:t>This increment recovered the full DSIAC survey PDF, the full NIST smart-transducer interoperability paper, selected public OSUS-R implementation artifacts, and a substantial preview of the ISO/IEC sensor-network entity models. These add whole-system characterization, an implemented abstraction, and a cross-domain reference architecture to the prior standards corpus. The OSUS-R files are pinned to repository commit d09088fbe56d4b64f0544d72e98c3cb70fa941f6; inspection did not involve executing the implementation. Source entries S43–S52 distinguish those materials from publication records and abstracts.</w:t>
      </w:r>
    </w:p>
    <w:p>
      <w:pPr>
        <w:widowControl/>
      </w:pPr>
      <w:r>
        <w:t>Stolovy’s common-UGS command-and-control paper, McQuiddy’s OmniSense paper, and Klawon’s OSUS/IoT thesis remain at publication-record or abstract depth because their complete texts were not retrieved. Their abstracts identify an important history of cross-system integration, but cannot establish unseen architecture details or a current CDIF specification (Stolovy 2009; McQuiddy 2008; Klawon 2023). The archived Army acquisition notice also remains a recovery lead in this increment; its previously reported technical-data-package statement is not promoted into a newly verified finding. Historical lineage and present model applicability therefore proceed as related, but independently evidenced, questions.</w:t>
      </w:r>
    </w:p>
    <w:p>
      <w:pPr>
        <w:pStyle w:val="Heading2"/>
        <w:keepNext/>
        <w:widowControl/>
      </w:pPr>
      <w:r>
        <w:t>1.3 A recognized engineering family and an explicit device abstraction</w:t>
      </w:r>
    </w:p>
    <w:p>
      <w:pPr>
        <w:widowControl/>
      </w:pPr>
      <w:r>
        <w:t>ISO/IEC 29182-4:2013 describes sensor-network physical and functional entities for designers and integrators. Its overview includes sensor nodes with sensing, processing, memory, communications and power, together with gateways; functions and management responsibilities can span physical entities. This supplies an industry reference for the whole device-and-network problem rather than another generic property container. Only the preview through printed page 6 was inspected, including Figures 1–2 and Table 1; detailed later entity clauses remain unread (ISO/IEC 2013, introduction, §5, §6.1.1).</w:t>
      </w:r>
    </w:p>
    <w:p>
      <w:pPr>
        <w:widowControl/>
      </w:pPr>
      <w:r>
        <w:t>The OSUS-R Asset interface independently defines an asset as a physical device that typically produces data or responds to commands, giving examples ranging from motion detectors and cameras to UAVs, radios, and actuators. It explicitly allows multiple sensors within one asset and separates the common consumer interface from supplier-specific plug-in behavior. Its capability schema groups substantive sensing, imaging, audio, command and status information, including power-related availability. This is direct implementation-community evidence for treating the sensor as a manageable device with several capabilities, not an inference from a similar-looking screen (OSUS-R Contributors n.d., Asset.java, introductory documentation; AssetCapabilities.xsd, CommandCapabilities, StatusCapabilities and AssetCapabilities).</w:t>
      </w:r>
    </w:p>
    <w:p>
      <w:pPr>
        <w:pStyle w:val="Heading2"/>
        <w:keepNext/>
        <w:widowControl/>
      </w:pPr>
      <w:r>
        <w:t>1.4 Why UGS fit without inventing their engineering ancestry</w:t>
      </w:r>
    </w:p>
    <w:p>
      <w:pPr>
        <w:widowControl/>
      </w:pPr>
      <w:r>
        <w:t>DSIAC’s survey treats UGS as systems characterized by sensing, communications, deployment, endurance, environmental suitability and power. Its TRSS Imager II account includes remote reconfiguration and communications components, while other sections cover McQ equipment and Scorpion II. Those descriptions support a whole-system comparison even though the survey is historical, draws on product literature, and was prepared as a short technical inquiry rather than an exhaustive engineering audit (Armistead 2018, §2 and product sections). Together with the existing manuals, they give affirmative evidence that the reference cases fall within the sensor-network/device-management problem family.</w:t>
      </w:r>
    </w:p>
    <w:p>
      <w:pPr>
        <w:widowControl/>
      </w:pPr>
      <w:r>
        <w:t>This applicability conclusion does not assert that L3 or McQ implemented ISO/IEC 29182, OSUS, OPC UA, or MIMOSA internally. A system can fit a reference architecture’s subject without having been designed to that standard. Establishing original ancestry would require the OEM specifications or stronger engineering records, and remains separate from selecting an appropriate model for integration now. The profile can therefore advance without falsely completing the CDIF history or demanding unavailable live exports.</w:t>
      </w:r>
    </w:p>
    <w:p>
      <w:pPr>
        <w:pStyle w:val="Heading2"/>
        <w:keepNext/>
        <w:widowControl/>
      </w:pPr>
      <w:r>
        <w:t>1.5 The proposed boundary and the wider systems it includes</w:t>
      </w:r>
    </w:p>
    <w:p>
      <w:pPr>
        <w:widowControl/>
      </w:pPr>
      <w:r>
        <w:t>For profile development, the proposed focal subject is an identifiable physical sensing system whose useful description includes its equipment or capabilities and its operation in a deployment or other managed arrangement. Network access may be direct or mediated by a controller or gateway; the proposal does not require each constituent sensor to run IP, remain continuously connected, or implement a particular vendor interface. A node may contain several measurement functions and have optional actuation or processing capabilities. These applicability rules are this study’s proposal, informed by SNRA, OSUS and the OGC resource framework—not a claim that the phrase “managed physical sensing system” is a published universal taxonomy.</w:t>
      </w:r>
    </w:p>
    <w:p>
      <w:pPr>
        <w:widowControl/>
      </w:pPr>
      <w:r>
        <w:t>Environmental monitoring stations and networked cameras are strong non-UGS candidates because the same description problem recurs around physical equipment, sensing, communication, power and operational placement. The NIST prototype provides a concrete environmental-monitoring example, while CSAPI itself describes urban cameras and missions involving unmanned platforms (Song and Lee 2009, §IV; Open Geospatial Consortium 2025a, §11.1). A bare transducer may participate as a component rather than a complete managed-system instance. Human observers, purely computational processes, and other valid CSAPI resources remain available through the base standards; they are not forced into this physical-device profile.</w:t>
      </w:r>
    </w:p>
    <w:p>
      <w:pPr>
        <w:pStyle w:val="Heading2"/>
        <w:keepNext/>
        <w:widowControl/>
      </w:pPr>
      <w:r>
        <w:t>1.6 Which sources should organize which parts of the description</w:t>
      </w:r>
    </w:p>
    <w:p>
      <w:pPr>
        <w:widowControl/>
      </w:pPr>
      <w:r>
        <w:t>The research now has a more defensible division of responsibilities. SNRA is the category and coverage reference; OSUS supplies a concrete comparison for describing a physical asset’s capabilities, commands and status; SensorML and CSAPI supply the intended system and deployment representations. None alone provides every domain definition or an operator-facing information design. The purpose of combining their evidence is to identify coherent model responsibilities, not to put all their architectures into the runtime.</w:t>
      </w:r>
    </w:p>
    <w:p>
      <w:pPr>
        <w:widowControl/>
      </w:pPr>
      <w:r>
        <w:t>The existing commercial-model research remains relevant inside that structure. RFC 8348 contributes hardware-management concepts, AAS offers particular asset descriptions and structural templates, OPC Devices/PA-DIM offers device and process-automation content, and MIMOSA contributes asset continuity, service events and assessments. Their content should be compared against the whole operating system, including lifecycle tasks, rather than ranked by how many fields match two manual excerpts. Detailed selections and mappings remain proposed; the new evidence does not silently install OSUS or SNRA as the universal parent of those models (S05–S08, S16–S18, S35–S39).</w:t>
      </w:r>
    </w:p>
    <w:p>
      <w:pPr>
        <w:pStyle w:val="Heading2"/>
        <w:keepNext/>
        <w:widowControl/>
      </w:pPr>
      <w:r>
        <w:t>1.7 What the proposed application profile would actually specify</w:t>
      </w:r>
    </w:p>
    <w:p>
      <w:pPr>
        <w:widowControl/>
      </w:pPr>
      <w:r>
        <w:t>The deliverable to develop is an OGC application profile informed by selected domain information models, with explicit bindings where the originating community has not supplied them. The domain model provides the entities, properties and relationships; the profile specifies their agreed use with applicable OGC requirements; a binding explains the correspondence to a representation. A profile is not a new resource server merely because it contains additional content rules. Nor does an informal project label such as “shared agreement” substitute for those technical decisions (Open Geospatial Consortium 2009b; World Wide Web Consortium 2019).</w:t>
      </w:r>
    </w:p>
    <w:p>
      <w:pPr>
        <w:widowControl/>
      </w:pPr>
      <w:r>
        <w:t>The implementation claim must be specific to the artifact. Using OSUS concepts in SensorML would not implement OSUS’s Java/OSGi services, whereas producing a native external artifact or implementing a permitted alternate realization could support a different claim. SNRA is expressly guidance without its own compliance requirements; it should not be assigned an invented certification target. The current recommendation is therefore to use it as a scope reference, retain OSUS as a substantive content comparator, and author the necessary OGC profile requirements openly as our work—not to claim conformance to every source in the bibliography (ISO/IEC 2013, introduction; OSUS-R Contributors n.d., README).</w:t>
      </w:r>
    </w:p>
    <w:p>
      <w:pPr>
        <w:pStyle w:val="Heading2"/>
        <w:keepNext/>
        <w:widowControl/>
      </w:pPr>
      <w:r>
        <w:t>1.8 Deployment and operational lifecycle are central content</w:t>
      </w:r>
    </w:p>
    <w:p>
      <w:pPr>
        <w:widowControl/>
      </w:pPr>
      <w:r>
        <w:t>CSAPI explicitly includes an in-situ sensor at a location and a mission involving unmanned systems as deployment examples. SensorML’s Deployment description covers when, where, why and how systems are employed, including responsible organizations, mission information, emplacement characteristics and deployment-specific configurations. These are affirmative foundations for the deployed-sensor view. The legacy record does not need to have been named “Deployment” before an integrator can represent its supported employment information appropriately (Open Geospatial Consortium 2025a, §11.1; 2025c, §§8.9.2–8.9.3).</w:t>
      </w:r>
    </w:p>
    <w:p>
      <w:pPr>
        <w:widowControl/>
      </w:pPr>
      <w:r>
        <w:t>The proposed profile should consequently cover preparation, emplacement, operation, communications, power, configuration, relevant service and recovery at the information-model level. The persistent sensor description and its particular employment can be related without making the operator browse separate schema categories to understand the device. Installation/removal concepts and asset-event history are legitimate comparison subjects for MIMOSA, not out-of-scope distractions. Their exact OGC bindings and edition-specific definitions remain to be selected, but the lifecycle requirement itself is no longer deferred (MIMOSA 2018; MIMOSA n.d.-e; PITON v2.0 2026, §5).</w:t>
      </w:r>
    </w:p>
    <w:p>
      <w:pPr>
        <w:pStyle w:val="Heading2"/>
        <w:keepNext/>
        <w:widowControl/>
      </w:pPr>
      <w:r>
        <w:t>1.9 Power Source coordination: a reusable aspect of the complete system</w:t>
      </w:r>
    </w:p>
    <w:p>
      <w:pPr>
        <w:widowControl/>
      </w:pPr>
      <w:r>
        <w:t>RFC 7326 already treats sensor controllers with subordinate sensors as an energy-management example and models energy-related devices, components and interfaces. Its Section 7 permits other data-model realizations rather than requiring every use to adopt its associated MIBs. That makes it a strong organizing candidate for the power work, alongside the more specific battery and unit sources already collected. It is an information-model candidate, not proof that the existing power binding has implemented the whole framework (Internet Engineering Task Force 2014, §§3, 6–7).</w:t>
      </w:r>
    </w:p>
    <w:p>
      <w:pPr>
        <w:widowControl/>
      </w:pPr>
      <w:r>
        <w:t>The Power Source work should assess the operating power arrangement of the profiled system, including relevant source descriptions, supply relationships, readings and service history, not only a voltage and an estimated percentage. That aspect may apply to a wider range of electrically powered systems than the complete sensing-system profile. RFC 7228’s energy constraints provide a useful orthogonal classification, rather than a rule that every UGS has the same power behavior (Bormann, Ersue, and Keränen 2014, §4). The sister workstream’s existing findings are preserved as candidates; its narrow first increment does not define the permanent domain boundary.</w:t>
      </w:r>
    </w:p>
    <w:p>
      <w:pPr>
        <w:widowControl/>
      </w:pPr>
      <w:r>
        <w:t>Coordination should establish a common subject and relationship with the system description, while leaving the power work responsible for selecting its detailed quantities, source types and applicable model content. Static descriptors, changing readings and relevant events can be connected without forcing them into one resource or inventing a universal battery object. The present paper does not amend the Power Source PBI, choose a battery estimator or approve new control behavior. It records the broader applicability objective and the integration questions that the two workstreams must resolve together (Power Source PITON 2026, §§1–3; Power Source Decision Sheet 2026, §§1–3).</w:t>
      </w:r>
    </w:p>
    <w:p>
      <w:pPr>
        <w:pStyle w:val="Heading2"/>
        <w:keepNext/>
        <w:widowControl/>
      </w:pPr>
      <w:r>
        <w:t>1.10 Profile awareness should add domain understanding, not block access</w:t>
      </w:r>
    </w:p>
    <w:p>
      <w:pPr>
        <w:widowControl/>
      </w:pPr>
      <w:r>
        <w:t>The compatibility objective is layered consumption of the same standards-based information. A Features client should retain access to supported feature representations and links; a CSAPI/SensorML consumer should retain access to the base resources and descriptions it implements; a profile-aware client should additionally recognize the domain organization and use it in sensor-centered workflows. This depends on preserving the applicable base contracts and on each client’s supported encodings and capabilities. It is not a guarantee that every existing client displays every field or interprets an unfamiliar domain relation (Open Geospatial Consortium 2025a, §§7, 19; 2025c; 2025d, §§7.3, 8.3).</w:t>
      </w:r>
    </w:p>
    <w:p>
      <w:pPr>
        <w:widowControl/>
      </w:pPr>
      <w:r>
        <w:t>The client benefit sought is a coherent description of this sensor in its operating arrangement, not a screen organized around the standards’ document sections. Equipment, communications, power and deployment can be presented together while their source relationships remain traceable underneath. Necessary qualifications belong at the point where they affect understanding or action, with deeper technical detail available when needed. The established MERLIN semantic-presentation guidance supports that separation between source meaning and useful presentation; this profile work should reinforce it rather than recreate a generic integrator browser (MERLIN Semantic Presentation and Interaction Guide 2026, §§2–4).</w:t>
      </w:r>
    </w:p>
    <w:p>
      <w:pPr>
        <w:pStyle w:val="Heading2"/>
        <w:keepNext/>
        <w:widowControl/>
      </w:pPr>
      <w:r>
        <w:t>1.11 The reuse case and the work that remains ours</w:t>
      </w:r>
    </w:p>
    <w:p>
      <w:pPr>
        <w:widowControl/>
      </w:pPr>
      <w:r>
        <w:t>The intended reusable result is a domain description that independent integrations and clients can recognize without inventing a different model for every supplier. The advantage is not that SensorML otherwise cannot hold the values; it is that established models may supply definitions, relationships and content organization that would otherwise have to be authored and maintained locally. A competent direct-OGC comparison must therefore account for the origin and cost of its domain knowledge. It cannot be credited with a complete sensor-centric model for free and then used to dismiss the value of model reuse (PITON v2.0 2026, §§2–3).</w:t>
      </w:r>
    </w:p>
    <w:p>
      <w:pPr>
        <w:widowControl/>
      </w:pPr>
      <w:r>
        <w:t>Supplier interfaces, source-specific mappings, unsupported information and product integration remain engineering work. New OGC bindings, version coordination and profile stewardship are additional work when no applicable community artifact already exists. The recovered code and papers demonstrate engineering precedent, not measured MERLIN labor savings. The recommendation is supported by model coverage and intended reuse; quantitative cost claims must wait for actual effort evidence rather than substitute invented return-on-investment figures.</w:t>
      </w:r>
    </w:p>
    <w:p>
      <w:pPr>
        <w:pStyle w:val="Heading2"/>
        <w:keepNext/>
        <w:widowControl/>
      </w:pPr>
      <w:r>
        <w:t>1.12 Adoption and openness affect the path, not the category conclusion</w:t>
      </w:r>
    </w:p>
    <w:p>
      <w:pPr>
        <w:widowControl/>
      </w:pPr>
      <w:r>
        <w:t>The supplied DISR export remains the complete current baseline for this investigation. It lists RFC 8348 and the exact MIMOSA editions already recorded, while the selected SNRA, OSUS and RFC 7228/7326 references have no entries of their own. Several historical IEEE 1451 editions are Retired, while ISO/IEC/IEEE 21451-1, -2 and -4:2010 are Emerging; that distinction matters when using the NIST paper as precedent rather than proposing its legacy stack. No duplicate addition request is warranted for an already listed standard, and a reference architecture used to organize research is not automatically a new implementation dependency (StandardsReport 2026, full-export checks of 12 October).</w:t>
      </w:r>
    </w:p>
    <w:p>
      <w:pPr>
        <w:widowControl/>
      </w:pPr>
      <w:r>
        <w:t>NATO evidence remains separate: Dstl reports combined use of SAPIENT, OSUS and OGC SWE in multinational experimentation, not a general NATO mandate for those implementations. The existing STANAG 4789 custodial context is the relevant coordination starting point for a justified sensor profile; native external standards or other domain obligations require their own exact applicability assessment. Openness must also be assessed by artifact: OSUS-R software carries a CC0 dedication, the ISO preview retains restrictive publication rights, and external model dictionaries may impose separate terms. Recommend no immediate submission; prepare an exact profile or normative-dependency case only after its content and implementation role are selected (Dstl 2024; NATO Standardization Office 2026; OSUS-R Contributors n.d.; ISO/IEC 2013).</w:t>
      </w:r>
    </w:p>
    <w:p>
      <w:pPr>
        <w:pStyle w:val="Heading2"/>
        <w:keepNext/>
        <w:widowControl/>
      </w:pPr>
      <w:r>
        <w:t>1.13 Outcome and the next decision this enables</w:t>
      </w:r>
    </w:p>
    <w:p>
      <w:pPr>
        <w:widowControl/>
      </w:pPr>
      <w:r>
        <w:t>Recommend accepting the broader physical-sensing-system scope as the working basis for profile development. Use SNRA’s sensor-network entities as a category/coverage reference, OSUS’s asset abstraction as a concrete UGS-community comparison, and OGC System/Deployment representations as the integration foundation. Evaluate the existing equipment, power and lifecycle models within that basis instead of reopening the question solely around sparse TRSS or OmniSense fields. This is an evidence-supported scope transition; it is not a claim that a complete industry-defined CSAPI profile has been discovered.</w:t>
      </w:r>
    </w:p>
    <w:p>
      <w:pPr>
        <w:widowControl/>
      </w:pPr>
      <w:r>
        <w:t>The next deliverable should be a profile outline and content-source selection for the complete deployed-system description. For each operator-relevant subject, identify the authoritative model content proposed for reuse, the OGC representation approach, the applicable system families, and what would be authored locally. Keep MIMOSA’s exact-edition gap and the unresolved OEM/CDIF lineage visible, but do not make either a prerequisite to drafting the scope and subject coverage. A subsequent recommendation should change only when a named requirement or inspected source changes the applicability case—not because the latest discussion emphasized a different small example.</w:t>
      </w:r>
    </w:p>
    <w:p>
      <w:pPr>
        <w:pStyle w:val="Heading2"/>
        <w:keepNext/>
        <w:pageBreakBefore/>
        <w:widowControl/>
      </w:pPr>
      <w:r>
        <w:t>1.14 Figure 1: conceptual integration approach retained</w:t>
      </w:r>
    </w:p>
    <w:p>
      <w:pPr>
        <w:widowControl/>
      </w:pPr>
      <w:r>
        <w:drawing>
          <wp:inline xmlns:a="http://schemas.openxmlformats.org/drawingml/2006/main" xmlns:pic="http://schemas.openxmlformats.org/drawingml/2006/picture">
            <wp:extent cx="6346190" cy="3966369"/>
            <wp:docPr id="1" name="Picture 1" descr="Landscape recommendation: selected domain agreements guide source integrations and MERLIN views while the information path retains the OGC foundation. Candidate models are conditional research options, not mandatory runtime layers."/>
            <wp:cNvGraphicFramePr>
              <a:graphicFrameLocks noChangeAspect="1"/>
            </wp:cNvGraphicFramePr>
            <a:graphic>
              <a:graphicData uri="http://schemas.openxmlformats.org/drawingml/2006/picture">
                <pic:pic>
                  <pic:nvPicPr>
                    <pic:cNvPr id="0" name="recommendation_diagram.png"/>
                    <pic:cNvPicPr/>
                  </pic:nvPicPr>
                  <pic:blipFill>
                    <a:blip r:embed="rId11"/>
                    <a:stretch>
                      <a:fillRect/>
                    </a:stretch>
                  </pic:blipFill>
                  <pic:spPr>
                    <a:xfrm>
                      <a:off x="0" y="0"/>
                      <a:ext cx="6346190" cy="3966369"/>
                    </a:xfrm>
                    <a:prstGeom prst="rect"/>
                  </pic:spPr>
                </pic:pic>
              </a:graphicData>
            </a:graphic>
          </wp:inline>
        </w:drawing>
      </w:r>
    </w:p>
    <w:p>
      <w:pPr>
        <w:pStyle w:val="Caption"/>
        <w:widowControl/>
      </w:pPr>
      <w:r>
        <w:t>Figure 1. Retained conceptual diagram: domain knowledge guides integration and client interpretation over the OGC foundation. The original candidate rankings and “shared agreement” wording are historical labels, not current model selections. Read Section 1 for the proposed profile scope and precise implementation roles.</w:t>
      </w:r>
    </w:p>
    <w:p>
      <w:pPr>
        <w:widowControl/>
      </w:pPr>
      <w:r>
        <w:t>The diagram preserves the concept the project lead found useful, not the restriction that the profile be limited to sparse equipment examples. In the current recommendation, “agreement” is expressed as an application profile with identified domain models and OGC bindings. Whole-system lifecycle and the coordinated Power Source aspect remain part of that description. No new middleware layer or simultaneous native implementation of every named standard is implied.</w:t>
      </w:r>
    </w:p>
    <w:p>
      <w:pPr>
        <w:pStyle w:val="Heading2"/>
        <w:keepNext/>
        <w:widowControl/>
      </w:pPr>
      <w:r>
        <w:t>1.15 Research reconciliation after the four sibling studies</w:t>
      </w:r>
    </w:p>
    <w:p>
      <w:pPr>
        <w:widowControl/>
      </w:pPr>
      <w:r>
        <w:t>The 14 October Power Source recommendation proposes the RFC 7326 energy-object and relationship framework with RFC 7577 battery specialization as the next drafting basis. The ISA Phase 2 assessment supports selected rules for configuration versus action, representing non-native equipment, normalized/native coexistence and extension maturity, while rejecting a universal readiness field and a drop-in ISA CCD function object. The IEEE 1451/TEDS Pass 1A finding supplies promising channel-level semantics but explicitly gates its normative dependencies on authorized full-text access. The foundational review clarifies ontology roles, OMS observation semantics and qualified observed variables without recommending a new ontology runtime.</w:t>
      </w:r>
    </w:p>
    <w:p>
      <w:pPr>
        <w:widowControl/>
      </w:pPr>
      <w:r>
        <w:t>The resulting research picture supports the existing SensorML 3.0, SWE Common 3.0 and CSAPI Parts 1–2 architecture as the common representation, subject to the ordinary OGC conformance conditions. It does not settle every authored MPSS relationship or establish cross-vendor interoperability; in particular, the exact IEEE requirements and OMS ObservingCapability rules are source-gated. This v0.8 edition is a documentary reconciliation, not a revision of main-profile v0.3.1, and all sibling recommendations remain proposed until owner approval and coordinated binding review.</w:t>
      </w:r>
    </w:p>
    <w:p>
      <w:pPr>
        <w:pStyle w:val="Heading1"/>
        <w:keepNext/>
        <w:pageBreakBefore/>
        <w:widowControl/>
      </w:pPr>
      <w:r>
        <w:t>2. Research scope and evidence method</w:t>
      </w:r>
    </w:p>
    <w:p>
      <w:pPr>
        <w:pStyle w:val="Heading2"/>
        <w:keepNext/>
        <w:widowControl/>
        <w:spacing w:before="100"/>
      </w:pPr>
      <w:r>
        <w:t>2.1 Purpose and comparison basis</w:t>
      </w:r>
    </w:p>
    <w:p>
      <w:pPr>
        <w:widowControl/>
        <w:spacing w:after="60" w:line="240" w:lineRule="auto"/>
      </w:pPr>
      <w:r>
        <w:t>The governing question is which established engineering categories and information models support a reusable description of complete, employed sensing systems through OGC. The latest PITON v2.0 supersedes the earlier next-action sequence and the broad use of v0.6’s narrow equipment conclusion. A competent direct-OGC alternative remains part of the comparison, but the source and cost of its domain knowledge must be explicit rather than assumed to be free (PITON v2.0 2026, §§2–3, 12).</w:t>
      </w:r>
    </w:p>
    <w:p>
      <w:pPr>
        <w:widowControl/>
        <w:spacing w:after="60" w:line="240" w:lineRule="auto"/>
      </w:pPr>
      <w:r>
        <w:t>Profile coverage is distinct from the information presently available for individual examples. The reference cases reveal operator needs; they do not forbid broader model support grounded in authoritative sources. Lifecycle and Power Source are integral to the scope, while the sister workstream retains its detailed assignment. No PBI, server, or independent profiling-research artifact is silently amended by this paper.</w:t>
      </w:r>
    </w:p>
    <w:p>
      <w:pPr>
        <w:pStyle w:val="Heading2"/>
        <w:keepNext/>
        <w:widowControl/>
        <w:spacing w:before="100"/>
      </w:pPr>
      <w:r>
        <w:t>2.2 Sources, depth and citations</w:t>
      </w:r>
    </w:p>
    <w:p>
      <w:pPr>
        <w:widowControl/>
        <w:spacing w:after="60" w:line="240" w:lineRule="auto"/>
      </w:pPr>
      <w:r>
        <w:t>This remains a purposive literature and applicability review rather than an exhaustive systematic survey. New work recovered selected full publications, a partial standards preview and pinned reference-implementation code, while several priority historical papers and the thesis remain abstract-level leads. Each new source states its actual inspection depth. The category argument uses that evidence directly instead of reconstructing unseen OEM specifications.</w:t>
      </w:r>
    </w:p>
    <w:p>
      <w:pPr>
        <w:widowControl/>
        <w:spacing w:after="60" w:line="240" w:lineRule="auto"/>
      </w:pPr>
      <w:r>
        <w:t>References use Chicago Manual of Style, eighteenth-edition, author–date conventions. Stable S-identifiers preserve S01–S42 and add S43–S52; full references occur with individual annotations. Repository pins and clause or page locators are supplied where they support substantive claims. Prior findings retain their original inspection limits unless the entry explicitly records a new review.</w:t>
      </w:r>
    </w:p>
    <w:p>
      <w:pPr>
        <w:pStyle w:val="Heading2"/>
        <w:keepNext/>
        <w:widowControl/>
        <w:spacing w:before="100"/>
      </w:pPr>
      <w:r>
        <w:t>2.3 Implementation meaning without a testing detour</w:t>
      </w:r>
    </w:p>
    <w:p>
      <w:pPr>
        <w:widowControl/>
        <w:spacing w:after="60" w:line="240" w:lineRule="auto"/>
      </w:pPr>
      <w:r>
        <w:t>Each source’s implementation role must be stated as a native implementation, a permitted model realization, a profile, a mapping, vocabulary use, or informative guidance. A new binding is not automatically conformance to its donor, and a native information artifact need not imply a complete additional service architecture. This classification supports honest recommendations; it does not authorize a compliance-testing workstream. The earlier predicate work remains inactive research history.</w:t>
      </w:r>
    </w:p>
    <w:p>
      <w:pPr>
        <w:widowControl/>
        <w:spacing w:after="60" w:line="240" w:lineRule="auto"/>
      </w:pPr>
      <w:r>
        <w:t>Complete MIMOSA production archives, the original common-UGS interface paper, the OmniSense/CDIF specification and the full Klawon thesis were not obtained. ISO/IEC 29182-4 was inspected only through the available preview, not its complete 22-page body. Those gaps limit exact model and historical-implementation claims; they do not negate the category evidence or require a return to screenshot-limited scope. The new chapter clearly separates source statements from this study’s proposed applicability rules.</w:t>
      </w:r>
    </w:p>
    <w:p>
      <w:pPr>
        <w:pStyle w:val="Heading2"/>
        <w:keepNext/>
        <w:widowControl/>
        <w:spacing w:before="100"/>
      </w:pPr>
      <w:r>
        <w:t>2.4 Adoption, rights and authority</w:t>
      </w:r>
    </w:p>
    <w:p>
      <w:pPr>
        <w:widowControl/>
        <w:spacing w:after="60" w:line="240" w:lineRule="auto"/>
      </w:pPr>
      <w:r>
        <w:t>The supplied 10 October 2026 export is the complete authoritative DISR baseline. Successful whole-export checks establish exact records and the reported absences; an additional live registry verification is not required. One later alias query returned no known positive-control match and is recorded as a retrieval failure, not evidence that previously confirmed records disappeared. Technical suitability, pending proposals and reasons for historical absence remain distinct questions (StandardsReport 2026).</w:t>
      </w:r>
    </w:p>
    <w:p>
      <w:pPr>
        <w:widowControl/>
        <w:spacing w:after="60" w:line="240" w:lineRule="auto"/>
      </w:pPr>
      <w:r>
        <w:t>NATO technical publications, profile references, experimentation and national adoption remain separate evidence types. This increment does not infer mandates from Dstl’s experimentation report or equate DISR status with NATO adoption. Openness is assessed at the artifact level, including source text, software, dictionary terms, and redistribution rights. Recommendations here do not submit changes or alter the existing STANAG 4789 process.</w:t>
      </w:r>
    </w:p>
    <w:p>
      <w:pPr>
        <w:pStyle w:val="Heading1"/>
        <w:keepNext/>
        <w:pageBreakBefore/>
        <w:widowControl/>
      </w:pPr>
      <w:r>
        <w:t>3. Narrative annotated bibliography</w:t>
      </w:r>
    </w:p>
    <w:p>
      <w:pPr>
        <w:pStyle w:val="Small"/>
        <w:widowControl/>
      </w:pPr>
      <w:r>
        <w:t>One hundred eight individually annotated sources are indexed by stable S-identifiers. Entries S01–S52 are preserved from the original 12 October v0.7 review, including original inspection limits and historical next questions; S53–S109 record additional post-baseline research. Source inclusion does not imply implementation, adoption, complete normative inspection, or endorsement. For date-sensitive decisions, prefer the later evidence and explicit source gate without silently revising the historical annotation.</w:t>
      </w:r>
    </w:p>
    <w:p>
      <w:pPr>
        <w:pStyle w:val="Heading1"/>
        <w:keepNext/>
        <w:pageBreakBefore w:val="0"/>
        <w:widowControl/>
      </w:pPr>
      <w:r>
        <w:t>I. The OGC foundation</w:t>
      </w:r>
    </w:p>
    <w:p>
      <w:pPr>
        <w:widowControl/>
      </w:pPr>
      <w:r>
        <w:t>These sources define the baseline that an added agreement must improve upon. Their mechanisms must be understood before an uncertainty is labeled an OGC gap. The annotations focus on existing carriers of meaning rather than assuming that every useful domain convention must become a new standard.</w:t>
      </w:r>
    </w:p>
    <w:p>
      <w:pPr>
        <w:pStyle w:val="Heading2"/>
        <w:keepNext/>
        <w:pageBreakBefore w:val="0"/>
        <w:widowControl/>
      </w:pPr>
      <w:r>
        <w:t>S01  |  SensorML 3.0</w:t>
      </w:r>
    </w:p>
    <w:p>
      <w:pPr>
        <w:pStyle w:val="Reference"/>
        <w:keepNext/>
        <w:widowControl/>
      </w:pPr>
      <w:r>
        <w:t xml:space="preserve">Open Geospatial Consortium. 2025c. </w:t>
      </w:r>
      <w:r>
        <w:rPr>
          <w:i/>
        </w:rPr>
        <w:t>OGC SensorML Encoding Standard</w:t>
      </w:r>
      <w:r>
        <w:t>. 3.0; OGC 23-000. https://docs.ogc.org/is/23-000/23-000.html</w:t>
      </w:r>
    </w:p>
    <w:p>
      <w:pPr>
        <w:pStyle w:val="Metadata"/>
        <w:keepNext/>
        <w:widowControl/>
      </w:pPr>
      <w:r>
        <w:t>INSPECTION  Earlier clauses retained; this increment rechecks §1 and §§8.9.2–8.9.3 for whole-system deployment scope • 12 October 2026</w:t>
      </w:r>
    </w:p>
    <w:p>
      <w:pPr>
        <w:pStyle w:val="Heading3"/>
        <w:keepNext/>
        <w:widowControl/>
      </w:pPr>
      <w:r>
        <w:t>Purpose, scope, and original problem</w:t>
      </w:r>
    </w:p>
    <w:p>
      <w:pPr>
        <w:widowControl/>
      </w:pPr>
      <w:r>
        <w:t>SensorML describes processes and systems rather than prescribing one equipment taxonomy. Its scope anticipates community-specific semantic definitions. That makes it part of the competent baseline, not evidence that a new domain framework must replace OGC (Open Geospatial Consortium 2025c, §1).</w:t>
      </w:r>
    </w:p>
    <w:p>
      <w:pPr>
        <w:pStyle w:val="Heading3"/>
        <w:keepNext/>
        <w:widowControl/>
      </w:pPr>
      <w:r>
        <w:t>Relevant concepts and mechanisms</w:t>
      </w:r>
    </w:p>
    <w:p>
      <w:pPr>
        <w:widowControl/>
      </w:pPr>
      <w:r>
        <w:t>The inspected model supports identifiers, characteristics, capabilities, and reuse through typeOf. The latter distinguishes a reusable base description from a particular process description or configuration. These mechanisms provide candidate locations for shared meaning, but they do not themselves define our vendors’ equipment facts (Open Geospatial Consortium 2025c, §8.2.9.3).</w:t>
      </w:r>
    </w:p>
    <w:p>
      <w:pPr>
        <w:pStyle w:val="Heading3"/>
        <w:keepNext/>
        <w:widowControl/>
      </w:pPr>
      <w:r>
        <w:t>Relevance to MERLIN and the research question</w:t>
      </w:r>
    </w:p>
    <w:p>
      <w:pPr>
        <w:widowControl/>
      </w:pPr>
      <w:r>
        <w:t>SensorML is the descriptive framework for the proposed family-level profile, not a reason to limit it to selected visible fields. Its Deployment and DeployedSystem content directly supports the whole employed-system description. Domain models may supply useful content within that framework even when the base encoding can already represent the individual facts (Open Geospatial Consortium 2025c, §§1, 8.9).</w:t>
      </w:r>
    </w:p>
    <w:p>
      <w:pPr>
        <w:pStyle w:val="Heading3"/>
        <w:keepNext/>
        <w:widowControl/>
      </w:pPr>
      <w:r>
        <w:t>Relationship to OGC and other candidate work</w:t>
      </w:r>
    </w:p>
    <w:p>
      <w:pPr>
        <w:widowControl/>
      </w:pPr>
      <w:r>
        <w:t>This source should be compared with device and asset models at the level of identity, type reuse, and property ownership. Similar-looking hierarchies are insufficient evidence of equivalent lifecycles. In the proposed comparison, an external definition may clarify a SensorML property while the existing OGC representation remains unchanged.</w:t>
      </w:r>
    </w:p>
    <w:p>
      <w:pPr>
        <w:pStyle w:val="Heading3"/>
        <w:keepNext/>
        <w:widowControl/>
      </w:pPr>
      <w:r>
        <w:t>Implementation, openness, limits, and next question</w:t>
      </w:r>
    </w:p>
    <w:p>
      <w:pPr>
        <w:widowControl/>
      </w:pPr>
      <w:r>
        <w:t>Retain SensorML as the native description foundation and select the domain content needed for the operator’s whole-system view. The current comparison concerns where that content comes from and what remains authored locally. No live integration or full conformance result is claimed by the present review.</w:t>
      </w:r>
    </w:p>
    <w:p>
      <w:pPr>
        <w:pStyle w:val="Heading3"/>
        <w:keepNext/>
        <w:widowControl/>
      </w:pPr>
      <w:r>
        <w:t>Intended use, specialization, and conformance boundary</w:t>
      </w:r>
    </w:p>
    <w:p>
      <w:pPr>
        <w:widowControl/>
      </w:pPr>
      <w:r>
        <w:t>SensorML serves developers and users of sensor/process descriptions, including inventory, discovery, observation interpretation, and executable processing. Its scope encourages shared community semantics and specifically envisions profiles of small atomic processes; that is not an instruction that every implementer must create a new profile. Using an agreed definition in an existing descriptive property can be content specialization rather than an extension of the base model (Open Geospatial Consortium 2025c, §1).</w:t>
      </w:r>
    </w:p>
    <w:p>
      <w:pPr>
        <w:widowControl/>
      </w:pPr>
      <w:r>
        <w:t>Conformance remains bounded: §2 requires SensorML extensions to conform to OGC ModSpec, and the selected target must satisfy its applicable requirements and tests. The separate metadata-extension mechanism uses a separate namespace and cannot be necessary for, or alter, process execution; generic SensorML software need not interpret it. Therefore a proposed MERLIN content agreement must identify its target, dependencies, semantics, and tests, while any changed structure needs a separately justified encoding/extension treatment (Open Geospatial Consortium 2025c, §§2, 7.1, 8.2.2.1, 9, annex A; Open Geospatial Consortium 2009b, §§4.16, 6.5).</w:t>
      </w:r>
    </w:p>
    <w:p>
      <w:pPr>
        <w:pStyle w:val="Heading3"/>
        <w:keepNext/>
        <w:widowControl/>
      </w:pPr>
      <w:r>
        <w:t>Proposed implementation and conformance claim</w:t>
      </w:r>
    </w:p>
    <w:p>
      <w:pPr>
        <w:widowControl/>
      </w:pPr>
      <w:r>
        <w:t>The proposed native implementation is SensorML 3.0 document production and consumption, not merely similar-looking JSON. For a physical-system case, identify /req/json-physical-system, its inherited classes and SWE dependencies, and the applicable Annex A assessments. Passing one document schema is narrower than demonstrating software or model conformance; no such complete assessment has run here (Open Geospatial Consortium 2025c, §2, §9, annex A.3).</w:t>
      </w:r>
    </w:p>
    <w:p>
      <w:pPr>
        <w:pStyle w:val="Heading3"/>
        <w:keepNext/>
        <w:widowControl/>
      </w:pPr>
      <w:r>
        <w:t>DISR standing, implications, and recommended action</w:t>
      </w:r>
    </w:p>
    <w:p>
      <w:pPr>
        <w:widowControl/>
      </w:pPr>
      <w:r>
        <w:t>SensorML 3.0 is in the authoritative current DISR baseline as Emerging / IC-Emerging. Recommend no request to add an already listed edition; assess any status-transition proposal through existing work and avoid a duplicate submission. Older mandated editions retain their own records and must not be automatically retired by this research (S25; “StandardsReport” 2026).</w:t>
      </w:r>
    </w:p>
    <w:p>
      <w:pPr>
        <w:pStyle w:val="Heading3"/>
        <w:keepNext/>
        <w:widowControl/>
      </w:pPr>
      <w:r>
        <w:t>NATO standing, implications, and recommended action</w:t>
      </w:r>
    </w:p>
    <w:p>
      <w:pPr>
        <w:widowControl/>
      </w:pPr>
      <w:r>
        <w:t>The supplied NSO letter places STANAG 4789 Edition 1 in Ratification Draft 1, with responses due November 28, 2026; the covering text assigns core APIs and encodings to AEP-4789 Volume II (NATO Standardization Office 2026, cover letter and “Interoperability Requirements”). The project handoff associates this OGC edition with that package, but the actual Volume II clauses were not recovered for fresh inspection. Coordinate through the existing custodial route, verify the exact adopted edition and national implementation obligations, and assess a NISP/profile update when warranted; do not propose a duplicate STANAG or describe ratification as promulgation.</w:t>
      </w:r>
    </w:p>
    <w:p>
      <w:pPr>
        <w:pStyle w:val="Heading3"/>
        <w:keepNext/>
        <w:widowControl/>
      </w:pPr>
      <w:r>
        <w:t>Reconciliation note — 17 October 2026</w:t>
      </w:r>
    </w:p>
    <w:p>
      <w:pPr>
        <w:widowControl/>
      </w:pPr>
      <w:r>
        <w:t>Native SensorML Mode metadata now carries the existing sensing-function and function-binding groups in the approved v0.3.4 increment. The containing process retains shared definitions and native Settings paths, while mode scoping and common-client interpretation remain MPSS-authored. The v0.3.5 baseline preserves those choices unchanged. This is selected native representation plus authored profile rules, not a second capability model (MERLIN MPSS Profile 2026, R04/R09–R10).</w:t>
      </w:r>
    </w:p>
    <w:p>
      <w:pPr>
        <w:pStyle w:val="Heading2"/>
        <w:keepNext/>
        <w:pageBreakBefore w:val="0"/>
        <w:widowControl/>
      </w:pPr>
      <w:r>
        <w:t>S02  |  SWE Common 3.0</w:t>
      </w:r>
    </w:p>
    <w:p>
      <w:pPr>
        <w:pStyle w:val="Reference"/>
        <w:keepNext/>
        <w:widowControl/>
      </w:pPr>
      <w:r>
        <w:t xml:space="preserve">Open Geospatial Consortium. 2025d. </w:t>
      </w:r>
      <w:r>
        <w:rPr>
          <w:i/>
        </w:rPr>
        <w:t>OGC SWE Common Data Model Encoding Standard</w:t>
      </w:r>
      <w:r>
        <w:t>. 3.0; OGC 24-014. https://docs.ogc.org/is/24-014/24-014.html</w:t>
      </w:r>
    </w:p>
    <w:p>
      <w:pPr>
        <w:pStyle w:val="Metadata"/>
        <w:keepNext/>
        <w:widowControl/>
      </w:pPr>
      <w:r>
        <w:t>INSPECTION  §9 component contracts and definition-resolvable requirement; inherited dependency analysis  •  12 October 2026</w:t>
      </w:r>
    </w:p>
    <w:p>
      <w:pPr>
        <w:pStyle w:val="Heading3"/>
        <w:keepNext/>
        <w:widowControl/>
      </w:pPr>
      <w:r>
        <w:t>Purpose, scope, and original problem</w:t>
      </w:r>
    </w:p>
    <w:p>
      <w:pPr>
        <w:widowControl/>
      </w:pPr>
      <w:r>
        <w:t>SWE Common separates data structure from the definitions that establish what values mean. The inspected clauses distinguish human-readable labels from semantic references. This is directly relevant to the difference between a readable MERLIN field and a reliably recognizable machine contract (Open Geospatial Consortium 2025d, §§7.3.1–7.3.2).</w:t>
      </w:r>
    </w:p>
    <w:p>
      <w:pPr>
        <w:pStyle w:val="Heading3"/>
        <w:keepNext/>
        <w:widowControl/>
      </w:pPr>
      <w:r>
        <w:t>Relevant concepts and mechanisms</w:t>
      </w:r>
    </w:p>
    <w:p>
      <w:pPr>
        <w:widowControl/>
      </w:pPr>
      <w:r>
        <w:t>The standard supports semantic definitions for aggregates as well as individual components. Its discussion includes interpretation and visualization of grouped data. A familiar record label alone is therefore not the agreement we are seeking; an explicitly defined aggregate is a more appropriate mechanism to investigate (Open Geospatial Consortium 2025d, §8.3).</w:t>
      </w:r>
    </w:p>
    <w:p>
      <w:pPr>
        <w:pStyle w:val="Heading3"/>
        <w:keepNext/>
        <w:widowControl/>
      </w:pPr>
      <w:r>
        <w:t>Relevance to MERLIN and the research question</w:t>
      </w:r>
    </w:p>
    <w:p>
      <w:pPr>
        <w:widowControl/>
      </w:pPr>
      <w:r>
        <w:t>A proposed reusable electrical-readings group should identify its subject, constituent meanings, and applicable units before receiving a specialized display. Missing values must remain missing in that group. The value proposition is reusable interpretation of supplied information, not the appearance of a richer dashboard.</w:t>
      </w:r>
    </w:p>
    <w:p>
      <w:pPr>
        <w:pStyle w:val="Heading3"/>
        <w:keepNext/>
        <w:widowControl/>
      </w:pPr>
      <w:r>
        <w:t>Relationship to OGC and other candidate work</w:t>
      </w:r>
    </w:p>
    <w:p>
      <w:pPr>
        <w:widowControl/>
      </w:pPr>
      <w:r>
        <w:t>Quantity vocabularies could supply definitions while a domain agreement adds relationships, constraints, and recognition rules. These would be different contributions rather than interchangeable standards. The direct-OGC baseline must be allowed to use good definitions too, so the comparison measures coordinated agreement rather than an artificially weakened baseline.</w:t>
      </w:r>
    </w:p>
    <w:p>
      <w:pPr>
        <w:pStyle w:val="Heading3"/>
        <w:keepNext/>
        <w:widowControl/>
      </w:pPr>
      <w:r>
        <w:t>Implementation, openness, limits, and next question</w:t>
      </w:r>
    </w:p>
    <w:p>
      <w:pPr>
        <w:widowControl/>
      </w:pPr>
      <w:r>
        <w:t>SWE Common remains the native carrier for typed and semantically identified values, including aggregates. The substantive comparison concerns which domain groups and relationships can be agreed once and recognized across integrations. No separate recognition registry or validation project is selected by this literature review.</w:t>
      </w:r>
    </w:p>
    <w:p>
      <w:pPr>
        <w:pStyle w:val="Heading3"/>
        <w:keepNext/>
        <w:widowControl/>
      </w:pPr>
      <w:r>
        <w:t>Intended use, specialization, and conformance boundary</w:t>
      </w:r>
    </w:p>
    <w:p>
      <w:pPr>
        <w:widowControl/>
      </w:pPr>
      <w:r>
        <w:t>SWE Common is intended for developers exchanging self-described structured values, not as a catalog of every domain property. The standard separates labels, semantic definitions, component structure, and encoding, and permits definitions for aggregates. A domain group should therefore use those existing mechanisms with agreed component meanings and units; adding an attractive label or arbitrary JSON fields is not equivalent to a reusable content contract (Open Geospatial Consortium 2025d, §§7.3, 8.3, 9–10).</w:t>
      </w:r>
    </w:p>
    <w:p>
      <w:pPr>
        <w:pStyle w:val="Heading3"/>
        <w:keepNext/>
        <w:widowControl/>
      </w:pPr>
      <w:r>
        <w:t>Proposed implementation and conformance claim</w:t>
      </w:r>
    </w:p>
    <w:p>
      <w:pPr>
        <w:widowControl/>
      </w:pPr>
      <w:r>
        <w:t>The target is the actual SWE component or encoding contract used by the OGC implementation. Assessment must cover the selected classes, inherited dependencies, semantic-definition obligations and value constraints, not only field datatypes. SensorML’s declared block-component dependency cannot be silently replaced by a handpicked simple-field subset because the first example is small (Open Geospatial Consortium 2025d, §9; 2025c, §9.1.1).</w:t>
      </w:r>
    </w:p>
    <w:p>
      <w:pPr>
        <w:pStyle w:val="Heading3"/>
        <w:keepNext/>
        <w:widowControl/>
      </w:pPr>
      <w:r>
        <w:t>DISR standing, implications, and recommended action</w:t>
      </w:r>
    </w:p>
    <w:p>
      <w:pPr>
        <w:widowControl/>
      </w:pPr>
      <w:r>
        <w:t>SWE Common 3.0 is in the authoritative current DISR baseline as Emerging / IC-Emerging. Recommend no request to add an already listed edition; assess any status-transition proposal through existing work and avoid a duplicate submission. Older mandated editions retain their own records and must not be automatically retired by this research (S25; “StandardsReport” 2026).</w:t>
      </w:r>
    </w:p>
    <w:p>
      <w:pPr>
        <w:pStyle w:val="Heading3"/>
        <w:keepNext/>
        <w:widowControl/>
      </w:pPr>
      <w:r>
        <w:t>NATO standing, implications, and recommended action</w:t>
      </w:r>
    </w:p>
    <w:p>
      <w:pPr>
        <w:widowControl/>
      </w:pPr>
      <w:r>
        <w:t>The supplied NSO letter places STANAG 4789 Edition 1 in Ratification Draft 1, with responses due November 28, 2026; the covering text assigns core APIs and encodings to AEP-4789 Volume II (NATO Standardization Office 2026, cover letter and “Interoperability Requirements”). The project handoff associates this OGC edition with that package, but the actual Volume II clauses were not recovered for fresh inspection. Coordinate through the existing custodial route, verify the exact adopted edition and national implementation obligations, and assess a NISP/profile update when warranted; do not propose a duplicate STANAG or describe ratification as promulgation.</w:t>
      </w:r>
    </w:p>
    <w:p>
      <w:pPr>
        <w:pStyle w:val="Heading3"/>
        <w:keepNext/>
        <w:widowControl/>
      </w:pPr>
      <w:r>
        <w:t>Reconciliation note — 17 October 2026</w:t>
      </w:r>
    </w:p>
    <w:p>
      <w:pPr>
        <w:widowControl/>
      </w:pPr>
      <w:r>
        <w:t>The bounded v0.3.5 quantity example uses the existing SWE value, unit and nil mechanisms rather than adding unrecognized Observation members. A sentinel is identified before unit scaling, and the illustrative nil token remains example-local. S123 identifies the selected Quantity/basic-types schemas separately from this normative publication. Structural checks on those examples do not establish complete schema dependency closure or cross-vendor interoperability (MERLIN MPSS Profile 2026, R17).</w:t>
      </w:r>
    </w:p>
    <w:p>
      <w:pPr>
        <w:pStyle w:val="Heading2"/>
        <w:keepNext/>
        <w:pageBreakBefore w:val="0"/>
        <w:widowControl/>
      </w:pPr>
      <w:r>
        <w:t>S03  |  CSAPI Part 1: Feature Resources</w:t>
      </w:r>
    </w:p>
    <w:p>
      <w:pPr>
        <w:pStyle w:val="Reference"/>
        <w:keepNext/>
        <w:widowControl/>
      </w:pPr>
      <w:r>
        <w:t xml:space="preserve">Open Geospatial Consortium. 2025a. </w:t>
      </w:r>
      <w:r>
        <w:rPr>
          <w:i/>
        </w:rPr>
        <w:t>OGC API – Connected Systems – Part 1: Feature Resources</w:t>
      </w:r>
      <w:r>
        <w:t>. 1.0; OGC 23-001. https://docs.ogc.org/is/23-001/23-001.html</w:t>
      </w:r>
    </w:p>
    <w:p>
      <w:pPr>
        <w:pStyle w:val="Metadata"/>
        <w:keepNext/>
        <w:widowControl/>
      </w:pPr>
      <w:r>
        <w:t>INSPECTION  Earlier clauses retained; §11.1 deployment examples rechecked for current applicability • 12 October 2026</w:t>
      </w:r>
    </w:p>
    <w:p>
      <w:pPr>
        <w:pStyle w:val="Heading3"/>
        <w:keepNext/>
        <w:widowControl/>
      </w:pPr>
      <w:r>
        <w:t>Purpose, scope, and original problem</w:t>
      </w:r>
    </w:p>
    <w:p>
      <w:pPr>
        <w:widowControl/>
      </w:pPr>
      <w:r>
        <w:t>Part 1 defines the feature-resource side of Connected Systems, including systems and deployments. Its scope is broader than physical equipment and includes human participants. Any candidate device model must therefore apply to an appropriate subset, not redefine every CSAPI System as a physical device (Open Geospatial Consortium 2025a, abstract).</w:t>
      </w:r>
    </w:p>
    <w:p>
      <w:pPr>
        <w:pStyle w:val="Heading3"/>
        <w:keepNext/>
        <w:widowControl/>
      </w:pPr>
      <w:r>
        <w:t>Relevant concepts and mechanisms</w:t>
      </w:r>
    </w:p>
    <w:p>
      <w:pPr>
        <w:widowControl/>
      </w:pPr>
      <w:r>
        <w:t>The inspected subsystem rules distinguish composition from aggregation. The endpoint must include permanently attached subsystems and may include currently deployed ones; deployment descriptions provide a way to capture changeable arrangements. Deployment identity and validTime are explicit properties, not facts established merely by a mission label (Open Geospatial Consortium 2025a, §§10.2, 10.5, 11.2).</w:t>
      </w:r>
    </w:p>
    <w:p>
      <w:pPr>
        <w:pStyle w:val="Heading3"/>
        <w:keepNext/>
        <w:widowControl/>
      </w:pPr>
      <w:r>
        <w:t>Relevance to MERLIN and the research question</w:t>
      </w:r>
    </w:p>
    <w:p>
      <w:pPr>
        <w:widowControl/>
      </w:pPr>
      <w:r>
        <w:t>Part 1 provides a direct basis for an emplaced sensor and for appropriate mission-level deployments. Legacy emplacement records can be represented through Deployment when their meaning supports it; they need not already use the OGC resource name. The profile should connect these records to the sensor-centered view rather than treating deployment semantics as a reason to exclude lifecycle information (Open Geospatial Consortium 2025a, §11.1).</w:t>
      </w:r>
    </w:p>
    <w:p>
      <w:pPr>
        <w:pStyle w:val="Heading3"/>
        <w:keepNext/>
        <w:widowControl/>
      </w:pPr>
      <w:r>
        <w:t>Relationship to OGC and other candidate work</w:t>
      </w:r>
    </w:p>
    <w:p>
      <w:pPr>
        <w:widowControl/>
      </w:pPr>
      <w:r>
        <w:t>Hardware containment, power supply, functional location, and mission participation are separate relationship candidates. They should be compared with the exact OGC association, not collected under one generic relationship label. An external model is useful only when the chosen mapping preserves identity, temporal scope, and relationship direction.</w:t>
      </w:r>
    </w:p>
    <w:p>
      <w:pPr>
        <w:pStyle w:val="Heading3"/>
        <w:keepNext/>
        <w:widowControl/>
      </w:pPr>
      <w:r>
        <w:t>Implementation, openness, limits, and next question</w:t>
      </w:r>
    </w:p>
    <w:p>
      <w:pPr>
        <w:widowControl/>
      </w:pPr>
      <w:r>
        <w:t>The selected normative clauses have been inspected, but no complete vendor representation was validated. The publication’s availability is not proof of server support for every conformance class. The next question is which source-supported relationships the competent baseline can express without a new relationship convention.</w:t>
      </w:r>
    </w:p>
    <w:p>
      <w:pPr>
        <w:pStyle w:val="Heading3"/>
        <w:keepNext/>
        <w:widowControl/>
      </w:pPr>
      <w:r>
        <w:t>Intended use, specialization, and conformance boundary</w:t>
      </w:r>
    </w:p>
    <w:p>
      <w:pPr>
        <w:widowControl/>
      </w:pPr>
      <w:r>
        <w:t>Part 1 targets implementers of discoverable feature-resource services and their clients. It extends the OGC API–Features approach while distinguishing systems, procedures, deployments, and property definitions; the conformance framework specifies which resource capabilities are supported. A MERLIN domain agreement can select and constrain supported content, but must preserve the selected resource meanings, links, dependencies, and conformance claims rather than invent a parallel resource contract under familiar OGC names (Open Geospatial Consortium 2025a, §§1–2, 7, 9–13).</w:t>
      </w:r>
    </w:p>
    <w:p>
      <w:pPr>
        <w:pStyle w:val="Heading3"/>
        <w:keepNext/>
        <w:widowControl/>
      </w:pPr>
      <w:r>
        <w:t>Proposed implementation and conformance claim</w:t>
      </w:r>
    </w:p>
    <w:p>
      <w:pPr>
        <w:widowControl/>
      </w:pPr>
      <w:r>
        <w:t>CSAPI Part 1 is the proposed native resource API, including the selected resource and encoding capabilities. Any domain agreement must preserve the meanings of Systems, Procedures and Deployments rather than reuse their names for unrelated external classes. The prior dependency discrepancy remains historical research evidence; it does not gate the present content comparison (Open Geospatial Consortium 2025a, §§1–2, 10–11, 19).</w:t>
      </w:r>
    </w:p>
    <w:p>
      <w:pPr>
        <w:pStyle w:val="Heading3"/>
        <w:keepNext/>
        <w:widowControl/>
      </w:pPr>
      <w:r>
        <w:t>DISR standing, implications, and recommended action</w:t>
      </w:r>
    </w:p>
    <w:p>
      <w:pPr>
        <w:widowControl/>
      </w:pPr>
      <w:r>
        <w:t>CSAPI Part 1 v1.0 is in the authoritative current DISR baseline as Emerging / IC-Emerging. Recommend no request to add an already listed edition; assess any status-transition proposal through existing work and avoid a duplicate submission. Older related SWE standards retain separate records; this review does not establish older mandated CSAPI editions (S25; “StandardsReport” 2026).</w:t>
      </w:r>
    </w:p>
    <w:p>
      <w:pPr>
        <w:pStyle w:val="Heading3"/>
        <w:keepNext/>
        <w:widowControl/>
      </w:pPr>
      <w:r>
        <w:t>NATO standing, implications, and recommended action</w:t>
      </w:r>
    </w:p>
    <w:p>
      <w:pPr>
        <w:widowControl/>
      </w:pPr>
      <w:r>
        <w:t>The supplied NSO letter places STANAG 4789 Edition 1 in Ratification Draft 1, with responses due November 28, 2026; the covering text assigns core APIs and encodings to AEP-4789 Volume II (NATO Standardization Office 2026, cover letter and “Interoperability Requirements”). The project handoff associates this OGC edition with that package, but the actual Volume II clauses were not recovered for fresh inspection. Coordinate through the existing custodial route, verify the exact adopted edition and national implementation obligations, and assess a NISP/profile update when warranted; do not propose a duplicate STANAG or describe ratification as promulgation.</w:t>
      </w:r>
    </w:p>
    <w:p>
      <w:pPr>
        <w:pStyle w:val="Heading3"/>
        <w:keepNext/>
        <w:widowControl/>
      </w:pPr>
      <w:r>
        <w:t>Reconciliation note — 17 October 2026</w:t>
      </w:r>
    </w:p>
    <w:p>
      <w:pPr>
        <w:widowControl/>
      </w:pPr>
      <w:r>
        <w:t>The four applied increments retain CSAPI Part 1 as the feature-resource foundation. Version 0.3.5 strengthens use of the native sampling-subject mechanisms without treating every embedded component as a separate feature. S121 separately identifies the inspected property-definition schema subset, while the source standard retains S01. No new feature service or conformance certification was produced by this research edition (MERLIN MPSS Profile 2026, R11/R17).</w:t>
      </w:r>
    </w:p>
    <w:p>
      <w:pPr>
        <w:pStyle w:val="Heading2"/>
        <w:keepNext/>
        <w:pageBreakBefore w:val="0"/>
        <w:widowControl/>
      </w:pPr>
      <w:r>
        <w:t>S04  |  CSAPI Part 2: Dynamic Data</w:t>
      </w:r>
    </w:p>
    <w:p>
      <w:pPr>
        <w:pStyle w:val="Reference"/>
        <w:keepNext/>
        <w:widowControl/>
      </w:pPr>
      <w:r>
        <w:t xml:space="preserve">Open Geospatial Consortium. 2025b. </w:t>
      </w:r>
      <w:r>
        <w:rPr>
          <w:i/>
        </w:rPr>
        <w:t>OGC API – Connected Systems – Part 2: Dynamic Data</w:t>
      </w:r>
      <w:r>
        <w:t>. 1.0; OGC 23-002. https://docs.ogc.org/is/23-002/23-002.html</w:t>
      </w:r>
    </w:p>
    <w:p>
      <w:pPr>
        <w:pStyle w:val="Metadata"/>
        <w:keepNext/>
        <w:widowControl/>
      </w:pPr>
      <w:r>
        <w:t>INSPECTION  Retained earlier review; §10.11 command/progress semantics rechecked for the source’s delayed-change distinction. No native interaction asserted.  •  12 October 2026</w:t>
      </w:r>
    </w:p>
    <w:p>
      <w:pPr>
        <w:pStyle w:val="Heading3"/>
        <w:keepNext/>
        <w:widowControl/>
      </w:pPr>
      <w:r>
        <w:t>Purpose, scope, and original problem</w:t>
      </w:r>
    </w:p>
    <w:p>
      <w:pPr>
        <w:widowControl/>
      </w:pPr>
      <w:r>
        <w:t>Part 2 supplies dynamic-data resources rather than a universal device-status vocabulary. The inspected JSON clauses connect observation results and command parameters to their parent-stream schemas. That gives the research an existing exchange mechanism on which more specific interpretation can be tested (Open Geospatial Consortium 2025b, §16.1).</w:t>
      </w:r>
    </w:p>
    <w:p>
      <w:pPr>
        <w:pStyle w:val="Heading3"/>
        <w:keepNext/>
        <w:widowControl/>
      </w:pPr>
      <w:r>
        <w:t>Relevant concepts and mechanisms</w:t>
      </w:r>
    </w:p>
    <w:p>
      <w:pPr>
        <w:widowControl/>
      </w:pPr>
      <w:r>
        <w:t>For ordinary JSON observations, the result and optional parameter schemas are SWE Common component trees. Command schemas similarly describe parameters and optional results. These are structural and semantic carriers; the domain meaning of a vendor-specific field still requires a justified definition (Open Geospatial Consortium 2025b, §§16.1.4, 16.1.7).</w:t>
      </w:r>
    </w:p>
    <w:p>
      <w:pPr>
        <w:pStyle w:val="Heading3"/>
        <w:keepNext/>
        <w:widowControl/>
      </w:pPr>
      <w:r>
        <w:t>Relevance to MERLIN and the research question</w:t>
      </w:r>
    </w:p>
    <w:p>
      <w:pPr>
        <w:widowControl/>
      </w:pPr>
      <w:r>
        <w:t>A changing voltage reading should not become a static nameplate value merely because both use the same unit. Likewise, a requested setting and a reported condition must remain distinguishable. Our proposed comparison should trace each fact to the appropriate dynamic or descriptive representation before evaluating its presentation.</w:t>
      </w:r>
    </w:p>
    <w:p>
      <w:pPr>
        <w:pStyle w:val="Heading3"/>
        <w:keepNext/>
        <w:widowControl/>
      </w:pPr>
      <w:r>
        <w:t>Relationship to OGC and other candidate work</w:t>
      </w:r>
    </w:p>
    <w:p>
      <w:pPr>
        <w:widowControl/>
      </w:pPr>
      <w:r>
        <w:t>Battery MIB fields, WoT affordances, and PA-DIM signals are candidates for comparison with these mechanisms. Similar operations do not establish equal execution, error, authorization, or timing behavior. An observation mapping and a command mapping should therefore be evaluated separately, even for the same device property.</w:t>
      </w:r>
    </w:p>
    <w:p>
      <w:pPr>
        <w:pStyle w:val="Heading3"/>
        <w:keepNext/>
        <w:widowControl/>
      </w:pPr>
      <w:r>
        <w:t>Implementation, openness, limits, and next question</w:t>
      </w:r>
    </w:p>
    <w:p>
      <w:pPr>
        <w:widowControl/>
      </w:pPr>
      <w:r>
        <w:t>This source supplies the dynamic-data baseline for the comparison. The useful content question is whether a candidate model clarifies the observed subject, reported condition, requested setting or command effect without confusing those roles. No fixture, command execution or new workflow was performed in this increment.</w:t>
      </w:r>
    </w:p>
    <w:p>
      <w:pPr>
        <w:pStyle w:val="Heading3"/>
        <w:keepNext/>
        <w:widowControl/>
      </w:pPr>
      <w:r>
        <w:t>Intended use, specialization, and conformance boundary</w:t>
      </w:r>
    </w:p>
    <w:p>
      <w:pPr>
        <w:widowControl/>
      </w:pPr>
      <w:r>
        <w:t>Part 2 serves producers and consumers of observations and command-related interactions through datastreams and controlstreams. Its resource and schema model determines where dynamic values and command parameters belong; domain definitions supply meaning within, rather than instead of, that model. A proposed mapping must keep an observation distinct from a command and preserve the applicable schema, subject, and time semantics, without inferring authorization or device execution from a descriptive field (Open Geospatial Consortium 2025b, §§1–2, 9–10, 16).</w:t>
      </w:r>
    </w:p>
    <w:p>
      <w:pPr>
        <w:pStyle w:val="Heading3"/>
        <w:keepNext/>
        <w:widowControl/>
      </w:pPr>
      <w:r>
        <w:t>Proposed implementation and conformance claim</w:t>
      </w:r>
    </w:p>
    <w:p>
      <w:pPr>
        <w:widowControl/>
      </w:pPr>
      <w:r>
        <w:t>Part 2 remains a native implementation candidate for dynamic-data tasks, not a requirement to implement every command capability. Its §2 requires a resource-type and encoding selection with relevant conformance assessment. The present identity-and-names study does not exercise those API contracts and supports no new Part 2 conformance claim (Open Geospatial Consortium 2025b, §2, annex A).</w:t>
      </w:r>
    </w:p>
    <w:p>
      <w:pPr>
        <w:pStyle w:val="Heading3"/>
        <w:keepNext/>
        <w:widowControl/>
      </w:pPr>
      <w:r>
        <w:t>DISR standing, implications, and recommended action</w:t>
      </w:r>
    </w:p>
    <w:p>
      <w:pPr>
        <w:widowControl/>
      </w:pPr>
      <w:r>
        <w:t>CSAPI Part 2 v1.0 is in the authoritative current DISR baseline as Emerging / IC-Emerging. Recommend no request to add an already listed edition; assess any status-transition proposal through existing work and avoid a duplicate submission. Older related SWE standards retain separate records; this review does not establish older mandated CSAPI editions (S25; “StandardsReport” 2026).</w:t>
      </w:r>
    </w:p>
    <w:p>
      <w:pPr>
        <w:pStyle w:val="Heading3"/>
        <w:keepNext/>
        <w:widowControl/>
      </w:pPr>
      <w:r>
        <w:t>NATO standing, implications, and recommended action</w:t>
      </w:r>
    </w:p>
    <w:p>
      <w:pPr>
        <w:widowControl/>
      </w:pPr>
      <w:r>
        <w:t>The supplied NSO letter places STANAG 4789 Edition 1 in Ratification Draft 1, with responses due November 28, 2026; the covering text assigns core APIs and encodings to AEP-4789 Volume II (NATO Standardization Office 2026, cover letter and “Interoperability Requirements”). The project handoff associates this OGC edition with that package, but the actual Volume II clauses were not recovered for fresh inspection. Coordinate through the existing custodial route, verify the exact adopted edition and national implementation obligations, and assess a NISP/profile update when warranted; do not propose a duplicate STANAG or describe ratification as promulgation.</w:t>
      </w:r>
    </w:p>
    <w:p>
      <w:pPr>
        <w:pStyle w:val="Heading1"/>
        <w:keepNext/>
        <w:pageBreakBefore w:val="0"/>
        <w:widowControl/>
      </w:pPr>
      <w:r>
        <w:t>II. Device and equipment models</w:t>
      </w:r>
    </w:p>
    <w:p>
      <w:pPr>
        <w:widowControl/>
      </w:pPr>
      <w:r>
        <w:t>This group compares reusable device structure, concrete process-automation content, asset submodels, and hardware inventory. Similar physical subjects do not imply identical models. The research must distinguish a composition mechanism from the particular domain definitions carried through it.</w:t>
      </w:r>
    </w:p>
    <w:p>
      <w:pPr>
        <w:pStyle w:val="Heading3"/>
        <w:keepNext/>
        <w:widowControl/>
      </w:pPr>
      <w:r>
        <w:t>Reconciliation note — 17 October 2026</w:t>
      </w:r>
    </w:p>
    <w:p>
      <w:pPr>
        <w:widowControl/>
      </w:pPr>
      <w:r>
        <w:t>CSAPI Part 2 remains the observation, command and optional SystemEvent foundation for the applied design. The new R10 rule distinguishes declared products from exposed streams, recorded observations and live availability; R12 does not treat command completion as independent evidence of physical state. S122 captures the inspected DataStream/Observation schema subset without duplicating the SystemEvent subset already recorded as S60. Optional operational event access and full native interoperability are not marked implemented (MERLIN MPSS Profile 2026, R10–R12, R18).</w:t>
      </w:r>
    </w:p>
    <w:p>
      <w:pPr>
        <w:pStyle w:val="Heading2"/>
        <w:keepNext/>
        <w:pageBreakBefore w:val="0"/>
        <w:widowControl/>
      </w:pPr>
      <w:r>
        <w:t>S05  |  OPC UA Devices</w:t>
      </w:r>
    </w:p>
    <w:p>
      <w:pPr>
        <w:pStyle w:val="Reference"/>
        <w:keepNext/>
        <w:widowControl/>
      </w:pPr>
      <w:r>
        <w:t xml:space="preserve">OPC Foundation. 2025. </w:t>
      </w:r>
      <w:r>
        <w:rPr>
          <w:i/>
        </w:rPr>
        <w:t>OPC Unified Architecture – Part 100: Devices</w:t>
      </w:r>
      <w:r>
        <w:t>. 1.05.0; OPC 10000-100. https://reference.opcfoundation.org/specs/OPC-10000-100/v1.05.0</w:t>
      </w:r>
    </w:p>
    <w:p>
      <w:pPr>
        <w:pStyle w:val="Metadata"/>
        <w:keepNext/>
        <w:widowControl/>
      </w:pPr>
      <w:r>
        <w:t>INSPECTION  Devices Annex C and §11 profile pointer; Part 7 v1.05.02 §4 conformance mechanism; no profile implementation selected  •  12 October 2026</w:t>
      </w:r>
    </w:p>
    <w:p>
      <w:pPr>
        <w:pStyle w:val="Reference"/>
        <w:keepNext/>
        <w:widowControl/>
      </w:pPr>
      <w:r>
        <w:t>Supporting conformance reference: OPC Foundation. n.d. OPC Unified Architecture – Part 7: Profiles. Version 1.05.02, §4. Accessed October 12, 2026. https://reference.opcfoundation.org/specs/OPC-10000-7/4</w:t>
      </w:r>
    </w:p>
    <w:p>
      <w:pPr>
        <w:pStyle w:val="Heading3"/>
        <w:keepNext/>
        <w:widowControl/>
      </w:pPr>
      <w:r>
        <w:t>Purpose, scope, and original problem</w:t>
      </w:r>
    </w:p>
    <w:p>
      <w:pPr>
        <w:widowControl/>
      </w:pPr>
      <w:r>
        <w:t>The Devices specification provides a foundation for OPC UA companion models. Its informative Annex C addresses the practical problem of describing different aspects of one device through multiple companion specifications. This is a directly relevant composition precedent, but it is not a CSAPI binding (OPC Foundation 2025, annex C).</w:t>
      </w:r>
    </w:p>
    <w:p>
      <w:pPr>
        <w:pStyle w:val="Heading3"/>
        <w:keepNext/>
        <w:widowControl/>
      </w:pPr>
      <w:r>
        <w:t>Relevant concepts and mechanisms</w:t>
      </w:r>
    </w:p>
    <w:p>
      <w:pPr>
        <w:widowControl/>
      </w:pPr>
      <w:r>
        <w:t>The guidance discusses duplicated device information, composition, interfaces, and AddIns. It notes that apparently repeated serial-number properties can represent different protocol access paths. That warning matters because deduplicating properties solely by their names could discard a real distinction (OPC Foundation 2025, C.1–C.3).</w:t>
      </w:r>
    </w:p>
    <w:p>
      <w:pPr>
        <w:pStyle w:val="Heading3"/>
        <w:keepNext/>
        <w:widowControl/>
      </w:pPr>
      <w:r>
        <w:t>Relevance to MERLIN and the research question</w:t>
      </w:r>
    </w:p>
    <w:p>
      <w:pPr>
        <w:widowControl/>
      </w:pPr>
      <w:r>
        <w:t>For MERLIN, the useful hypothesis is that several agreed aspects can coexist without inventing several real-world devices. We should test whether an aspect-based agreement reduces repeated client logic. We should also record whether it introduces additional identity reconciliation that outweighs that benefit.</w:t>
      </w:r>
    </w:p>
    <w:p>
      <w:pPr>
        <w:pStyle w:val="Heading3"/>
        <w:keepNext/>
        <w:widowControl/>
      </w:pPr>
      <w:r>
        <w:t>Relationship to OGC and other candidate work</w:t>
      </w:r>
    </w:p>
    <w:p>
      <w:pPr>
        <w:widowControl/>
      </w:pPr>
      <w:r>
        <w:t>Devices provides an explicit OPC composition foundation, and PA-DIM specializes it for process-automation devices. MIMOSA also documents a proposed CCOM–OPC UA collaboration, which shows that some communities regard their asset and control information as complementary. That proposal does not establish a completed companion standard, a CSAPI binding or why OPC is absent from DISR (OPC Foundation 2025, annex C; MIMOSA n.d.-b).</w:t>
      </w:r>
    </w:p>
    <w:p>
      <w:pPr>
        <w:pStyle w:val="Heading3"/>
        <w:keepNext/>
        <w:widowControl/>
      </w:pPr>
      <w:r>
        <w:t>Implementation, openness, limits, and next question</w:t>
      </w:r>
    </w:p>
    <w:p>
      <w:pPr>
        <w:widowControl/>
      </w:pPr>
      <w:r>
        <w:t>Retain OPC as a credible native-source comparator, but not as the default source of every MERLIN domain concept. The content comparison must be as deep for IETF, MIMOSA and selected IDTA templates as for OPC. No OPC implementation or bridge is selected merely from the composition precedent.</w:t>
      </w:r>
    </w:p>
    <w:p>
      <w:pPr>
        <w:pStyle w:val="Heading3"/>
        <w:keepNext/>
        <w:widowControl/>
      </w:pPr>
      <w:r>
        <w:t>Intended use, specialization, and conformance boundary</w:t>
      </w:r>
    </w:p>
    <w:p>
      <w:pPr>
        <w:widowControl/>
      </w:pPr>
      <w:r>
        <w:t>OPC UA Devices is a foundation for device vendors, integrators, and companion-specification authors working in OPC UA. Annex C explicitly discusses combining different aspects of one device, addressing repeated information, and selective use of interfaces or AddIns; that is informative guidance within the OPC UA AddressSpace. A SensorML translation is therefore a new binding to evaluate, not the native composition described by the annex, and cannot claim OPC UA Devices conformance merely because several property names were retained (OPC Foundation 2025, annex C).</w:t>
      </w:r>
    </w:p>
    <w:p>
      <w:pPr>
        <w:pStyle w:val="Heading3"/>
        <w:keepNext/>
        <w:widowControl/>
      </w:pPr>
      <w:r>
        <w:t>Proposed implementation and conformance claim</w:t>
      </w:r>
    </w:p>
    <w:p>
      <w:pPr>
        <w:widowControl/>
      </w:pPr>
      <w:r>
        <w:t>The present proposal borrows a composition precedent; it does not implement OPC UA Devices. A native alternative would identify an OPC-facing component, the applicable Devices profile and ConformanceUnits, and their dependencies before testing. A CSAPI bridge would additionally need its own OGC-side and transformation assessments; copying Devices concepts into SensorML satisfies neither side by itself (OPC Foundation 2025, §11, annex C; n.d., Part 7, §4).</w:t>
      </w:r>
    </w:p>
    <w:p>
      <w:pPr>
        <w:pStyle w:val="Heading3"/>
        <w:keepNext/>
        <w:widowControl/>
      </w:pPr>
      <w:r>
        <w:t>DISR standing, implications, and recommended action</w:t>
      </w:r>
    </w:p>
    <w:p>
      <w:pPr>
        <w:widowControl/>
      </w:pPr>
      <w:r>
        <w:t>OPC UA Devices 1.05.0 (OPC 10000-100) is absent from the authoritative current DISR baseline; no separate DoD or IC adoption status is listed. No addition is recommended while its role is composition guidance. Investigate competitive selection history separately; absence is established, but no rejection history or winning alternative is established. (S25; “StandardsReport” 2026; this study’s assessment.)</w:t>
      </w:r>
    </w:p>
    <w:p>
      <w:pPr>
        <w:pStyle w:val="Heading3"/>
        <w:keepNext/>
        <w:widowControl/>
      </w:pPr>
      <w:r>
        <w:t>NATO standing, implications, and recommended action</w:t>
      </w:r>
    </w:p>
    <w:p>
      <w:pPr>
        <w:widowControl/>
      </w:pPr>
      <w:r>
        <w:t>No exact NATO adoption of this artifact is demonstrated by the material inspected for this revision. The public NISP material available here is historical or draft, so this is an unresolved current-status check, not a finding that NATO excludes it. Before any submission, distinguish a native OPC UA device requirement from a CSAPI mapping of selected concepts, and identify an actual coalition interoperability need. Recommend no present adoption request; a selected, tested binding could justify custodian coordination and an applicable NISP profile RFC rather than adoption of the whole OPC UA stack (North Atlantic Treaty Organization 2023, chap. 5).</w:t>
      </w:r>
    </w:p>
    <w:p>
      <w:pPr>
        <w:pStyle w:val="Heading2"/>
        <w:keepNext/>
        <w:pageBreakBefore w:val="0"/>
        <w:widowControl/>
      </w:pPr>
      <w:r>
        <w:t>S06  |  PA-DIM</w:t>
      </w:r>
    </w:p>
    <w:p>
      <w:pPr>
        <w:pStyle w:val="Reference"/>
        <w:keepNext/>
        <w:widowControl/>
      </w:pPr>
      <w:r>
        <w:t xml:space="preserve">OPC Foundation and FieldComm Group. 2025. </w:t>
      </w:r>
      <w:r>
        <w:rPr>
          <w:i/>
        </w:rPr>
        <w:t>OPC UA for Process Automation Devices – PA-DIM</w:t>
      </w:r>
      <w:r>
        <w:t>. 1.02.0; OPC 30081. https://reference.opcfoundation.org/specs/OPC-30081</w:t>
      </w:r>
    </w:p>
    <w:p>
      <w:pPr>
        <w:pStyle w:val="Metadata"/>
        <w:keepNext/>
        <w:widowControl/>
      </w:pPr>
      <w:r>
        <w:t>INSPECTION  §1; §7.2 and Table 109; release catalog  •  Normative text—selected clauses  •  12 October 2026</w:t>
      </w:r>
    </w:p>
    <w:p>
      <w:pPr>
        <w:pStyle w:val="Heading3"/>
        <w:keepNext/>
        <w:widowControl/>
      </w:pPr>
      <w:r>
        <w:t>Purpose, scope, and original problem</w:t>
      </w:r>
    </w:p>
    <w:p>
      <w:pPr>
        <w:widowControl/>
      </w:pPr>
      <w:r>
        <w:t>PA-DIM was developed to represent and access process-automation devices through OPC UA. It is a concrete domain model, not merely a general promise of semantic interoperability. Its intended environment makes it a useful equipment comparator without establishing universal applicability to unattended sensors (OPC Foundation and FieldComm Group 2025, §1).</w:t>
      </w:r>
    </w:p>
    <w:p>
      <w:pPr>
        <w:pStyle w:val="Heading3"/>
        <w:keepNext/>
        <w:widowControl/>
      </w:pPr>
      <w:r>
        <w:t>Relevant concepts and mechanisms</w:t>
      </w:r>
    </w:p>
    <w:p>
      <w:pPr>
        <w:widowControl/>
      </w:pPr>
      <w:r>
        <w:t>The inspected PADIMType derives from ComponentType in the Devices model. Table 109 applies nameplate information and distinguishes mandatory from optional declarations. Those dependencies and obligations are part of the model’s meaning; a field-name list detached from them is an incomplete comparison (OPC Foundation and FieldComm Group 2025, §7.2).</w:t>
      </w:r>
    </w:p>
    <w:p>
      <w:pPr>
        <w:pStyle w:val="Heading3"/>
        <w:keepNext/>
        <w:widowControl/>
      </w:pPr>
      <w:r>
        <w:t>Relevance to MERLIN and the research question</w:t>
      </w:r>
    </w:p>
    <w:p>
      <w:pPr>
        <w:widowControl/>
      </w:pPr>
      <w:r>
        <w:t>PA-DIM is most persuasive where a real process device or integrating partner already supplies its identity, signal or condition information. Its domain content is more specific than the generic Devices foundation, but that specificity is not automatically the right unattended-sensor vocabulary. Retain it as a partner- and domain-contingent alternative rather than the universal organizing model for MERLIN.</w:t>
      </w:r>
    </w:p>
    <w:p>
      <w:pPr>
        <w:pStyle w:val="Heading3"/>
        <w:keepNext/>
        <w:widowControl/>
      </w:pPr>
      <w:r>
        <w:t>Relationship to OGC and other candidate work</w:t>
      </w:r>
    </w:p>
    <w:p>
      <w:pPr>
        <w:widowControl/>
      </w:pPr>
      <w:r>
        <w:t>PA-DIM specializes the OPC UA Devices foundation, whereas CSAPI remains the proposed exchange framework for MERLIN. Borrowing a nameplate definition and implementing PA-DIM’s complete native information model are separate options. The research must calculate the obligations of each rather than treating them as one adoption decision.</w:t>
      </w:r>
    </w:p>
    <w:p>
      <w:pPr>
        <w:pStyle w:val="Heading3"/>
        <w:keepNext/>
        <w:widowControl/>
      </w:pPr>
      <w:r>
        <w:t>Implementation, openness, limits, and next question</w:t>
      </w:r>
    </w:p>
    <w:p>
      <w:pPr>
        <w:widowControl/>
      </w:pPr>
      <w:r>
        <w:t>This review inspected scope and selected declarations, not all signal, condition, or calibration behavior. The catalog’s publication date and the supplementary package’s release-folder date should not be conflated. The next question is whether exact identity or condition definitions add useful precision beyond existing OGC descriptions for our actual sources.</w:t>
      </w:r>
    </w:p>
    <w:p>
      <w:pPr>
        <w:pStyle w:val="Small"/>
        <w:widowControl/>
      </w:pPr>
      <w:r>
        <w:t>Related inspected chapter URLs and version notes are retained in the source register.</w:t>
      </w:r>
    </w:p>
    <w:p>
      <w:pPr>
        <w:pStyle w:val="Heading3"/>
        <w:keepNext/>
        <w:widowControl/>
      </w:pPr>
      <w:r>
        <w:t>Intended use, specialization, and conformance boundary</w:t>
      </w:r>
    </w:p>
    <w:p>
      <w:pPr>
        <w:widowControl/>
      </w:pPr>
      <w:r>
        <w:t>PA-DIM addresses process-automation field devices and the systems integrating their information. Its PADIMType is defined in relation to the OPC UA Devices model, with specified mandatory and optional information, rather than as a free-standing universal sensor ontology. Reusing selected identity, health, or signal concepts in CSAPI is a proposed semantic binding; a native PA-DIM conformance claim would require the selected specification’s actual model obligations and dependencies (OPC Foundation and FieldComm Group 2025, §§1, 7.2).</w:t>
      </w:r>
    </w:p>
    <w:p>
      <w:pPr>
        <w:pStyle w:val="Heading3"/>
        <w:keepNext/>
        <w:widowControl/>
      </w:pPr>
      <w:r>
        <w:t>Proposed implementation and conformance claim</w:t>
      </w:r>
    </w:p>
    <w:p>
      <w:pPr>
        <w:widowControl/>
      </w:pPr>
      <w:r>
        <w:t>PA-DIM is not presently proposed as a native implementation. A valid proposal would name the implemented PA-DIM type/profile, applicable mandatory declarations, inherited Devices requirements and corresponding assessments. A selected-property OGC translation would instead be a newly authored mapping, with its own coverage and loss statements, even when individual definitions are preserved accurately (OPC Foundation and FieldComm Group 2025, §§1, 7.2).</w:t>
      </w:r>
    </w:p>
    <w:p>
      <w:pPr>
        <w:pStyle w:val="Heading3"/>
        <w:keepNext/>
        <w:widowControl/>
      </w:pPr>
      <w:r>
        <w:t>DISR standing, implications, and recommended action</w:t>
      </w:r>
    </w:p>
    <w:p>
      <w:pPr>
        <w:widowControl/>
      </w:pPr>
      <w:r>
        <w:t>PA-DIM 1.02.0 (OPC 30081) is absent from the authoritative current DISR baseline; no separate DoD or IC adoption status is listed. No addition is recommended for a donor-model comparison. A native proposal would need an exact PA-DIM implementation target, process-device fit and dependency assessment. (S25; “StandardsReport” 2026; this study’s assessment.)</w:t>
      </w:r>
    </w:p>
    <w:p>
      <w:pPr>
        <w:pStyle w:val="Heading3"/>
        <w:keepNext/>
        <w:widowControl/>
      </w:pPr>
      <w:r>
        <w:t>NATO standing, implications, and recommended action</w:t>
      </w:r>
    </w:p>
    <w:p>
      <w:pPr>
        <w:widowControl/>
      </w:pPr>
      <w:r>
        <w:t>No exact NATO adoption of this artifact is demonstrated by the material inspected for this revision. The public NISP material available here is historical or draft, so this is an unresolved current-status check, not a finding that NATO excludes it. Process-automation relevance is not itself evidence of NATO JISR applicability. The recommended action is a bounded model-fit review and, only if a real coalition requirement follows, coordination on the applicable technical profile and edition rather than a blanket PA-DIM adoption proposal (North Atlantic Treaty Organization 2023, chap. 5).</w:t>
      </w:r>
    </w:p>
    <w:p>
      <w:pPr>
        <w:pStyle w:val="Heading2"/>
        <w:keepNext/>
        <w:pageBreakBefore w:val="0"/>
        <w:widowControl/>
      </w:pPr>
      <w:r>
        <w:t>S07  |  AAS Part 1: Metamodel</w:t>
      </w:r>
    </w:p>
    <w:p>
      <w:pPr>
        <w:pStyle w:val="Reference"/>
        <w:keepNext/>
        <w:widowControl/>
      </w:pPr>
      <w:r>
        <w:t xml:space="preserve">Industrial Digital Twin Association. 2026b. </w:t>
      </w:r>
      <w:r>
        <w:rPr>
          <w:i/>
        </w:rPr>
        <w:t>Specification of the Asset Administration Shell – Part 1: Metamodel</w:t>
      </w:r>
      <w:r>
        <w:t>. 3.2; IDTA 01001-3-2. https://industrialdigitaltwin.io/aas-specifications/IDTA-01001/v3.2/index.html</w:t>
      </w:r>
    </w:p>
    <w:p>
      <w:pPr>
        <w:pStyle w:val="Metadata"/>
        <w:keepNext/>
        <w:widowControl/>
      </w:pPr>
      <w:r>
        <w:t>INSPECTION  Version information; Core metamodel: Submodel, AssetInformation, semanticId recommendations  •  Normative text—selected clauses  •  12 October 2026</w:t>
      </w:r>
    </w:p>
    <w:p>
      <w:pPr>
        <w:pStyle w:val="Heading3"/>
        <w:keepNext/>
        <w:widowControl/>
      </w:pPr>
      <w:r>
        <w:t>Purpose, scope, and original problem</w:t>
      </w:r>
    </w:p>
    <w:p>
      <w:pPr>
        <w:widowControl/>
      </w:pPr>
      <w:r>
        <w:t>The AAS metamodel organizes descriptions around assets and submodels. Version 3.2 is the released edition inspected here; the navigation separately marks 3.3 as in progress. A metamodel defines the organization of information, however, and should not be mistaken for a completed agreement about a particular device domain (Industrial Digital Twin Association 2026b).</w:t>
      </w:r>
    </w:p>
    <w:p>
      <w:pPr>
        <w:pStyle w:val="Heading3"/>
        <w:keepNext/>
        <w:widowControl/>
      </w:pPr>
      <w:r>
        <w:t>Relevant concepts and mechanisms</w:t>
      </w:r>
    </w:p>
    <w:p>
      <w:pPr>
        <w:widowControl/>
      </w:pPr>
      <w:r>
        <w:t>The metamodel distinguishes asset information from the shell and organizes content into submodels with semantic references. The specific-template review now adds TechnicalData, Hierarchical Structures, its IEC-based extension and Capability Description as S36–S39. Those sources show that the useful content and native obligations depend on the selected template rather than on adopting the metamodel alone (Industrial Digital Twin Association 2026b; 2024; 2025a; 2025b; 2026a).</w:t>
      </w:r>
    </w:p>
    <w:p>
      <w:pPr>
        <w:pStyle w:val="Heading3"/>
        <w:keepNext/>
        <w:widowControl/>
      </w:pPr>
      <w:r>
        <w:t>Relevance to MERLIN and the research question</w:t>
      </w:r>
    </w:p>
    <w:p>
      <w:pPr>
        <w:widowControl/>
      </w:pPr>
      <w:r>
        <w:t>The deeper review finds no reason to select AAS solely as another generic container for SensorML-like technical properties. It does identify useful alternatives for distributed hierarchy and, conditionally, required/offered capability descriptions. Their value must be assessed by the actual relationship needed and the source artifact available, not by the appeal of the word submodel.</w:t>
      </w:r>
    </w:p>
    <w:p>
      <w:pPr>
        <w:pStyle w:val="Heading3"/>
        <w:keepNext/>
        <w:widowControl/>
      </w:pPr>
      <w:r>
        <w:t>Relationship to OGC and other candidate work</w:t>
      </w:r>
    </w:p>
    <w:p>
      <w:pPr>
        <w:widowControl/>
      </w:pPr>
      <w:r>
        <w:t>AAS submodels and OPC UA companion aspects offer related composition ideas in different architectures. Neither relationship establishes an automatic crosswalk to SensorML. The lower-cost candidate is a selected, explicit domain agreement, while an AAS runtime remains an additional architecture alternative that requires its own justification.</w:t>
      </w:r>
    </w:p>
    <w:p>
      <w:pPr>
        <w:pStyle w:val="Heading3"/>
        <w:keepNext/>
        <w:widowControl/>
      </w:pPr>
      <w:r>
        <w:t>Implementation, openness, limits, and next question</w:t>
      </w:r>
    </w:p>
    <w:p>
      <w:pPr>
        <w:widowControl/>
      </w:pPr>
      <w:r>
        <w:t>Specific published templates are now inspected in S36–S39 instead of remaining unspecified future work. Their file-based and API-based provisions demonstrate that native AAS artifact use and deployment of additional services are separate choices. The remaining decision is whether preserving such an artifact helps a real partner exchange enough to justify the extra representation and mapping responsibilities.</w:t>
      </w:r>
    </w:p>
    <w:p>
      <w:pPr>
        <w:pStyle w:val="Heading3"/>
        <w:keepNext/>
        <w:widowControl/>
      </w:pPr>
      <w:r>
        <w:t>Intended use, specialization, and conformance boundary</w:t>
      </w:r>
    </w:p>
    <w:p>
      <w:pPr>
        <w:widowControl/>
      </w:pPr>
      <w:r>
        <w:t>AAS is intended for exchanging asset information across industrial digital-twin participants. The metamodel organizes information into submodels and supports semantic references and concept descriptions, while its overview recommends standardized data-specification templates and warns that proprietary templates do not ensure interoperability. A SensorML record inspired by a submodel is not automatically an AAS instance or a conformant IDTA submodel; a claimed reuse must retain the chosen template’s semantics and constraints or be identified as a separate mapping (Industrial Digital Twin Association 2026b, “Overview Metamodel” and “Common Attributes”).</w:t>
      </w:r>
    </w:p>
    <w:p>
      <w:pPr>
        <w:pStyle w:val="Heading3"/>
        <w:keepNext/>
        <w:widowControl/>
      </w:pPr>
      <w:r>
        <w:t>Proposed implementation and conformance claim</w:t>
      </w:r>
    </w:p>
    <w:p>
      <w:pPr>
        <w:widowControl/>
      </w:pPr>
      <w:r>
        <w:t>A native AAS proposal would identify an AAS artifact, the applicable metamodel/serialization and the selected template. A file-based artifact is possible for the examined templates; some interactive features require the separately specified API form. A SensorML description merely organized like an AAS submodel would instead be a new mapping or design borrowing, not native AAS implementation (Industrial Digital Twin Association 2026a, §1.5; 2024, §1.5.1).</w:t>
      </w:r>
    </w:p>
    <w:p>
      <w:pPr>
        <w:pStyle w:val="Heading3"/>
        <w:keepNext/>
        <w:widowControl/>
      </w:pPr>
      <w:r>
        <w:t>DISR standing, implications, and recommended action</w:t>
      </w:r>
    </w:p>
    <w:p>
      <w:pPr>
        <w:widowControl/>
      </w:pPr>
      <w:r>
        <w:t>AAS Metamodel 3.2 / IEC 63278 family identifiers is absent from the authoritative current DISR baseline; no separate DoD or IC adoption status is listed. Do not propose adoption of a metamodel merely because aspect grouping is useful. Identify an actual AAS artifact and template before a candidate change request. (S25; “StandardsReport” 2026; this study’s assessment.)</w:t>
      </w:r>
    </w:p>
    <w:p>
      <w:pPr>
        <w:pStyle w:val="Heading3"/>
        <w:keepNext/>
        <w:widowControl/>
      </w:pPr>
      <w:r>
        <w:t>NATO standing, implications, and recommended action</w:t>
      </w:r>
    </w:p>
    <w:p>
      <w:pPr>
        <w:widowControl/>
      </w:pPr>
      <w:r>
        <w:t>No exact NATO adoption of this artifact is demonstrated by the material inspected for this revision. The public NISP material available here is historical or draft, so this is an unresolved current-status check, not a finding that NATO excludes it. AAS’s industrial audience and available semantics do not by themselves establish an Alliance requirement for an AAS architecture. Recommend no present NATO addition; if a selected submodel proves useful, propose its exact content and conformance boundary through the relevant profile owner, with native AAS infrastructure assessed separately (North Atlantic Treaty Organization 2023, chap. 5).</w:t>
      </w:r>
    </w:p>
    <w:p>
      <w:pPr>
        <w:pStyle w:val="Eyebrow"/>
        <w:pageBreakBefore w:val="0"/>
        <w:widowControl/>
      </w:pPr>
      <w:r>
        <w:t>DEVICE AND EQUIPMENT MODELS</w:t>
      </w:r>
    </w:p>
    <w:p>
      <w:pPr>
        <w:pStyle w:val="Heading2"/>
        <w:keepNext/>
        <w:pageBreakBefore w:val="0"/>
        <w:widowControl/>
      </w:pPr>
      <w:r>
        <w:t>S36  |  Generic Frame for Technical Data for Industrial Equipment in Manufacturing</w:t>
      </w:r>
    </w:p>
    <w:p>
      <w:pPr>
        <w:pStyle w:val="Reference"/>
        <w:keepNext/>
        <w:widowControl/>
      </w:pPr>
      <w:r>
        <w:t xml:space="preserve">Industrial Digital Twin Association. 2025a. </w:t>
      </w:r>
      <w:r>
        <w:rPr>
          <w:i/>
        </w:rPr>
        <w:t>Generic Frame for Technical Data for Industrial Equipment in Manufacturing</w:t>
      </w:r>
      <w:r>
        <w:t>. IDTA 02003, version 2.0. March. https://industrialdigitaltwin.org/en/wp-content/uploads/sites/2/2025/03/IDTA-02003_Generic-Frame-for-Technical-Data.pdf</w:t>
      </w:r>
    </w:p>
    <w:p>
      <w:pPr>
        <w:pStyle w:val="Metadata"/>
        <w:keepNext/>
        <w:widowControl/>
      </w:pPr>
      <w:r>
        <w:t>INSPECTION  §§1.1–1.3, 2.1–2.2, 3.1–3.2, 3.6, Annex C; p. 8 visual check; versioned repository README and first 250 lines of JSON template  •  12 October 2026</w:t>
      </w:r>
    </w:p>
    <w:p>
      <w:pPr>
        <w:pStyle w:val="Heading3"/>
        <w:keepNext/>
        <w:widowControl/>
      </w:pPr>
      <w:r>
        <w:t>Purpose, scope, and original problem</w:t>
      </w:r>
    </w:p>
    <w:p>
      <w:pPr>
        <w:widowControl/>
      </w:pPr>
      <w:r>
        <w:t>This template organizes technical product information supplied by manufacturers and suppliers to integrators and operators. It applies to type or instance assets and uses semantic property identifiers, including dictionary references. Its contribution is a common descriptive frame, not a catalogue of all sensor-system capabilities (Industrial Digital Twin Association 2025a, §§1.1–1.3).</w:t>
      </w:r>
    </w:p>
    <w:p>
      <w:pPr>
        <w:pStyle w:val="Heading3"/>
        <w:keepNext/>
        <w:widowControl/>
      </w:pPr>
      <w:r>
        <w:t>Relevant concepts and mechanisms</w:t>
      </w:r>
    </w:p>
    <w:p>
      <w:pPr>
        <w:widowControl/>
      </w:pPr>
      <w:r>
        <w:t>The specified areas distinguish general product information, product classifications, technical-property areas, further information and specific descriptions. A classification label does not by itself promise a complete associated property set. The document assigns domain grouping to domain specifications and provides SpecificDescriptions for additional use-case content (Industrial Digital Twin Association 2025a, §§2.1, 3.1, 3.6, annex C).</w:t>
      </w:r>
    </w:p>
    <w:p>
      <w:pPr>
        <w:pStyle w:val="Heading3"/>
        <w:keepNext/>
        <w:widowControl/>
      </w:pPr>
      <w:r>
        <w:t>Relevance to MERLIN and the research question</w:t>
      </w:r>
    </w:p>
    <w:p>
      <w:pPr>
        <w:widowControl/>
      </w:pPr>
      <w:r>
        <w:t>The useful comparison is with a well-organized SensorML description, not with an unstructured property dump. A common frame can help a client place unfamiliar but well-defined values consistently. It would not remove MERLIN’s need to agree which detector facts, operating limits or configuration assertions belong in a sensor-specific description.</w:t>
      </w:r>
    </w:p>
    <w:p>
      <w:pPr>
        <w:pStyle w:val="Heading3"/>
        <w:keepNext/>
        <w:widowControl/>
      </w:pPr>
      <w:r>
        <w:t>Relationship to OGC and other candidate work</w:t>
      </w:r>
    </w:p>
    <w:p>
      <w:pPr>
        <w:widowControl/>
      </w:pPr>
      <w:r>
        <w:t>This is complementary to particular dictionaries but substantially overlaps the descriptive organization already available through SensorML and SWE Common. The hierarchy template S37 addresses a different problem: related assets rather than areas of technical information. The capability template S39 is also different because it relates required or offered functions to properties and constraints, rather than merely collecting technical properties.</w:t>
      </w:r>
    </w:p>
    <w:p>
      <w:pPr>
        <w:pStyle w:val="Heading3"/>
        <w:keepNext/>
        <w:widowControl/>
      </w:pPr>
      <w:r>
        <w:t>Implementation, openness, limits, and next question</w:t>
      </w:r>
    </w:p>
    <w:p>
      <w:pPr>
        <w:widowControl/>
      </w:pPr>
      <w:r>
        <w:t>The March 2025 PDF identifies version 2.0, although its version-history table retains draft-era wording. The separately inspected repository release 2.0.2 states that it changes machine-readable artifacts while carrying an earlier PDF unchanged; those versions are not silently merged. Public availability of the template does not settle rights in every referenced classification dictionary (Industrial Digital Twin Association 2025a, cover and history; 2026c).</w:t>
      </w:r>
    </w:p>
    <w:p>
      <w:pPr>
        <w:pStyle w:val="Heading3"/>
        <w:keepNext/>
        <w:widowControl/>
      </w:pPr>
      <w:r>
        <w:t>Intended use, specialization, and conformance boundary</w:t>
      </w:r>
    </w:p>
    <w:p>
      <w:pPr>
        <w:widowControl/>
      </w:pPr>
      <w:r>
        <w:t>The specification expects an AAS Submodel instance with the prescribed element roles and semantic identifications. Its flexibility is deliberate: domain-specific structure and additional descriptions are permitted within designated parts of the frame. Therefore “use the template” is not permission to disregard its frame, and “use its organizing idea” is not a native AAS implementation (Industrial Digital Twin Association 2025a, §§1.1, 2.1, annex C).</w:t>
      </w:r>
    </w:p>
    <w:p>
      <w:pPr>
        <w:pStyle w:val="Heading3"/>
        <w:keepNext/>
        <w:widowControl/>
      </w:pPr>
      <w:r>
        <w:t>Proposed implementation and conformance claim</w:t>
      </w:r>
    </w:p>
    <w:p>
      <w:pPr>
        <w:widowControl/>
      </w:pPr>
      <w:r>
        <w:t>The current recommendation is to retain this as a concrete frame comparison, not add a parallel TechnicalData implementation to MERLIN. A native option would retain an identifiable AAS artifact and its selected template obligations; a SensorML rendering of selected content would be an explicit mapping. That mapping could be valuable for an AAS-producing partner, but no such producer has been established by the supplied examples.</w:t>
      </w:r>
    </w:p>
    <w:p>
      <w:pPr>
        <w:pStyle w:val="Heading3"/>
        <w:keepNext/>
        <w:widowControl/>
      </w:pPr>
      <w:r>
        <w:t>DISR standing, implications, and recommended action</w:t>
      </w:r>
    </w:p>
    <w:p>
      <w:pPr>
        <w:widowControl/>
      </w:pPr>
      <w:r>
        <w:t>IDTA 02003 and its inspected template are absent from the authoritative current DISR baseline. There is no separate DoD or IC status to report. Recommend no addition for the present comparison role; reconsider only if a real AAS exchange or a necessary governed content dependency is selected (“StandardsReport” 2026).</w:t>
      </w:r>
    </w:p>
    <w:p>
      <w:pPr>
        <w:pStyle w:val="Heading3"/>
        <w:keepNext/>
        <w:widowControl/>
      </w:pPr>
      <w:r>
        <w:t>NATO standing, implications, and recommended action</w:t>
      </w:r>
    </w:p>
    <w:p>
      <w:pPr>
        <w:widowControl/>
      </w:pPr>
      <w:r>
        <w:t>No exact NATO adoption of this template was established by the inspected material. A general industrial technical-data frame does not itself demonstrate a coalition sensor-information requirement. Recommend no present NATO submission; any subsequent proposal should identify the actual interoperable content or AAS partner exchange rather than adopt the frame because its organization is appealing.</w:t>
      </w:r>
    </w:p>
    <w:p>
      <w:pPr>
        <w:pStyle w:val="Eyebrow"/>
        <w:pageBreakBefore w:val="0"/>
        <w:widowControl/>
      </w:pPr>
      <w:r>
        <w:t>DEVICE AND EQUIPMENT MODELS</w:t>
      </w:r>
    </w:p>
    <w:p>
      <w:pPr>
        <w:pStyle w:val="Heading2"/>
        <w:keepNext/>
        <w:pageBreakBefore w:val="0"/>
        <w:widowControl/>
      </w:pPr>
      <w:r>
        <w:t>S37  |  Hierarchical Structures enabling Bills of Material</w:t>
      </w:r>
    </w:p>
    <w:p>
      <w:pPr>
        <w:pStyle w:val="Reference"/>
        <w:keepNext/>
        <w:widowControl/>
      </w:pPr>
      <w:r>
        <w:t xml:space="preserve">Industrial Digital Twin Association. 2024. </w:t>
      </w:r>
      <w:r>
        <w:rPr>
          <w:i/>
        </w:rPr>
        <w:t>Hierarchical Structures enabling Bills of Material</w:t>
      </w:r>
      <w:r>
        <w:t>. IDTA 02011, version 1.1. June. https://industrialdigitaltwin.org/en/wp-content/uploads/sites/2/2024/06/IDTA-02011-1-1_Submodel_HierarchicalStructuresEnablingBoM.pdf</w:t>
      </w:r>
    </w:p>
    <w:p>
      <w:pPr>
        <w:pStyle w:val="Metadata"/>
        <w:keepNext/>
        <w:widowControl/>
      </w:pPr>
      <w:r>
        <w:t>INSPECTION  §§1.2–1.5.1, 1.6, 2; pp. 9 and 13 hierarchy figures inspected  •  12 October 2026</w:t>
      </w:r>
    </w:p>
    <w:p>
      <w:pPr>
        <w:pStyle w:val="Heading3"/>
        <w:keepNext/>
        <w:widowControl/>
      </w:pPr>
      <w:r>
        <w:t>Purpose, scope, and original problem</w:t>
      </w:r>
    </w:p>
    <w:p>
      <w:pPr>
        <w:widowControl/>
      </w:pPr>
      <w:r>
        <w:t>The template makes an industrial asset’s internal structure discoverable across supplier and operator information. It uses AAS entities and relationships, including entities with their own AAS and entities managed within another description. This is a concrete hierarchy agreement, rather than the metamodel’s general possibility of linking objects (Industrial Digital Twin Association 2024, §§1.2–1.4).</w:t>
      </w:r>
    </w:p>
    <w:p>
      <w:pPr>
        <w:pStyle w:val="Heading3"/>
        <w:keepNext/>
        <w:widowControl/>
      </w:pPr>
      <w:r>
        <w:t>Relevant concepts and mechanisms</w:t>
      </w:r>
    </w:p>
    <w:p>
      <w:pPr>
        <w:widowControl/>
      </w:pPr>
      <w:r>
        <w:t>Full, One Down and One Up archetypes support centrally held or distributed descriptions. The source distinguishes self-managed from co-managed entities and explains the information-resolution implications. It explicitly excludes specific asset types and the differentiation of engineering aspects or lifecycle phases from the base template’s scope (Industrial Digital Twin Association 2024, §§1.3, 1.5.1; fig. 1).</w:t>
      </w:r>
    </w:p>
    <w:p>
      <w:pPr>
        <w:pStyle w:val="Heading3"/>
        <w:keepNext/>
        <w:widowControl/>
      </w:pPr>
      <w:r>
        <w:t>Relevance to MERLIN and the research question</w:t>
      </w:r>
    </w:p>
    <w:p>
      <w:pPr>
        <w:widowControl/>
      </w:pPr>
      <w:r>
        <w:t>The potentially useful lesson is that a related physical item need not possess its own separately served digital record. That resembles the practical problem of describing reported attachments without inventing resources for them. It does not authorize treating every reported label as an identified asset, or establish that all native AAS entity choices have direct CSAPI equivalents.</w:t>
      </w:r>
    </w:p>
    <w:p>
      <w:pPr>
        <w:pStyle w:val="Heading3"/>
        <w:keepNext/>
        <w:widowControl/>
      </w:pPr>
      <w:r>
        <w:t>Relationship to OGC and other candidate work</w:t>
      </w:r>
    </w:p>
    <w:p>
      <w:pPr>
        <w:widowControl/>
      </w:pPr>
      <w:r>
        <w:t>RFC 8348 organizes components within a managed hardware model, while this template emphasizes hierarchies of asset descriptions that may be distributed. CCOM adds lifecycle events and model/asset distinctions rather than only the hierarchy’s storage arrangement. The base hierarchy’s explicit exclusions explain why S38 is a separate extension, not proof that one generic tree settles functional, physical and location meanings.</w:t>
      </w:r>
    </w:p>
    <w:p>
      <w:pPr>
        <w:pStyle w:val="Heading3"/>
        <w:keepNext/>
        <w:widowControl/>
      </w:pPr>
      <w:r>
        <w:t>Implementation, openness, limits, and next question</w:t>
      </w:r>
    </w:p>
    <w:p>
      <w:pPr>
        <w:widowControl/>
      </w:pPr>
      <w:r>
        <w:t>The published specification and its hierarchy illustration were inspected directly. It permits self-contained file environments as well as distributed resolution, so a native artifact does not inherently require one new server per item. The remaining question is whether an actual partner hierarchy makes those choices useful for MERLIN, rather than recreating existing OGC relationships (Industrial Digital Twin Association 2024, §1.5.1).</w:t>
      </w:r>
    </w:p>
    <w:p>
      <w:pPr>
        <w:pStyle w:val="Heading3"/>
        <w:keepNext/>
        <w:widowControl/>
      </w:pPr>
      <w:r>
        <w:t>Intended use, specialization, and conformance boundary</w:t>
      </w:r>
    </w:p>
    <w:p>
      <w:pPr>
        <w:widowControl/>
      </w:pPr>
      <w:r>
        <w:t>Native use means constructing the stated hierarchy through AAS Entities and RelationshipElements with a selected archetype. Distributed references require the corresponding AAS information to be discoverable, whereas self-contained environments can resolve locally. A hierarchy drawn in SensorML is therefore not implementation of this template merely because it has parents and children (Industrial Digital Twin Association 2024, §§1.5.1, 2).</w:t>
      </w:r>
    </w:p>
    <w:p>
      <w:pPr>
        <w:pStyle w:val="Heading3"/>
        <w:keepNext/>
        <w:widowControl/>
      </w:pPr>
      <w:r>
        <w:t>Proposed implementation and conformance claim</w:t>
      </w:r>
    </w:p>
    <w:p>
      <w:pPr>
        <w:widowControl/>
      </w:pPr>
      <w:r>
        <w:t>Keep this on the equipment comparison shortlist as a specific alternative to a management-centric hardware model. Do not presently select an additional AAS artifact solely for hierarchy organization. If a native AAS exchange is chosen, preserve the template’s identities and references; if only its organization informs an OGC agreement, describe that as an authored mapping or design precedent.</w:t>
      </w:r>
    </w:p>
    <w:p>
      <w:pPr>
        <w:pStyle w:val="Heading3"/>
        <w:keepNext/>
        <w:widowControl/>
      </w:pPr>
      <w:r>
        <w:t>DISR standing, implications, and recommended action</w:t>
      </w:r>
    </w:p>
    <w:p>
      <w:pPr>
        <w:widowControl/>
      </w:pPr>
      <w:r>
        <w:t>The inspected IDTA 02011 template is absent from the authoritative current DISR baseline. No DoD or IC adoption status applies to it as a separate record. Recommend no addition without a selected native exchange or essential shared content; the existence of useful hierarchy concepts alone does not justify a change request (“StandardsReport” 2026).</w:t>
      </w:r>
    </w:p>
    <w:p>
      <w:pPr>
        <w:pStyle w:val="Heading3"/>
        <w:keepNext/>
        <w:widowControl/>
      </w:pPr>
      <w:r>
        <w:t>NATO standing, implications, and recommended action</w:t>
      </w:r>
    </w:p>
    <w:p>
      <w:pPr>
        <w:widowControl/>
      </w:pPr>
      <w:r>
        <w:t>No exact NATO adoption of this template was established in the inspected material. Industrial hierarchy exchange is potentially relevant but is not already a NATO JISR implementation obligation. Recommend retaining it as a comparator and coordinating a specific profile only when its required exchange and audience are identified.</w:t>
      </w:r>
    </w:p>
    <w:p>
      <w:pPr>
        <w:pStyle w:val="Eyebrow"/>
        <w:pageBreakBefore w:val="0"/>
        <w:widowControl/>
      </w:pPr>
      <w:r>
        <w:t>DEVICE AND EQUIPMENT MODELS</w:t>
      </w:r>
    </w:p>
    <w:p>
      <w:pPr>
        <w:pStyle w:val="Heading2"/>
        <w:keepNext/>
        <w:pageBreakBefore w:val="0"/>
        <w:widowControl/>
      </w:pPr>
      <w:r>
        <w:t>S38  |  Hierarchical Structures enabling Bills of Material – Extension based on IEC 81346</w:t>
      </w:r>
    </w:p>
    <w:p>
      <w:pPr>
        <w:pStyle w:val="Reference"/>
        <w:keepNext/>
        <w:widowControl/>
      </w:pPr>
      <w:r>
        <w:t xml:space="preserve">Industrial Digital Twin Association. 2025b. </w:t>
      </w:r>
      <w:r>
        <w:rPr>
          <w:i/>
        </w:rPr>
        <w:t>Hierarchical Structures enabling Bills of Material—Extension based on IEC 81346</w:t>
      </w:r>
      <w:r>
        <w:t>. IDTA 02011-1, version 1.0. August. https://industrialdigitaltwin.org/en/wp-content/uploads/sites/2/2025/08/IDTA-02011-1-Hierarchical-Structures-enabling-Bills-of-Material_Extension-based-on-IEC-81346.pdf</w:t>
      </w:r>
    </w:p>
    <w:p>
      <w:pPr>
        <w:pStyle w:val="Metadata"/>
        <w:keepNext/>
        <w:widowControl/>
      </w:pPr>
      <w:r>
        <w:t>INSPECTION  §§1.1–1.3, 2.1–2.2, 2.3–2.5 selected definitions; p. 11 cross-aspect references visually inspected  •  12 October 2026</w:t>
      </w:r>
    </w:p>
    <w:p>
      <w:pPr>
        <w:pStyle w:val="Heading3"/>
        <w:keepNext/>
        <w:widowControl/>
      </w:pPr>
      <w:r>
        <w:t>Purpose, scope, and original problem</w:t>
      </w:r>
    </w:p>
    <w:p>
      <w:pPr>
        <w:widowControl/>
      </w:pPr>
      <w:r>
        <w:t>This extension addresses the fact that a technical system can be organized from several engineering perspectives. It distinguishes what an object does, the means that realize it, where it is located, its type grouping and an explicitly defined other aspect. Its audience is engineering and technical-documentation practitioners, not authors of military mission taxonomies (Industrial Digital Twin Association 2025b, §§1.1–1.3).</w:t>
      </w:r>
    </w:p>
    <w:p>
      <w:pPr>
        <w:pStyle w:val="Heading3"/>
        <w:keepNext/>
        <w:widowControl/>
      </w:pPr>
      <w:r>
        <w:t>Relevant concepts and mechanisms</w:t>
      </w:r>
    </w:p>
    <w:p>
      <w:pPr>
        <w:widowControl/>
      </w:pPr>
      <w:r>
        <w:t>The extension supplies aspect-specific nodes and references between an entity and its associated aspects. A single aspect hierarchy is not intended to mix arbitrary aspect types, while non-hierarchical references connect the perspectives. The published example shows the same hierarchy associated with function, product and location descriptions (Industrial Digital Twin Association 2025b, §§2.1–2.2, fig. 4).</w:t>
      </w:r>
    </w:p>
    <w:p>
      <w:pPr>
        <w:pStyle w:val="Heading3"/>
        <w:keepNext/>
        <w:widowControl/>
      </w:pPr>
      <w:r>
        <w:t>Relevance to MERLIN and the research question</w:t>
      </w:r>
    </w:p>
    <w:p>
      <w:pPr>
        <w:widowControl/>
      </w:pPr>
      <w:r>
        <w:t>This offers a precise reason not to merge function, installed equipment and physical place into one vague relationship. A sensor may occupy a position, perform a function and participate in an operating arrangement without those becoming the same entity. However, the supplied mission or sensor-string labels do not establish any of these particular aspect models, so our proposed use remains selective and conditional.</w:t>
      </w:r>
    </w:p>
    <w:p>
      <w:pPr>
        <w:pStyle w:val="Heading3"/>
        <w:keepNext/>
        <w:widowControl/>
      </w:pPr>
      <w:r>
        <w:t>Relationship to OGC and other candidate work</w:t>
      </w:r>
    </w:p>
    <w:p>
      <w:pPr>
        <w:widowControl/>
      </w:pPr>
      <w:r>
        <w:t>The extension narrows a generic AAS hierarchy in a documented way and complements S37 within that ecosystem. It overlaps CCOM’s concern with distinguishing an asset from a structural position, but does not define the same event or ownership model. Neither its function aspect nor its location aspect is automatically an OGC Procedure, Deployment, feature of interest or area of interest.</w:t>
      </w:r>
    </w:p>
    <w:p>
      <w:pPr>
        <w:pStyle w:val="Heading3"/>
        <w:keepNext/>
        <w:widowControl/>
      </w:pPr>
      <w:r>
        <w:t>Implementation, openness, limits, and next question</w:t>
      </w:r>
    </w:p>
    <w:p>
      <w:pPr>
        <w:widowControl/>
      </w:pPr>
      <w:r>
        <w:t>The IDTA extension was inspected directly, including the cross-aspect example. Its account of IEC 81346 is evidence of how IDTA uses that work, not a claim that the underlying IEC publication was independently reviewed. Preserve the IDTA and IEC notices separately when evaluating reuse, and pursue this extension only where source information actually supplies distinct structural perspectives (Industrial Digital Twin Association 2025b, §§1–2).</w:t>
      </w:r>
    </w:p>
    <w:p>
      <w:pPr>
        <w:pStyle w:val="Heading3"/>
        <w:keepNext/>
        <w:widowControl/>
      </w:pPr>
      <w:r>
        <w:t>Intended use, specialization, and conformance boundary</w:t>
      </w:r>
    </w:p>
    <w:p>
      <w:pPr>
        <w:widowControl/>
      </w:pPr>
      <w:r>
        <w:t>The source is itself an example of governed specialization: it names its base template and adds specific node and relationship meanings. The aspect type and reference direction matter, not just the visible hierarchy label. Using those distinctions in CSAPI would still need an OGC binding rather than silently adopting AAS reference-resolution behavior (Industrial Digital Twin Association 2025b, §§2.2–2.5).</w:t>
      </w:r>
    </w:p>
    <w:p>
      <w:pPr>
        <w:pStyle w:val="Heading3"/>
        <w:keepNext/>
        <w:widowControl/>
      </w:pPr>
      <w:r>
        <w:t>Proposed implementation and conformance claim</w:t>
      </w:r>
    </w:p>
    <w:p>
      <w:pPr>
        <w:widowControl/>
      </w:pPr>
      <w:r>
        <w:t>The current recommendation is a targeted semantic comparison, not native implementation of the IEC-based AAS extension. A native alternative would create the applicable extension artifact; a translation would preserve selected meanings in a separately defined OGC representation. Borrowing the separation of perspectives alone should be credited as design learning, not advertised as implementing IEC 81346 or IDTA 02011-1.</w:t>
      </w:r>
    </w:p>
    <w:p>
      <w:pPr>
        <w:pStyle w:val="Heading3"/>
        <w:keepNext/>
        <w:widowControl/>
      </w:pPr>
      <w:r>
        <w:t>DISR standing, implications, and recommended action</w:t>
      </w:r>
    </w:p>
    <w:p>
      <w:pPr>
        <w:widowControl/>
      </w:pPr>
      <w:r>
        <w:t>This exact IDTA extension is absent from the authoritative DISR baseline. Adoption of any underlying or adjacent engineering standard would not confer an independent entry on this template. Recommend no addition for conceptual comparison; reconsider only for a selected, useful implementation requirement (“StandardsReport” 2026).</w:t>
      </w:r>
    </w:p>
    <w:p>
      <w:pPr>
        <w:pStyle w:val="Heading3"/>
        <w:keepNext/>
        <w:widowControl/>
      </w:pPr>
      <w:r>
        <w:t>NATO standing, implications, and recommended action</w:t>
      </w:r>
    </w:p>
    <w:p>
      <w:pPr>
        <w:widowControl/>
      </w:pPr>
      <w:r>
        <w:t>No exact NATO adoption of the IDTA extension was established. It should not be proposed as a military assignment model simply because the same words occur in engineering and operational contexts. Recommend no present submission; a future use needs agreement on the actual operational relation and appropriate NATO community ownership.</w:t>
      </w:r>
    </w:p>
    <w:p>
      <w:pPr>
        <w:pStyle w:val="Eyebrow"/>
        <w:pageBreakBefore w:val="0"/>
        <w:widowControl/>
      </w:pPr>
      <w:r>
        <w:t>DEVICE AND EQUIPMENT MODELS</w:t>
      </w:r>
    </w:p>
    <w:p>
      <w:pPr>
        <w:pStyle w:val="Heading2"/>
        <w:keepNext/>
        <w:pageBreakBefore w:val="0"/>
        <w:widowControl/>
      </w:pPr>
      <w:r>
        <w:t>S39  |  Capability Description</w:t>
      </w:r>
    </w:p>
    <w:p>
      <w:pPr>
        <w:pStyle w:val="Reference"/>
        <w:keepNext/>
        <w:widowControl/>
      </w:pPr>
      <w:r>
        <w:t xml:space="preserve">Industrial Digital Twin Association. 2026a. </w:t>
      </w:r>
      <w:r>
        <w:rPr>
          <w:i/>
        </w:rPr>
        <w:t>Capability Description</w:t>
      </w:r>
      <w:r>
        <w:t>. IDTA 02020, version 1.0. April 15. https://industrialdigitaltwin.org/en/wp-content/uploads/sites/2/2026/04/IDTA-02020_Submodel_Capability_Description.pdf</w:t>
      </w:r>
    </w:p>
    <w:p>
      <w:pPr>
        <w:pStyle w:val="Metadata"/>
        <w:keepNext/>
        <w:widowControl/>
      </w:pPr>
      <w:r>
        <w:t>INSPECTION  §§1.2–1.6, 1.8, 2.1–2.2 and selected relationships; pp. 17 and 19 visually inspected  •  12 October 2026</w:t>
      </w:r>
    </w:p>
    <w:p>
      <w:pPr>
        <w:pStyle w:val="Heading3"/>
        <w:keepNext/>
        <w:widowControl/>
      </w:pPr>
      <w:r>
        <w:t>Purpose, scope, and original problem</w:t>
      </w:r>
    </w:p>
    <w:p>
      <w:pPr>
        <w:widowControl/>
      </w:pPr>
      <w:r>
        <w:t>The template relates required production capabilities to capabilities offered by resources. It separates a function from the technical skill that realizes it and qualifies functions with properties and constraints. Its intended users are planners, manufacturers and operators matching production requirements to resources, not merely displaying a device specification (Industrial Digital Twin Association 2026a, §§1.2–1.4).</w:t>
      </w:r>
    </w:p>
    <w:p>
      <w:pPr>
        <w:pStyle w:val="Heading3"/>
        <w:keepNext/>
        <w:widowControl/>
      </w:pPr>
      <w:r>
        <w:t>Relevant concepts and mechanisms</w:t>
      </w:r>
    </w:p>
    <w:p>
      <w:pPr>
        <w:widowControl/>
      </w:pPr>
      <w:r>
        <w:t>The model includes capability sets and containers, Required/Offered/NotAssigned roles, realization relationships, composition and generalization. Property constraints differ from transition constraints between capabilities. These are substantive relationship choices, not synonyms for any SensorML capability property or CSAPI command (Industrial Digital Twin Association 2026a, §§1.6, 2.1–2.2).</w:t>
      </w:r>
    </w:p>
    <w:p>
      <w:pPr>
        <w:pStyle w:val="Heading3"/>
        <w:keepNext/>
        <w:widowControl/>
      </w:pPr>
      <w:r>
        <w:t>Relevance to MERLIN and the research question</w:t>
      </w:r>
    </w:p>
    <w:p>
      <w:pPr>
        <w:widowControl/>
      </w:pPr>
      <w:r>
        <w:t>This becomes interesting if MERLIN must relate a stated collection requirement to what a system can actually perform. It adds little merely to display a supplied measurement range, because the role, effect and constraint relationships would not yet be used. The research should therefore retain it for explicit capability-planning needs without importing manufacturing semantics into an ordinary sensor description.</w:t>
      </w:r>
    </w:p>
    <w:p>
      <w:pPr>
        <w:pStyle w:val="Heading3"/>
        <w:keepNext/>
        <w:widowControl/>
      </w:pPr>
      <w:r>
        <w:t>Relationship to OGC and other candidate work</w:t>
      </w:r>
    </w:p>
    <w:p>
      <w:pPr>
        <w:widowControl/>
      </w:pPr>
      <w:r>
        <w:t>SensorML can carry performance and process descriptions, while CSAPI exposes supported command interactions. This template addresses an additional relationship between demanded functions and available realizations, and still relies on external definitions for domain meaning. A linked skill is not automatically a CSAPI ControlStream, and a production precondition is not already an agreed military collection constraint.</w:t>
      </w:r>
    </w:p>
    <w:p>
      <w:pPr>
        <w:pStyle w:val="Heading3"/>
        <w:keepNext/>
        <w:widowControl/>
      </w:pPr>
      <w:r>
        <w:t>Implementation, openness, limits, and next question</w:t>
      </w:r>
    </w:p>
    <w:p>
      <w:pPr>
        <w:widowControl/>
      </w:pPr>
      <w:r>
        <w:t>The published April 2026 specification and its structural figure were directly inspected. It expressly permits a file-based approach, with limits on remotely callable operations, and separately describes API-based use with fuller interaction. This is evidence against assuming that native AAS use always requires new runtime services, but it is not evidence that every feature works in a file (Industrial Digital Twin Association 2026a, §1.5).</w:t>
      </w:r>
    </w:p>
    <w:p>
      <w:pPr>
        <w:pStyle w:val="Heading3"/>
        <w:keepNext/>
        <w:widowControl/>
      </w:pPr>
      <w:r>
        <w:t>Intended use, specialization, and conformance boundary</w:t>
      </w:r>
    </w:p>
    <w:p>
      <w:pPr>
        <w:widowControl/>
      </w:pPr>
      <w:r>
        <w:t>The template’s native meaning depends on preserving capability roles, relationships and any selected constraints. Domain-specific capability and property definitions remain references rather than an exhaustive vocabulary supplied by the template. An AAS artifact following those provisions is a different commitment from a SensorML record inspired by the required/offered distinction (Industrial Digital Twin Association 2026a, §§1.3, 2.2).</w:t>
      </w:r>
    </w:p>
    <w:p>
      <w:pPr>
        <w:pStyle w:val="Heading3"/>
        <w:keepNext/>
        <w:widowControl/>
      </w:pPr>
      <w:r>
        <w:t>Proposed implementation and conformance claim</w:t>
      </w:r>
    </w:p>
    <w:p>
      <w:pPr>
        <w:widowControl/>
      </w:pPr>
      <w:r>
        <w:t>Retain this as a conditional content-model candidate, not a current implementation recommendation. A native option could be an AAS file artifact or the appropriate API-backed capability, within the stated feature limits. A CSAPI-only option would be an authored binding, and its usefulness must come from a real requirement/ability relationship rather than from copying the word capability.</w:t>
      </w:r>
    </w:p>
    <w:p>
      <w:pPr>
        <w:pStyle w:val="Heading3"/>
        <w:keepNext/>
        <w:widowControl/>
      </w:pPr>
      <w:r>
        <w:t>DISR standing, implications, and recommended action</w:t>
      </w:r>
    </w:p>
    <w:p>
      <w:pPr>
        <w:widowControl/>
      </w:pPr>
      <w:r>
        <w:t>IDTA 02020 is absent from the authoritative current DISR baseline. No separate DoD or IC adoption status is listed. Recommend no present addition; a future proposal would need a defined capability-matching use and an exact artifact or binding that provides value beyond the existing OGC descriptions (“StandardsReport” 2026).</w:t>
      </w:r>
    </w:p>
    <w:p>
      <w:pPr>
        <w:pStyle w:val="Heading3"/>
        <w:keepNext/>
        <w:widowControl/>
      </w:pPr>
      <w:r>
        <w:t>NATO standing, implications, and recommended action</w:t>
      </w:r>
    </w:p>
    <w:p>
      <w:pPr>
        <w:widowControl/>
      </w:pPr>
      <w:r>
        <w:t>No exact NATO adoption of this template was established in the inspected material. Its prospective relation to collection planning is an analytical analogy, not an endorsed NATO tasking model. Recommend no present submission; only a concrete coalition capability-description requirement would justify coordination with the sensor and operational-model communities.</w:t>
      </w:r>
    </w:p>
    <w:p>
      <w:pPr>
        <w:pStyle w:val="Heading2"/>
        <w:keepNext/>
        <w:pageBreakBefore w:val="0"/>
        <w:widowControl/>
      </w:pPr>
      <w:r>
        <w:t>S08  |  RFC 8348: Hardware management</w:t>
      </w:r>
    </w:p>
    <w:p>
      <w:pPr>
        <w:pStyle w:val="Reference"/>
        <w:keepNext/>
        <w:widowControl/>
      </w:pPr>
      <w:r>
        <w:t xml:space="preserve">Internet Engineering Task Force. 2018. </w:t>
      </w:r>
      <w:r>
        <w:rPr>
          <w:i/>
        </w:rPr>
        <w:t>A YANG Data Model for Hardware Management</w:t>
      </w:r>
      <w:r>
        <w:t>. RFC 8348. https://www.rfc-editor.org/rfc/rfc8348.html</w:t>
      </w:r>
    </w:p>
    <w:p>
      <w:pPr>
        <w:pStyle w:val="Metadata"/>
        <w:keepNext/>
        <w:widowControl/>
      </w:pPr>
      <w:r>
        <w:t>INSPECTION  RFC 8348 §§3–7; module identity, imports, derived identities and conditional MIB mapping  •  12 October 2026</w:t>
      </w:r>
    </w:p>
    <w:p>
      <w:pPr>
        <w:pStyle w:val="Heading3"/>
        <w:keepNext/>
        <w:widowControl/>
      </w:pPr>
      <w:r>
        <w:t>Purpose, scope, and original problem</w:t>
      </w:r>
    </w:p>
    <w:p>
      <w:pPr>
        <w:widowControl/>
      </w:pPr>
      <w:r>
        <w:t>RFC 8348 defines a YANG hardware-management model. It addresses components and inventory, including configurations involving pre-provisioned hardware. That scope is relevant to our distinction between intended equipment and equipment actually present, rather than to a generic presentation taxonomy (Internet Engineering Task Force 2018, §§1–3).</w:t>
      </w:r>
    </w:p>
    <w:p>
      <w:pPr>
        <w:pStyle w:val="Heading3"/>
        <w:keepNext/>
        <w:widowControl/>
      </w:pPr>
      <w:r>
        <w:t>Relevant concepts and mechanisms</w:t>
      </w:r>
    </w:p>
    <w:p>
      <w:pPr>
        <w:widowControl/>
      </w:pPr>
      <w:r>
        <w:t>The inspected component tree includes class, parent/child relationships, identifying information, state, and sensor data. The document also relates its model to established entity-management MIBs. These are specific management semantics and mapping precedents, not proof that any vendor’s component label already has an equivalent identifier (Internet Engineering Task Force 2018, §§3–6).</w:t>
      </w:r>
    </w:p>
    <w:p>
      <w:pPr>
        <w:pStyle w:val="Heading3"/>
        <w:keepNext/>
        <w:widowControl/>
      </w:pPr>
      <w:r>
        <w:t>Relevance to MERLIN and the research question</w:t>
      </w:r>
    </w:p>
    <w:p>
      <w:pPr>
        <w:widowControl/>
      </w:pPr>
      <w:r>
        <w:t>RFC 8348 remains a substantive hardware-management comparator within the broader physical-sensing-system profile. Its value should be assessed against equipment structure and operational management needs, not only the sparse lists in the worked examples. This priority does not yet select a native YANG interface or establish a complete OGC binding (Internet Engineering Task Force 2018, §§3–4; this study, §1).</w:t>
      </w:r>
    </w:p>
    <w:p>
      <w:pPr>
        <w:pStyle w:val="Heading3"/>
        <w:keepNext/>
        <w:widowControl/>
      </w:pPr>
      <w:r>
        <w:t>Relationship to OGC and other candidate work</w:t>
      </w:r>
    </w:p>
    <w:p>
      <w:pPr>
        <w:widowControl/>
      </w:pPr>
      <w:r>
        <w:t>Hardware containment is a candidate counterpart for selected system relationships, but its lifecycle needs examination before mapping. A named parent in one model does not establish OGC composition or deployment semantics. Both alternatives must preserve whether a relationship is physical, configured, observed, or effective only during an interval.</w:t>
      </w:r>
    </w:p>
    <w:p>
      <w:pPr>
        <w:pStyle w:val="Heading3"/>
        <w:keepNext/>
        <w:widowControl/>
      </w:pPr>
      <w:r>
        <w:t>Implementation, openness, limits, and next question</w:t>
      </w:r>
    </w:p>
    <w:p>
      <w:pPr>
        <w:widowControl/>
      </w:pPr>
      <w:r>
        <w:t>The authoritative baseline lists this exact RFC as Mandated / IC-Mandated. The model is directly inspectable, and its structure can be compared with the actual AAS hierarchy template rather than a vague AAS metamodel description. The unresolved selection question is whether a native management source or a scoped semantic alignment offers enough reuse for the available system information.</w:t>
      </w:r>
    </w:p>
    <w:p>
      <w:pPr>
        <w:pStyle w:val="Heading3"/>
        <w:keepNext/>
        <w:widowControl/>
      </w:pPr>
      <w:r>
        <w:t>Intended use, specialization, and conformance boundary</w:t>
      </w:r>
    </w:p>
    <w:p>
      <w:pPr>
        <w:widowControl/>
      </w:pPr>
      <w:r>
        <w:t>RFC 8348 defines YANG hardware management for network-management implementations and relates its components to existing ENTITY-MIB information. Section 3.1 expressly encourages use of common hardware identities or more specific identities derived from them, while §4 specifies particular mappings and an important writable/read-only difference. This is evidence of controlled specialization and an explicit cross-model mapping precedent, not permission to transplant the YANG module into SensorML without preserving its identity and state semantics (Internet Engineering Task Force 2018, §§3.1, 4, 7).</w:t>
      </w:r>
    </w:p>
    <w:p>
      <w:pPr>
        <w:pStyle w:val="Heading3"/>
        <w:keepNext/>
        <w:widowControl/>
      </w:pPr>
      <w:r>
        <w:t>Proposed implementation and conformance claim</w:t>
      </w:r>
    </w:p>
    <w:p>
      <w:pPr>
        <w:widowControl/>
      </w:pPr>
      <w:r>
        <w:t>No native RFC 8348 implementation is recommended for the selected worked cases. A future native proposal would concern the ietf-hardware module and applicable management behavior, whereas selecting a concept for an OGC content agreement would be a separately authored binding. The exact Mandated / IC-Mandated baseline status remains unchanged by this case-level technical judgment (Internet Engineering Task Force 2018, §§3–7; “StandardsReport” 2026).</w:t>
      </w:r>
    </w:p>
    <w:p>
      <w:pPr>
        <w:pStyle w:val="Heading3"/>
        <w:keepNext/>
        <w:widowControl/>
      </w:pPr>
      <w:r>
        <w:t>DISR standing, implications, and recommended action</w:t>
      </w:r>
    </w:p>
    <w:p>
      <w:pPr>
        <w:widowControl/>
      </w:pPr>
      <w:r>
        <w:t>RFC 8348 is in the authoritative current DISR baseline as Mandated / IC-Mandated. Recommend no addition request and give its exact native contract a fair comparison against other hardware approaches. A SensorML-only mapping does not become an RFC 8348 implementation merely because this standard is mandated (S25; Internet Engineering Task Force 2018).</w:t>
      </w:r>
    </w:p>
    <w:p>
      <w:pPr>
        <w:pStyle w:val="Heading3"/>
        <w:keepNext/>
        <w:widowControl/>
      </w:pPr>
      <w:r>
        <w:t>NATO standing, implications, and recommended action</w:t>
      </w:r>
    </w:p>
    <w:p>
      <w:pPr>
        <w:widowControl/>
      </w:pPr>
      <w:r>
        <w:t>No exact NATO adoption of this artifact is demonstrated by the material inspected for this revision. The public NISP material available here is historical or draft, so this is an unresolved current-status check, not a finding that NATO excludes it. Its DISR mandate does not establish NATO adoption, nor does adoption of YANG generally establish adoption of this hardware module. Verify the relevant NATO network-management or JISR profile before proposing a targeted addition; only the selected use and exact edition should drive a request (North Atlantic Treaty Organization 2023, chap. 5).</w:t>
      </w:r>
    </w:p>
    <w:p>
      <w:pPr>
        <w:pStyle w:val="Heading1"/>
        <w:keepNext/>
        <w:pageBreakBefore w:val="0"/>
        <w:widowControl/>
      </w:pPr>
      <w:r>
        <w:t>III. Domain quantities and semantics</w:t>
      </w:r>
    </w:p>
    <w:p>
      <w:pPr>
        <w:widowControl/>
      </w:pPr>
      <w:r>
        <w:t>A unit, a quantity kind, a subject-specific property, and an interaction description do different work. This group tests whether smaller semantic agreements could solve a named problem without importing a full equipment architecture. Power remains a sibling example rather than the whole research scope.</w:t>
      </w:r>
    </w:p>
    <w:p>
      <w:pPr>
        <w:pStyle w:val="Heading2"/>
        <w:keepNext/>
        <w:pageBreakBefore w:val="0"/>
        <w:widowControl/>
      </w:pPr>
      <w:r>
        <w:t>S09  |  RFC 7577: Battery monitoring</w:t>
      </w:r>
    </w:p>
    <w:p>
      <w:pPr>
        <w:pStyle w:val="Reference"/>
        <w:keepNext/>
        <w:widowControl/>
      </w:pPr>
      <w:r>
        <w:t xml:space="preserve">Internet Engineering Task Force. 2015. </w:t>
      </w:r>
      <w:r>
        <w:rPr>
          <w:i/>
        </w:rPr>
        <w:t>Definition of Managed Objects for Battery Monitoring</w:t>
      </w:r>
      <w:r>
        <w:t>. RFC 7577. https://www.rfc-editor.org/rfc/rfc7577.html</w:t>
      </w:r>
    </w:p>
    <w:p>
      <w:pPr>
        <w:pStyle w:val="Metadata"/>
        <w:keepNext/>
        <w:widowControl/>
      </w:pPr>
      <w:r>
        <w:t>INSPECTION  §3; §4 BATTERY-MIB, selected capacity and charging-state objects  •  Normative text—selected clauses  •  12 October 2026</w:t>
      </w:r>
    </w:p>
    <w:p>
      <w:pPr>
        <w:pStyle w:val="Heading3"/>
        <w:keepNext/>
        <w:widowControl/>
      </w:pPr>
      <w:r>
        <w:t>Purpose, scope, and original problem</w:t>
      </w:r>
    </w:p>
    <w:p>
      <w:pPr>
        <w:widowControl/>
      </w:pPr>
      <w:r>
        <w:t>RFC 7577 defines managed objects for battery monitoring. Its native form is a MIB, making it more specific than a units vocabulary and different from a general device metamodel. It belongs in this investigation because a battery-related label may hide several distinct quantities or management states (Internet Engineering Task Force 2015, §§3–4).</w:t>
      </w:r>
    </w:p>
    <w:p>
      <w:pPr>
        <w:pStyle w:val="Heading3"/>
        <w:keepNext/>
        <w:widowControl/>
      </w:pPr>
      <w:r>
        <w:t>Relevant concepts and mechanisms</w:t>
      </w:r>
    </w:p>
    <w:p>
      <w:pPr>
        <w:widowControl/>
      </w:pPr>
      <w:r>
        <w:t>The inspected definitions distinguish actual capacity from actual charge and distinguish requested charging state from operational charging state. The capacity object uses milliampere-hours. Those distinctions help explain why a percentage, an energy value, and a commanded charging mode should not be normalized as the same battery fact (Internet Engineering Task Force 2015, §4).</w:t>
      </w:r>
    </w:p>
    <w:p>
      <w:pPr>
        <w:pStyle w:val="Heading3"/>
        <w:keepNext/>
        <w:widowControl/>
      </w:pPr>
      <w:r>
        <w:t>Relevance to MERLIN and the research question</w:t>
      </w:r>
    </w:p>
    <w:p>
      <w:pPr>
        <w:widowControl/>
      </w:pPr>
      <w:r>
        <w:t>MERLIN should first preserve each available reading and its source qualification. An unspecified estimated-capacity percentage must remain unresolved until its reference and method are understood. The proposed benefit is fewer mistaken equivalences and more reusable interpretation, not an inferred runtime or replacement recommendation.</w:t>
      </w:r>
    </w:p>
    <w:p>
      <w:pPr>
        <w:pStyle w:val="Heading3"/>
        <w:keepNext/>
        <w:widowControl/>
      </w:pPr>
      <w:r>
        <w:t>Relationship to OGC and other candidate work</w:t>
      </w:r>
    </w:p>
    <w:p>
      <w:pPr>
        <w:widowControl/>
      </w:pPr>
      <w:r>
        <w:t>Selected definitions could inform a SWE Common or SensorML binding without asserting implementation of the complete MIB. That is a research hypothesis, not an established standard bridge. Native command access, read-only observations, unknown-value conventions, and unit transformations would each need explicit treatment.</w:t>
      </w:r>
    </w:p>
    <w:p>
      <w:pPr>
        <w:pStyle w:val="Heading3"/>
        <w:keepNext/>
        <w:widowControl/>
      </w:pPr>
      <w:r>
        <w:t>Implementation, openness, limits, and next question</w:t>
      </w:r>
    </w:p>
    <w:p>
      <w:pPr>
        <w:widowControl/>
      </w:pPr>
      <w:r>
        <w:t>This increment did not query an SNMP agent or validate a battery fixture. The sibling Power Source sheet remains a separate proposal rather than proof of these mappings. The next question is whether a precisely defined quantity enables useful shared behavior that a competent direct-OGC treatment cannot already provide.</w:t>
      </w:r>
    </w:p>
    <w:p>
      <w:pPr>
        <w:pStyle w:val="Heading3"/>
        <w:keepNext/>
        <w:widowControl/>
      </w:pPr>
      <w:r>
        <w:t>Intended use, specialization, and conformance boundary</w:t>
      </w:r>
    </w:p>
    <w:p>
      <w:pPr>
        <w:widowControl/>
      </w:pPr>
      <w:r>
        <w:t>The Battery MIB was designed to expose existing battery instrumentation to network-management systems, with monitoring and limited control, not to define the battery-controller hardware interface. It gives battery-specific meanings and identification conventions and uses the SNMP/SMIv2 management framework; §3.2.1 and §6.2 provide a governed route for technology identifiers. MERLIN could map a verified quantity into SWE Common, but that would be a documented reuse of meaning rather than an implementation of the Battery MIB, and it cannot turn an unexplained legacy percentage into a specified charge or capacity (Internet Engineering Task Force 2015, §§1–3, 6.2).</w:t>
      </w:r>
    </w:p>
    <w:p>
      <w:pPr>
        <w:pStyle w:val="Heading3"/>
        <w:keepNext/>
        <w:widowControl/>
      </w:pPr>
      <w:r>
        <w:t>Proposed implementation and conformance claim</w:t>
      </w:r>
    </w:p>
    <w:p>
      <w:pPr>
        <w:widowControl/>
      </w:pPr>
      <w:r>
        <w:t>The currently contemplated use is reference to precisely defined battery quantities, not implementation of the Battery MIB. A native claim would concern an agent or manager satisfying the applicable managed-object and compliance obligations. A SWE representation of one quantity is an OGC-side implementation with a separately justified semantic mapping, not evidence of SNMP/MIB implementation (Internet Engineering Task Force 2015, scope and BATTERY-MIB module).</w:t>
      </w:r>
    </w:p>
    <w:p>
      <w:pPr>
        <w:pStyle w:val="Heading3"/>
        <w:keepNext/>
        <w:widowControl/>
      </w:pPr>
      <w:r>
        <w:t>DISR standing, implications, and recommended action</w:t>
      </w:r>
    </w:p>
    <w:p>
      <w:pPr>
        <w:widowControl/>
      </w:pPr>
      <w:r>
        <w:t>RFC 7577 is absent from the authoritative current DISR baseline; no separate DoD or IC adoption status is listed. No request is recommended for the present semantic-reference use. Reconsider only for a justified exact native MIB or separately governed binding requirement. (S25; “StandardsReport” 2026; this study’s assessment.)</w:t>
      </w:r>
    </w:p>
    <w:p>
      <w:pPr>
        <w:pStyle w:val="Heading3"/>
        <w:keepNext/>
        <w:widowControl/>
      </w:pPr>
      <w:r>
        <w:t>NATO standing, implications, and recommended action</w:t>
      </w:r>
    </w:p>
    <w:p>
      <w:pPr>
        <w:widowControl/>
      </w:pPr>
      <w:r>
        <w:t>No exact NATO adoption of this artifact is demonstrated by the material inspected for this revision. The public NISP material available here is historical or draft, so this is an unresolved current-status check, not a finding that NATO excludes it. No NATO battery-management requirement was established by the inspected material. Coordinate with the Power Source workstream before a standards action; a future request should state the chosen quantities, source instrumentation, unit and identity rules, and whether native management behavior is required or deliberately excluded (North Atlantic Treaty Organization 2023, chap. 5).</w:t>
      </w:r>
    </w:p>
    <w:p>
      <w:pPr>
        <w:pStyle w:val="Heading3"/>
        <w:keepNext/>
        <w:widowControl/>
      </w:pPr>
      <w:r>
        <w:t>Reconciliation note — 17 October 2026</w:t>
      </w:r>
    </w:p>
    <w:p>
      <w:pPr>
        <w:widowControl/>
      </w:pPr>
      <w:r>
        <w:t>The v0.3.5 auxiliary example now demonstrates conversion of batteryActualVoltage from millivolts to volts and explicit handling of the source’s undetermined value. It is separate from the original generic external-supply example and does not reclassify those supplies as batteries. Detailed battery fields and native SNMP conformance remain outside the applied increment. The exact RFC definition and the authored output-property and nil conventions are recorded separately (RFC 7577, §5, batteryActualVoltage; MERLIN MPSS Profile 2026, R17).</w:t>
      </w:r>
    </w:p>
    <w:p>
      <w:pPr>
        <w:pStyle w:val="Heading2"/>
        <w:keepNext/>
        <w:pageBreakBefore w:val="0"/>
        <w:widowControl/>
      </w:pPr>
      <w:r>
        <w:t>S10  |  RFC 7326: Energy management</w:t>
      </w:r>
    </w:p>
    <w:p>
      <w:pPr>
        <w:pStyle w:val="Reference"/>
        <w:keepNext/>
        <w:widowControl/>
      </w:pPr>
      <w:r>
        <w:t xml:space="preserve">Internet Engineering Task Force. 2014. </w:t>
      </w:r>
      <w:r>
        <w:rPr>
          <w:i/>
        </w:rPr>
        <w:t>Energy Management Framework</w:t>
      </w:r>
      <w:r>
        <w:t>. RFC 7326. https://www.rfc-editor.org/rfc/rfc7326.html</w:t>
      </w:r>
    </w:p>
    <w:p>
      <w:pPr>
        <w:pStyle w:val="Metadata"/>
        <w:keepNext/>
        <w:widowControl/>
      </w:pPr>
      <w:r>
        <w:t>INSPECTION  §§6.6–6.6.4; §7; status header  •  Informative framework  •  12 October 2026</w:t>
      </w:r>
    </w:p>
    <w:p>
      <w:pPr>
        <w:pStyle w:val="Heading3"/>
        <w:keepNext/>
        <w:widowControl/>
      </w:pPr>
      <w:r>
        <w:t>Purpose, scope, and original problem</w:t>
      </w:r>
    </w:p>
    <w:p>
      <w:pPr>
        <w:widowControl/>
      </w:pPr>
      <w:r>
        <w:t>RFC 7326 is an Informational energy-management framework, not a Standards Track battery specification. It describes monitoring and control concepts for network-connected devices and components. Its main contribution here is the explicit separation of different energy relationships (Internet Engineering Task Force 2014, §§1, 6.6).</w:t>
      </w:r>
    </w:p>
    <w:p>
      <w:pPr>
        <w:pStyle w:val="Heading3"/>
        <w:keepNext/>
        <w:widowControl/>
      </w:pPr>
      <w:r>
        <w:t>Relevant concepts and mechanisms</w:t>
      </w:r>
    </w:p>
    <w:p>
      <w:pPr>
        <w:widowControl/>
      </w:pPr>
      <w:r>
        <w:t>The framework distinguishes power-source, metering, and aggregation relationships. Its guidance principally uses power-source relationships for inter-device connections and treats intra-device transfer differently. Section 7 also allows other data-model structures to implement the information model, which makes selective semantic reuse a legitimate subject of investigation (Internet Engineering Task Force 2014, §§6.6.2, 7).</w:t>
      </w:r>
    </w:p>
    <w:p>
      <w:pPr>
        <w:pStyle w:val="Heading3"/>
        <w:keepNext/>
        <w:widowControl/>
      </w:pPr>
      <w:r>
        <w:t>Relevance to MERLIN and the research question</w:t>
      </w:r>
    </w:p>
    <w:p>
      <w:pPr>
        <w:widowControl/>
      </w:pPr>
      <w:r>
        <w:t>The framework explicitly considers sensor controllers and subordinate sensors among its energy-management examples. It is therefore a strong candidate for organizing the power arrangement of the broader system family, rather than only interpreting two legacy readings. Its Section 7 permits alternate data-model realizations, but the exact power profile and OGC binding remain to be specified with the sibling workstream (Internet Engineering Task Force 2014, §§3, 6–7).</w:t>
      </w:r>
    </w:p>
    <w:p>
      <w:pPr>
        <w:pStyle w:val="Heading3"/>
        <w:keepNext/>
        <w:widowControl/>
      </w:pPr>
      <w:r>
        <w:t>Relationship to OGC and other candidate work</w:t>
      </w:r>
    </w:p>
    <w:p>
      <w:pPr>
        <w:widowControl/>
      </w:pPr>
      <w:r>
        <w:t>These relationships are not interchangeable with hardware containment or an OGC Deployment. A common subject identity is necessary before relating their different assertions. The candidate agreement should specify relationship direction, participants, scope, and validity rather than inventing a universal power-link field.</w:t>
      </w:r>
    </w:p>
    <w:p>
      <w:pPr>
        <w:pStyle w:val="Heading3"/>
        <w:keepNext/>
        <w:widowControl/>
      </w:pPr>
      <w:r>
        <w:t>Implementation, openness, limits, and next question</w:t>
      </w:r>
    </w:p>
    <w:p>
      <w:pPr>
        <w:widowControl/>
      </w:pPr>
      <w:r>
        <w:t>The inspected framework supplies definitions and guidance, not a verified CSAPI implementation. Some relationships may require information from an administrator, which would be a separately costed dependency. The next question is whether the existing sources already provide enough evidence to support one useful power relationship without enrichment.</w:t>
      </w:r>
    </w:p>
    <w:p>
      <w:pPr>
        <w:pStyle w:val="Heading3"/>
        <w:keepNext/>
        <w:widowControl/>
      </w:pPr>
      <w:r>
        <w:t>Intended use, specialization, and conformance boundary</w:t>
      </w:r>
    </w:p>
    <w:p>
      <w:pPr>
        <w:widowControl/>
      </w:pPr>
      <w:r>
        <w:t>RFC 7326 is an Informational energy-management framework for organizing energy objects and relationships across management environments. Its relationship model supplies distinctions useful for separating power supply from physical containment, but the framework is not itself an implementation of all associated MIB modules. Reuse in MERLIN should preserve the selected relationship’s parties and meaning and be called a proposed OGC mapping, not energy-management protocol conformance (Internet Engineering Task Force 2014, scope and Energy Object relationships).</w:t>
      </w:r>
    </w:p>
    <w:p>
      <w:pPr>
        <w:pStyle w:val="Heading3"/>
        <w:keepNext/>
        <w:widowControl/>
      </w:pPr>
      <w:r>
        <w:t>Proposed implementation and conformance claim</w:t>
      </w:r>
    </w:p>
    <w:p>
      <w:pPr>
        <w:widowControl/>
      </w:pPr>
      <w:r>
        <w:t>Evaluate an OGC realization of the selected energy-management information model in accordance with the framework’s stated scope and alternate-realization guidance. This is not a claim to implement the associated MIBs or an already published OGC power profile. The implementing artifact, selected model content and locally authored binding must be explicit; no new tests are required merely to continue this scope assessment (Internet Engineering Task Force 2014, §7).</w:t>
      </w:r>
    </w:p>
    <w:p>
      <w:pPr>
        <w:pStyle w:val="Heading3"/>
        <w:keepNext/>
        <w:widowControl/>
      </w:pPr>
      <w:r>
        <w:t>DISR standing, implications, and recommended action</w:t>
      </w:r>
    </w:p>
    <w:p>
      <w:pPr>
        <w:widowControl/>
      </w:pPr>
      <w:r>
        <w:t>RFC 7326 is absent from the authoritative current DISR baseline; no separate DoD or IC adoption status is listed. No request is recommended for an informative relationship precedent. Any management implementation would first identify its actual normative specifications. (S25; “StandardsReport” 2026; this study’s assessment.)</w:t>
      </w:r>
    </w:p>
    <w:p>
      <w:pPr>
        <w:pStyle w:val="Heading3"/>
        <w:keepNext/>
        <w:widowControl/>
      </w:pPr>
      <w:r>
        <w:t>NATO standing, implications, and recommended action</w:t>
      </w:r>
    </w:p>
    <w:p>
      <w:pPr>
        <w:widowControl/>
      </w:pPr>
      <w:r>
        <w:t>No exact NATO adoption of this artifact is demonstrated by the material inspected for this revision. The public NISP material available here is historical or draft, so this is an unresolved current-status check, not a finding that NATO excludes it. A NATO profile can use supporting informative material without making that material an implemented protocol. If the relationship becomes necessary, ask the profile owner whether a scoped informative reference or a normative binding is appropriate, and submit only the artifact that actually establishes the required behavior (North Atlantic Treaty Organization 2023, appendix A and chap. 5).</w:t>
      </w:r>
    </w:p>
    <w:p>
      <w:pPr>
        <w:pStyle w:val="Heading3"/>
        <w:keepNext/>
        <w:widowControl/>
      </w:pPr>
      <w:r>
        <w:t>Reconciliation note — 17 October 2026</w:t>
      </w:r>
    </w:p>
    <w:p>
      <w:pPr>
        <w:widowControl/>
      </w:pPr>
      <w:r>
        <w:t>RFC 7326-informed directed powers, meters and aggregates meanings are now reflected in the approved R16 binding. The native SensorML carrier and selected MPSS field names remain authored implementation choices, not a claim of a complete native EMAN/MIB runtime. Detailed Power Interfaces, batteries and other operating-arrangement specializations remain open. The status is therefore applied selected design with residual work, not wholesale model implementation (MERLIN Power Source Assessment 2026, §§6–10; MERLIN MPSS Profile 2026, R16).</w:t>
      </w:r>
    </w:p>
    <w:p>
      <w:pPr>
        <w:pStyle w:val="Heading2"/>
        <w:keepNext/>
        <w:pageBreakBefore w:val="0"/>
        <w:widowControl/>
      </w:pPr>
      <w:r>
        <w:t>S11  |  Web of Things Architecture 1.1</w:t>
      </w:r>
    </w:p>
    <w:p>
      <w:pPr>
        <w:pStyle w:val="Reference"/>
        <w:keepNext/>
        <w:widowControl/>
      </w:pPr>
      <w:r>
        <w:t xml:space="preserve">World Wide Web Consortium. 2023. </w:t>
      </w:r>
      <w:r>
        <w:rPr>
          <w:i/>
        </w:rPr>
        <w:t>Web of Things (WoT) Architecture 1.1</w:t>
      </w:r>
      <w:r>
        <w:t>. 1.1; W3C Recommendation. https://www.w3.org/TR/2023/REC-wot-architecture11-20231205/</w:t>
      </w:r>
    </w:p>
    <w:p>
      <w:pPr>
        <w:pStyle w:val="Metadata"/>
        <w:keepNext/>
        <w:widowControl/>
      </w:pPr>
      <w:r>
        <w:t>INSPECTION  §6.1.1.2; §§7.1–7.3; publication status  •  Normative architecture—selected text  •  12 October 2026</w:t>
      </w:r>
    </w:p>
    <w:p>
      <w:pPr>
        <w:pStyle w:val="Heading3"/>
        <w:keepNext/>
        <w:widowControl/>
      </w:pPr>
      <w:r>
        <w:t>Purpose, scope, and original problem</w:t>
      </w:r>
    </w:p>
    <w:p>
      <w:pPr>
        <w:widowControl/>
      </w:pPr>
      <w:r>
        <w:t>WoT Architecture describes how reusable building blocks can connect existing IoT technologies and applications. Its stated approach is to describe existing systems rather than replace every underlying technology. The architecture is relevant as an integration pattern, not as an equipment vocabulary that resolves every domain property (World Wide Web Consortium 2023, abstract).</w:t>
      </w:r>
    </w:p>
    <w:p>
      <w:pPr>
        <w:pStyle w:val="Heading3"/>
        <w:keepNext/>
        <w:widowControl/>
      </w:pPr>
      <w:r>
        <w:t>Relevant concepts and mechanisms</w:t>
      </w:r>
    </w:p>
    <w:p>
      <w:pPr>
        <w:widowControl/>
      </w:pPr>
      <w:r>
        <w:t>The inspected discussion explicitly leaves development of particular domain vocabularies outside its scope. Thing descriptions and interaction concepts can therefore coexist with additional semantic definitions. This is evidence that interaction interoperability and domain meaning are distinct responsibilities (World Wide Web Consortium 2023, §§6.1.1.2, 7.1–7.3).</w:t>
      </w:r>
    </w:p>
    <w:p>
      <w:pPr>
        <w:pStyle w:val="Heading3"/>
        <w:keepNext/>
        <w:widowControl/>
      </w:pPr>
      <w:r>
        <w:t>Relevance to MERLIN and the research question</w:t>
      </w:r>
    </w:p>
    <w:p>
      <w:pPr>
        <w:widowControl/>
      </w:pPr>
      <w:r>
        <w:t>MERLIN should use WoT as a comparator for discoverable supported interactions, not as a shortcut for interpreting vendor labels. A command description would still need an understood effect and target. A voltage property would still need its subject and measurement role.</w:t>
      </w:r>
    </w:p>
    <w:p>
      <w:pPr>
        <w:pStyle w:val="Heading3"/>
        <w:keepNext/>
        <w:widowControl/>
      </w:pPr>
      <w:r>
        <w:t>Relationship to OGC and other candidate work</w:t>
      </w:r>
    </w:p>
    <w:p>
      <w:pPr>
        <w:widowControl/>
      </w:pPr>
      <w:r>
        <w:t>WoT and CSAPI overlap at the architectural and interaction-description level, while selected domain vocabularies could complement either. Importing another description layer may duplicate work rather than reduce it. The proposed comparison should identify a capability that actually requires WoT-specific behavior before considering a second runtime description stack.</w:t>
      </w:r>
    </w:p>
    <w:p>
      <w:pPr>
        <w:pStyle w:val="Heading3"/>
        <w:keepNext/>
        <w:widowControl/>
      </w:pPr>
      <w:r>
        <w:t>Implementation, openness, limits, and next question</w:t>
      </w:r>
    </w:p>
    <w:p>
      <w:pPr>
        <w:widowControl/>
      </w:pPr>
      <w:r>
        <w:t>This review inspected the architecture, not all Thing Description requirements or the linked implementation report. The publication is a Recommendation, while individual examples remain informative. The next question is whether MERLIN has a concrete interaction-discovery gap that its existing stream and command mechanisms cannot adequately address.</w:t>
      </w:r>
    </w:p>
    <w:p>
      <w:pPr>
        <w:pStyle w:val="Heading3"/>
        <w:keepNext/>
        <w:widowControl/>
      </w:pPr>
      <w:r>
        <w:t>Intended use, specialization, and conformance boundary</w:t>
      </w:r>
    </w:p>
    <w:p>
      <w:pPr>
        <w:widowControl/>
      </w:pPr>
      <w:r>
        <w:t>WoT Architecture targets integration across heterogeneous IoT platforms through reusable descriptions and interactions. It explicitly treats external domain vocabularies as optional additions and names examples including SAREF and SSN, so domain semantics are a designed extension point rather than a problem solved by the architecture alone. This supports the general method of combining a framework with domain terms, but it does not establish that CSAPI is a WoT binding or that an OGC resource is automatically a conforming Thing Description (World Wide Web Consortium 2023, §§6.1.1.2, 7.1–7.3).</w:t>
      </w:r>
    </w:p>
    <w:p>
      <w:pPr>
        <w:pStyle w:val="Heading3"/>
        <w:keepNext/>
        <w:widowControl/>
      </w:pPr>
      <w:r>
        <w:t>Proposed implementation and conformance claim</w:t>
      </w:r>
    </w:p>
    <w:p>
      <w:pPr>
        <w:widowControl/>
      </w:pPr>
      <w:r>
        <w:t>WoT Architecture remains background for separating interaction descriptions from domain vocabulary. The research has not selected a Thing Description implementation, binding or profile, so it cannot claim a native WoT implementation. Such a proposal would require the corresponding normative artifact and its requirements, rather than conformance inferred from this architecture discussion (World Wide Web Consortium 2023, §§6–7).</w:t>
      </w:r>
    </w:p>
    <w:p>
      <w:pPr>
        <w:pStyle w:val="Heading3"/>
        <w:keepNext/>
        <w:widowControl/>
      </w:pPr>
      <w:r>
        <w:t>DISR standing, implications, and recommended action</w:t>
      </w:r>
    </w:p>
    <w:p>
      <w:pPr>
        <w:widowControl/>
      </w:pPr>
      <w:r>
        <w:t>WoT Architecture 1.1 is absent from the authoritative current DISR baseline; no separate DoD or IC adoption status is listed. No request is recommended for the present architecture-comparison role. (S25; “StandardsReport” 2026; this study’s assessment.)</w:t>
      </w:r>
    </w:p>
    <w:p>
      <w:pPr>
        <w:pStyle w:val="Heading3"/>
        <w:keepNext/>
        <w:widowControl/>
      </w:pPr>
      <w:r>
        <w:t>NATO standing, implications, and recommended action</w:t>
      </w:r>
    </w:p>
    <w:p>
      <w:pPr>
        <w:widowControl/>
      </w:pPr>
      <w:r>
        <w:t>No exact NATO adoption of this artifact is demonstrated by the material inspected for this revision. The public NISP material available here is historical or draft, so this is an unresolved current-status check, not a finding that NATO excludes it. General IoT applicability is insufficient to justify another Alliance-facing interface in MERLIN. Recommend retaining WoT as comparative evidence unless an identified interoperability partner requires it, then evaluate the exact Recommendation, description/profile dependency, and applicable NATO service profile before an RFC (North Atlantic Treaty Organization 2023, chap. 5).</w:t>
      </w:r>
    </w:p>
    <w:p>
      <w:pPr>
        <w:pStyle w:val="Heading2"/>
        <w:keepNext/>
        <w:pageBreakBefore w:val="0"/>
        <w:widowControl/>
      </w:pPr>
      <w:r>
        <w:t>S12  |  SAREF Core 4.1.1</w:t>
      </w:r>
    </w:p>
    <w:p>
      <w:pPr>
        <w:pStyle w:val="Reference"/>
        <w:keepNext/>
        <w:widowControl/>
      </w:pPr>
      <w:r>
        <w:t xml:space="preserve">European Telecommunications Standards Institute. 2024. </w:t>
      </w:r>
      <w:r>
        <w:rPr>
          <w:i/>
        </w:rPr>
        <w:t>SAREF: The Smart Applications REFerence Ontology</w:t>
      </w:r>
      <w:r>
        <w:t>. Core 4.1.1. https://saref.etsi.org/core/v4.1.1/</w:t>
      </w:r>
    </w:p>
    <w:p>
      <w:pPr>
        <w:pStyle w:val="Metadata"/>
        <w:keepNext/>
        <w:widowControl/>
      </w:pPr>
      <w:r>
        <w:t>INSPECTION  Properties of interest; property values; states; functions of interest  •  Ontology text—selected definitions  •  12 October 2026</w:t>
      </w:r>
    </w:p>
    <w:p>
      <w:pPr>
        <w:pStyle w:val="Heading3"/>
        <w:keepNext/>
        <w:widowControl/>
      </w:pPr>
      <w:r>
        <w:t>Purpose, scope, and original problem</w:t>
      </w:r>
    </w:p>
    <w:p>
      <w:pPr>
        <w:widowControl/>
      </w:pPr>
      <w:r>
        <w:t>SAREF provides concepts for describing smart applications and their devices, properties, states, functions, and interactions. This increment inspected the versioned ontology documentation rather than claiming coverage of every SAREF extension. Its value is a candidate set of explicit distinctions, not an automatic replacement for CSAPI’s semantic foundation (European Telecommunications Standards Institute 2024).</w:t>
      </w:r>
    </w:p>
    <w:p>
      <w:pPr>
        <w:pStyle w:val="Heading3"/>
        <w:keepNext/>
        <w:widowControl/>
      </w:pPr>
      <w:r>
        <w:t>Relevant concepts and mechanisms</w:t>
      </w:r>
    </w:p>
    <w:p>
      <w:pPr>
        <w:widowControl/>
      </w:pPr>
      <w:r>
        <w:t>A PropertyOfInterest belongs to exactly one feature of interest, whereas a generic property can apply across features. The documentation also distinguishes functions in general from functions actually supported by one device. These relationships illustrate why ownership and actual support must accompany a plausible property or capability label (European Telecommunications Standards Institute 2024, “Properties of Interest”; “Functions of Interest”).</w:t>
      </w:r>
    </w:p>
    <w:p>
      <w:pPr>
        <w:pStyle w:val="Heading3"/>
        <w:keepNext/>
        <w:widowControl/>
      </w:pPr>
      <w:r>
        <w:t>Relevance to MERLIN and the research question</w:t>
      </w:r>
    </w:p>
    <w:p>
      <w:pPr>
        <w:widowControl/>
      </w:pPr>
      <w:r>
        <w:t>MERLIN could test whether subject-specific property identity helps distinguish two batteries or two communication links. That benefit must be shown against a baseline that already retains subject identity. Creating extra identifiers would be unjustified if they do not enable additional fidelity or reusable behavior.</w:t>
      </w:r>
    </w:p>
    <w:p>
      <w:pPr>
        <w:pStyle w:val="Heading3"/>
        <w:keepNext/>
        <w:widowControl/>
      </w:pPr>
      <w:r>
        <w:t>Relationship to OGC and other candidate work</w:t>
      </w:r>
    </w:p>
    <w:p>
      <w:pPr>
        <w:widowControl/>
      </w:pPr>
      <w:r>
        <w:t>SAREF and SOSA/SSN overlap in the sensor and observation space, but similar terminology is not blanket equivalence. The proposed crosswalk must inspect cardinality, class scope, and property ownership. A mapping should be narrowed or rejected where those conditions differ.</w:t>
      </w:r>
    </w:p>
    <w:p>
      <w:pPr>
        <w:pStyle w:val="Heading3"/>
        <w:keepNext/>
        <w:widowControl/>
      </w:pPr>
      <w:r>
        <w:t>Implementation, openness, limits, and next question</w:t>
      </w:r>
    </w:p>
    <w:p>
      <w:pPr>
        <w:widowControl/>
      </w:pPr>
      <w:r>
        <w:t>No ontology reasoner, mapping test, or extension package was executed in this increment. Public access to the definitions does not settle all reuse rights. The next question is one exact semantic distinction that SAREF resolves better than the existing OGC representation, without importing unnecessary modeling commitments.</w:t>
      </w:r>
    </w:p>
    <w:p>
      <w:pPr>
        <w:pStyle w:val="Heading3"/>
        <w:keepNext/>
        <w:widowControl/>
      </w:pPr>
      <w:r>
        <w:t>Intended use, specialization, and conformance boundary</w:t>
      </w:r>
    </w:p>
    <w:p>
      <w:pPr>
        <w:widowControl/>
      </w:pPr>
      <w:r>
        <w:t>SAREF provides a reference ontology for smart applications, with domain extensions rather than one exhaustive device description. Its extension family and concept definitions are evidence of semantic specialization, not a license to treat every similarly named SOSA/SSN term as equivalent. A MERLIN reuse should select the exact term and release, preserve its domain/range and relations, and justify any alignment; that work remains distinct from translating SAREF terminology into a label in a SensorML document (European Telecommunications Standards Institute 2024, introduction, term definitions, and references to domain extensions).</w:t>
      </w:r>
    </w:p>
    <w:p>
      <w:pPr>
        <w:pStyle w:val="Heading3"/>
        <w:keepNext/>
        <w:widowControl/>
      </w:pPr>
      <w:r>
        <w:t>Proposed implementation and conformance claim</w:t>
      </w:r>
    </w:p>
    <w:p>
      <w:pPr>
        <w:widowControl/>
      </w:pPr>
      <w:r>
        <w:t>SAREF’s possible target is an assertion/model using specified terms and axioms, not necessarily a protocol conformance class. The proposed use must identify those assertions and assess semantic consistency; a shape or closed-world validation contract would be additional work unless supplied by the selected source. No such alignment has been adopted for MERLIN (European Telecommunications Standards Institute 2024, SAREF Core 4.1.1).</w:t>
      </w:r>
    </w:p>
    <w:p>
      <w:pPr>
        <w:pStyle w:val="Heading3"/>
        <w:keepNext/>
        <w:widowControl/>
      </w:pPr>
      <w:r>
        <w:t>DISR standing, implications, and recommended action</w:t>
      </w:r>
    </w:p>
    <w:p>
      <w:pPr>
        <w:widowControl/>
      </w:pPr>
      <w:r>
        <w:t>SAREF Core 4.1.1 is absent from the authoritative current DISR baseline; no separate DoD or IC adoption status is listed. No request is recommended before exact assertions, normative use and an implementation need are selected. (S25; “StandardsReport” 2026; this study’s assessment.)</w:t>
      </w:r>
    </w:p>
    <w:p>
      <w:pPr>
        <w:pStyle w:val="Heading3"/>
        <w:keepNext/>
        <w:widowControl/>
      </w:pPr>
      <w:r>
        <w:t>NATO standing, implications, and recommended action</w:t>
      </w:r>
    </w:p>
    <w:p>
      <w:pPr>
        <w:widowControl/>
      </w:pPr>
      <w:r>
        <w:t>No exact NATO adoption of this artifact is demonstrated by the material inspected for this revision. The public NISP material available here is historical or draft, so this is an unresolved current-status check, not a finding that NATO excludes it. SAREF’s presence in a W3C architectural example is not NATO endorsement. A justified NATO action would name the chosen ontology release and domain binding and explain its compatibility with the existing sensor semantics, rather than ask for an undifferentiated SAREF adoption (North Atlantic Treaty Organization 2023, chap. 5).</w:t>
      </w:r>
    </w:p>
    <w:p>
      <w:pPr>
        <w:pStyle w:val="Heading2"/>
        <w:keepNext/>
        <w:pageBreakBefore w:val="0"/>
        <w:widowControl/>
      </w:pPr>
      <w:r>
        <w:t>S13  |  SOSA/SSN: 2017 foundation</w:t>
      </w:r>
    </w:p>
    <w:p>
      <w:pPr>
        <w:pStyle w:val="Reference"/>
        <w:keepNext/>
        <w:widowControl/>
      </w:pPr>
      <w:r>
        <w:t xml:space="preserve">World Wide Web Consortium. 2017. </w:t>
      </w:r>
      <w:r>
        <w:rPr>
          <w:i/>
        </w:rPr>
        <w:t>Semantic Sensor Network Ontology</w:t>
      </w:r>
      <w:r>
        <w:t>. 2017 Recommendation edition. https://www.w3.org/TR/2017/REC-vocab-ssn-20171019/</w:t>
      </w:r>
    </w:p>
    <w:p>
      <w:pPr>
        <w:pStyle w:val="Metadata"/>
        <w:keepNext/>
        <w:widowControl/>
      </w:pPr>
      <w:r>
        <w:t>INSPECTION  Abstract; status; modularization and principal ontology concepts  •  Normative ontology—selected text  •  12 October 2026</w:t>
      </w:r>
    </w:p>
    <w:p>
      <w:pPr>
        <w:pStyle w:val="Heading3"/>
        <w:keepNext/>
        <w:widowControl/>
      </w:pPr>
      <w:r>
        <w:t>Purpose, scope, and original problem</w:t>
      </w:r>
    </w:p>
    <w:p>
      <w:pPr>
        <w:widowControl/>
      </w:pPr>
      <w:r>
        <w:t>The 2017 SSN publication describes sensors, observations, procedures, features of interest, samples, and actuators. It distinguishes the lightweight SOSA core from the more extensively axiomatized SSN layers. This source establishes background for the OGC semantic foundation rather than introducing an independent equipment-management stack (World Wide Web Consortium 2017, abstract).</w:t>
      </w:r>
    </w:p>
    <w:p>
      <w:pPr>
        <w:pStyle w:val="Heading3"/>
        <w:keepNext/>
        <w:widowControl/>
      </w:pPr>
      <w:r>
        <w:t>Relevant concepts and mechanisms</w:t>
      </w:r>
    </w:p>
    <w:p>
      <w:pPr>
        <w:widowControl/>
      </w:pPr>
      <w:r>
        <w:t>The modular structure demonstrates that a reusable foundation need not make every application adopt the same degree of formalization. Its concepts identify roles in observation and actuation rather than simply naming physical components. The exact namespace and edition matter when comparing these roles with newer work (World Wide Web Consortium 2017).</w:t>
      </w:r>
    </w:p>
    <w:p>
      <w:pPr>
        <w:pStyle w:val="Heading3"/>
        <w:keepNext/>
        <w:widowControl/>
      </w:pPr>
      <w:r>
        <w:t>Relevance to MERLIN and the research question</w:t>
      </w:r>
    </w:p>
    <w:p>
      <w:pPr>
        <w:widowControl/>
      </w:pPr>
      <w:r>
        <w:t>For MERLIN, the useful test is whether a proposed domain model preserves who observes, what is observed, and which procedure is used. The physical device providing a reading need not be the ultimate subject of that reading. A common user-facing label must not erase that distinction.</w:t>
      </w:r>
    </w:p>
    <w:p>
      <w:pPr>
        <w:pStyle w:val="Heading3"/>
        <w:keepNext/>
        <w:widowControl/>
      </w:pPr>
      <w:r>
        <w:t>Relationship to OGC and other candidate work</w:t>
      </w:r>
    </w:p>
    <w:p>
      <w:pPr>
        <w:widowControl/>
      </w:pPr>
      <w:r>
        <w:t>This 2017 edition should not be used silently to settle later CSAPI alignment questions. The CSAPI documents are authoritative for their own resource mappings and published requirements. SAREF comparisons likewise need an explicitly pinned pair of definitions rather than a presumed all-purpose equivalence.</w:t>
      </w:r>
    </w:p>
    <w:p>
      <w:pPr>
        <w:pStyle w:val="Heading3"/>
        <w:keepNext/>
        <w:widowControl/>
      </w:pPr>
      <w:r>
        <w:t>Implementation, openness, limits, and next question</w:t>
      </w:r>
    </w:p>
    <w:p>
      <w:pPr>
        <w:widowControl/>
      </w:pPr>
      <w:r>
        <w:t>This review did not re-audit subsequent SSN revisions or the user’s related alignment work. The edition is retained as foundational background, not labeled the latest ontology publication. The next question is whether a shortlisted mapping depends on a newer term or changed axiom, in which case that exact edition must be inspected.</w:t>
      </w:r>
    </w:p>
    <w:p>
      <w:pPr>
        <w:pStyle w:val="Heading3"/>
        <w:keepNext/>
        <w:widowControl/>
      </w:pPr>
      <w:r>
        <w:t>Intended use, specialization, and conformance boundary</w:t>
      </w:r>
    </w:p>
    <w:p>
      <w:pPr>
        <w:widowControl/>
      </w:pPr>
      <w:r>
        <w:t>The 2017 SSN Recommendation provides a modular ontology, with a lightweight SOSA core and additional SSN axioms, for describing sensing, actuation, sampling, and associated entities. Reuse must distinguish the selected modules and their actual class/property meanings; a local label is not an ontology assertion. In particular, the 2017 edition’s ssn:System must not be silently treated as a later edition’s differently organized term, and referencing the ontology does not require MERLIN to deploy RDF infrastructure or establish a new equivalence without evidence (World Wide Web Consortium 2017, §§3–4).</w:t>
      </w:r>
    </w:p>
    <w:p>
      <w:pPr>
        <w:pStyle w:val="Heading3"/>
        <w:keepNext/>
        <w:widowControl/>
      </w:pPr>
      <w:r>
        <w:t>Proposed implementation and conformance claim</w:t>
      </w:r>
    </w:p>
    <w:p>
      <w:pPr>
        <w:widowControl/>
      </w:pPr>
      <w:r>
        <w:t>The possible implementation claim concerns use of specific SOSA/SSN semantics, not a native sensor-management protocol. The research must identify the module and assertions being relied upon and assess their meanings and applicable axioms. An OGC JSON representation is not automatically an RDF implementation, and a separate validation shape must not be attributed to the ontology without evidence (World Wide Web Consortium 2017, module and term definitions).</w:t>
      </w:r>
    </w:p>
    <w:p>
      <w:pPr>
        <w:pStyle w:val="Heading3"/>
        <w:keepNext/>
        <w:widowControl/>
      </w:pPr>
      <w:r>
        <w:t>DISR standing, implications, and recommended action</w:t>
      </w:r>
    </w:p>
    <w:p>
      <w:pPr>
        <w:widowControl/>
      </w:pPr>
      <w:r>
        <w:t>The W3C SOSA/SSN ontology is absent from the authoritative current DISR baseline; no separate DoD or IC adoption status is listed. Do not confuse it with The Open Group SOSA record. Assess its OGC dependency/semantic role before considering a separate entry; no automatic addition is recommended. (S25; “StandardsReport” 2026; this study’s assessment.)</w:t>
      </w:r>
    </w:p>
    <w:p>
      <w:pPr>
        <w:pStyle w:val="Heading3"/>
        <w:keepNext/>
        <w:widowControl/>
      </w:pPr>
      <w:r>
        <w:t>NATO standing, implications, and recommended action</w:t>
      </w:r>
    </w:p>
    <w:p>
      <w:pPr>
        <w:widowControl/>
      </w:pPr>
      <w:r>
        <w:t>No exact NATO adoption of this artifact is demonstrated by the material inspected for this revision. The public NISP material available here is historical or draft, so this is an unresolved current-status check, not a finding that NATO excludes it. A NATO adoption of an OGC package would not by itself prove an independent mandate for every ontology artifact associated with it. Use the existing sensor-profile route to resolve the exact reference and intended assertions, and propose a new ontology/profile citation only if the selected interoperability contract genuinely requires it (NATO Standardization Office 2026; North Atlantic Treaty Organization 2023, chap. 5).</w:t>
      </w:r>
    </w:p>
    <w:p>
      <w:pPr>
        <w:pStyle w:val="Heading2"/>
        <w:keepNext/>
        <w:pageBreakBefore w:val="0"/>
        <w:widowControl/>
      </w:pPr>
      <w:r>
        <w:t>S14  |  UCUM: Unit expressions</w:t>
      </w:r>
    </w:p>
    <w:p>
      <w:pPr>
        <w:pStyle w:val="Reference"/>
        <w:keepNext/>
        <w:widowControl/>
      </w:pPr>
      <w:r>
        <w:t xml:space="preserve">Schadow, Gunther, and Clement J. McDonald. 2024. </w:t>
      </w:r>
      <w:r>
        <w:rPr>
          <w:i/>
        </w:rPr>
        <w:t>The Unified Code for Units of Measure</w:t>
      </w:r>
      <w:r>
        <w:t>. 2.2. https://ucum.org/ucum</w:t>
      </w:r>
    </w:p>
    <w:p>
      <w:pPr>
        <w:pStyle w:val="Metadata"/>
        <w:keepNext/>
        <w:widowControl/>
      </w:pPr>
      <w:r>
        <w:t>INSPECTION  Version header; scope, syntax and semantic organization  •  Technical specification—selected text  •  12 October 2026</w:t>
      </w:r>
    </w:p>
    <w:p>
      <w:pPr>
        <w:pStyle w:val="Heading3"/>
        <w:keepNext/>
        <w:widowControl/>
      </w:pPr>
      <w:r>
        <w:t>Purpose, scope, and original problem</w:t>
      </w:r>
    </w:p>
    <w:p>
      <w:pPr>
        <w:widowControl/>
      </w:pPr>
      <w:r>
        <w:t>UCUM defines machine-readable expressions for units of measure. The retrieved specification is version 2.2, dated June 17, 2024. It addresses reliable unit communication rather than the equipment, subject, or measurement purpose to which a value belongs (Schadow and McDonald 2024).</w:t>
      </w:r>
    </w:p>
    <w:p>
      <w:pPr>
        <w:pStyle w:val="Heading3"/>
        <w:keepNext/>
        <w:widowControl/>
      </w:pPr>
      <w:r>
        <w:t>Relevant concepts and mechanisms</w:t>
      </w:r>
    </w:p>
    <w:p>
      <w:pPr>
        <w:widowControl/>
      </w:pPr>
      <w:r>
        <w:t>The specification distinguishes a formal code system from ordinary display typography. That separation matters when a source uses a human label such as VDC. A readable label should not be assumed to be a valid code or a complete statement of the underlying physical quantity (Schadow and McDonald 2024).</w:t>
      </w:r>
    </w:p>
    <w:p>
      <w:pPr>
        <w:pStyle w:val="Heading3"/>
        <w:keepNext/>
        <w:widowControl/>
      </w:pPr>
      <w:r>
        <w:t>Relevance to MERLIN and the research question</w:t>
      </w:r>
    </w:p>
    <w:p>
      <w:pPr>
        <w:widowControl/>
      </w:pPr>
      <w:r>
        <w:t>MERLIN should retain the original unit evidence and document any permitted conversion. Compatible dimensions do not establish equivalent measurements. A nominal rating and a measured value can share a unit while answering different operational questions.</w:t>
      </w:r>
    </w:p>
    <w:p>
      <w:pPr>
        <w:pStyle w:val="Heading3"/>
        <w:keepNext/>
        <w:widowControl/>
      </w:pPr>
      <w:r>
        <w:t>Relationship to OGC and other candidate work</w:t>
      </w:r>
    </w:p>
    <w:p>
      <w:pPr>
        <w:widowControl/>
      </w:pPr>
      <w:r>
        <w:t>UCUM is complementary to property definitions and domain models, not a competitor to them. The direct-OGC baseline should receive the same disciplined unit handling as any added-model alternative. Otherwise, an apparent domain-model benefit could merely reflect better baseline engineering.</w:t>
      </w:r>
    </w:p>
    <w:p>
      <w:pPr>
        <w:pStyle w:val="Heading3"/>
        <w:keepNext/>
        <w:widowControl/>
      </w:pPr>
      <w:r>
        <w:t>Implementation, openness, limits, and next question</w:t>
      </w:r>
    </w:p>
    <w:p>
      <w:pPr>
        <w:widowControl/>
      </w:pPr>
      <w:r>
        <w:t>This increment did not run a unit parser or a conversion test. The UCUM edition referenced by a particular OGC document must be checked rather than silently replaced with the newest retrieved edition. The next question is whether any selected source-unit transformation loses information or changes the interpretation of the source quantity.</w:t>
      </w:r>
    </w:p>
    <w:p>
      <w:pPr>
        <w:pStyle w:val="Heading3"/>
        <w:keepNext/>
        <w:widowControl/>
      </w:pPr>
      <w:r>
        <w:t>Intended use, specialization, and conformance boundary</w:t>
      </w:r>
    </w:p>
    <w:p>
      <w:pPr>
        <w:widowControl/>
      </w:pPr>
      <w:r>
        <w:t>UCUM is designed to communicate quantities with unambiguous machine-readable unit expressions; its syntax is not the same thing as a human-facing unit label or a definition of the measured property. It is already named among SensorML’s normative references, but that reference is to UCUM 2.1, whereas this entry inspected 2.2. Reusing UCUM units is therefore close to the OGC framework’s intended design, while substituting editions, changing code meaning, or treating a unit match as property equivalence needs explicit compatibility review (Schadow and McDonald 2024, “Scope” and “Syntax Rules”; Open Geospatial Consortium 2025c, §3).</w:t>
      </w:r>
    </w:p>
    <w:p>
      <w:pPr>
        <w:pStyle w:val="Heading3"/>
        <w:keepNext/>
        <w:widowControl/>
      </w:pPr>
      <w:r>
        <w:t>Proposed implementation and conformance claim</w:t>
      </w:r>
    </w:p>
    <w:p>
      <w:pPr>
        <w:widowControl/>
      </w:pPr>
      <w:r>
        <w:t>UCUM can be a genuine implementation dependency because encoded unit strings and processing have defined syntax and meaning. The assessment must identify the edition and the operations actually supported, rather than treat a familiar display abbreviation as a valid code. The 2.1 reference in SensorML and the inspected 2.2 text remain an explicit dependency question, not proof that either is unsuitable (Schadow and McDonald 2024; Open Geospatial Consortium 2025c, §3).</w:t>
      </w:r>
    </w:p>
    <w:p>
      <w:pPr>
        <w:pStyle w:val="Heading3"/>
        <w:keepNext/>
        <w:widowControl/>
      </w:pPr>
      <w:r>
        <w:t>DISR standing, implications, and recommended action</w:t>
      </w:r>
    </w:p>
    <w:p>
      <w:pPr>
        <w:widowControl/>
      </w:pPr>
      <w:r>
        <w:t>UCUM as an independent entry is absent from the authoritative current DISR baseline; no separate DoD or IC adoption status is listed. SensorML’s dated UCUM 2.1 reference and the inspected 2.2 edition require reconciliation. Dependency incorporation and independent registry listing are different questions; no automatic addition is recommended. (S25; “StandardsReport” 2026; this study’s assessment.)</w:t>
      </w:r>
    </w:p>
    <w:p>
      <w:pPr>
        <w:pStyle w:val="Heading3"/>
        <w:keepNext/>
        <w:widowControl/>
      </w:pPr>
      <w:r>
        <w:t>NATO standing, implications, and recommended action</w:t>
      </w:r>
    </w:p>
    <w:p>
      <w:pPr>
        <w:widowControl/>
      </w:pPr>
      <w:r>
        <w:t>No exact NATO adoption of this artifact is demonstrated by the material inspected for this revision. The public NISP material available here is historical or draft, so this is an unresolved current-status check, not a finding that NATO excludes it. The exact UCUM reference in any applicable AEP or OGC package should be verified before making an edition claim. Recommend that a future NATO content profile explicitly pin its supported unit convention and explain compatibility; request a citation correction or profile update only for an actual mismatch, not a separate STANAG merely to name a dependency (North Atlantic Treaty Organization 2023, chap. 5).</w:t>
      </w:r>
    </w:p>
    <w:p>
      <w:pPr>
        <w:pStyle w:val="Heading2"/>
        <w:keepNext/>
        <w:pageBreakBefore w:val="0"/>
        <w:widowControl/>
      </w:pPr>
      <w:r>
        <w:t>S15  |  QUDT: Voltage</w:t>
      </w:r>
    </w:p>
    <w:p>
      <w:pPr>
        <w:pStyle w:val="Reference"/>
        <w:keepNext/>
        <w:widowControl/>
      </w:pPr>
      <w:r>
        <w:t>QUDT.org. n.d. Voltage. Quantity-kind record. Accessed October 12, 2026. https://qudt.org/vocab/quantitykind/Voltage</w:t>
      </w:r>
    </w:p>
    <w:p>
      <w:pPr>
        <w:pStyle w:val="Metadata"/>
        <w:keepNext/>
        <w:widowControl/>
      </w:pPr>
      <w:r>
        <w:t>INSPECTION  Definition; applicable units; isDefinedBy; generated timestamp  •  Vocabulary record—directly inspected  •  12 October 2026</w:t>
      </w:r>
    </w:p>
    <w:p>
      <w:pPr>
        <w:pStyle w:val="Heading3"/>
        <w:keepNext/>
        <w:widowControl/>
      </w:pPr>
      <w:r>
        <w:t>Purpose, scope, and original problem</w:t>
      </w:r>
    </w:p>
    <w:p>
      <w:pPr>
        <w:widowControl/>
      </w:pPr>
      <w:r>
        <w:t>The QUDT Voltage record identifies an electrical-potential-difference quantity kind. It links the concept to applicable units and to a versioned vocabulary. The generated-page timestamp is retained as metadata rather than converted into an unsupported publication date (QUDT.org n.d.).</w:t>
      </w:r>
    </w:p>
    <w:p>
      <w:pPr>
        <w:pStyle w:val="Heading3"/>
        <w:keepNext/>
        <w:widowControl/>
      </w:pPr>
      <w:r>
        <w:t>Relevant concepts and mechanisms</w:t>
      </w:r>
    </w:p>
    <w:p>
      <w:pPr>
        <w:widowControl/>
      </w:pPr>
      <w:r>
        <w:t>The record supplies a quantity meaning that a code such as volts does not express by itself. It does not identify a particular battery, measurement time, or source-specific estimate. Those additional facts must come from the source and the chosen binding (QUDT.org n.d.).</w:t>
      </w:r>
    </w:p>
    <w:p>
      <w:pPr>
        <w:pStyle w:val="Heading3"/>
        <w:keepNext/>
        <w:widowControl/>
      </w:pPr>
      <w:r>
        <w:t>Relevance to MERLIN and the research question</w:t>
      </w:r>
    </w:p>
    <w:p>
      <w:pPr>
        <w:widowControl/>
      </w:pPr>
      <w:r>
        <w:t>This makes Voltage a useful small comparator for semantic reuse. MERLIN could recognize a supported quantity without importing an entire equipment hierarchy. The comparison should still ask whether an equally precise existing definition already meets the same need.</w:t>
      </w:r>
    </w:p>
    <w:p>
      <w:pPr>
        <w:pStyle w:val="Heading3"/>
        <w:keepNext/>
        <w:widowControl/>
      </w:pPr>
      <w:r>
        <w:t>Relationship to OGC and other candidate work</w:t>
      </w:r>
    </w:p>
    <w:p>
      <w:pPr>
        <w:widowControl/>
      </w:pPr>
      <w:r>
        <w:t>A quantity-kind vocabulary can complement SWE Common and several external models simultaneously. It cannot decide whether two readings are directly comparable merely because both reference Voltage. The proposed rule must preserve roles such as measured, rated, or assumed values rather than treating a shared definition as blanket equivalence.</w:t>
      </w:r>
    </w:p>
    <w:p>
      <w:pPr>
        <w:pStyle w:val="Heading3"/>
        <w:keepNext/>
        <w:widowControl/>
      </w:pPr>
      <w:r>
        <w:t>Implementation, openness, limits, and next question</w:t>
      </w:r>
    </w:p>
    <w:p>
      <w:pPr>
        <w:widowControl/>
      </w:pPr>
      <w:r>
        <w:t>Only this record and its version metadata were inspected, not the complete QUDT vocabulary or its mapping policies. No legal clearance or compatibility test is claimed. The next question is whether a specific property definition needs more domain qualification than the generic quantity kind provides.</w:t>
      </w:r>
    </w:p>
    <w:p>
      <w:pPr>
        <w:pStyle w:val="Heading3"/>
        <w:keepNext/>
        <w:widowControl/>
      </w:pPr>
      <w:r>
        <w:t>Intended use, specialization, and conformance boundary</w:t>
      </w:r>
    </w:p>
    <w:p>
      <w:pPr>
        <w:widowControl/>
      </w:pPr>
      <w:r>
        <w:t>This QUDT record identifies the quantity kind Voltage; it does not identify which battery, terminal, time, operating condition, or telemetry channel a particular value concerns. Referencing the quantity-kind URI is a proposed semantic use consistent with the record’s descriptive role, but it is not a complete power-source model. A binding must still distinguish rated voltage from an actual reading and document units, subject, and any conversion separately (QUDT.org n.d., “Voltage”).</w:t>
      </w:r>
    </w:p>
    <w:p>
      <w:pPr>
        <w:pStyle w:val="Heading3"/>
        <w:keepNext/>
        <w:widowControl/>
      </w:pPr>
      <w:r>
        <w:t>Proposed implementation and conformance claim</w:t>
      </w:r>
    </w:p>
    <w:p>
      <w:pPr>
        <w:widowControl/>
      </w:pPr>
      <w:r>
        <w:t>The proposed use is a specific quantity-kind definition, not implementation of a complete device standard. Correct use requires the value to mean the referenced quantity and the receiving OGC representation to satisfy its own requirements. Broader QUDT conformance or model-coverage claims would exceed the inspected term-level evidence (QUDT.org n.d., “Voltage”).</w:t>
      </w:r>
    </w:p>
    <w:p>
      <w:pPr>
        <w:pStyle w:val="Heading3"/>
        <w:keepNext/>
        <w:widowControl/>
      </w:pPr>
      <w:r>
        <w:t>DISR standing, implications, and recommended action</w:t>
      </w:r>
    </w:p>
    <w:p>
      <w:pPr>
        <w:widowControl/>
      </w:pPr>
      <w:r>
        <w:t>The inspected QUDT Voltage term is absent from the authoritative current DISR baseline; no separate DoD or IC adoption status is listed. No separate term-level change request is recommended. A future vocabulary dependency would need explicit scope and justified use. (S25; “StandardsReport” 2026; this study’s assessment.)</w:t>
      </w:r>
    </w:p>
    <w:p>
      <w:pPr>
        <w:pStyle w:val="Heading3"/>
        <w:keepNext/>
        <w:widowControl/>
      </w:pPr>
      <w:r>
        <w:t>NATO standing, implications, and recommended action</w:t>
      </w:r>
    </w:p>
    <w:p>
      <w:pPr>
        <w:widowControl/>
      </w:pPr>
      <w:r>
        <w:t>No exact NATO adoption of this artifact is demonstrated by the material inspected for this revision. The public NISP material available here is historical or draft, so this is an unresolved current-status check, not a finding that NATO excludes it. No Alliance adoption action is warranted merely because the term is a plausible label for a MERLIN display. If it becomes necessary for machine recognition across implementations, propose the exact URI/version and binding through the relevant profile owner, with a semantic test distinguishing it from adjacent electrical concepts (North Atlantic Treaty Organization 2023, chap. 5).</w:t>
      </w:r>
    </w:p>
    <w:p>
      <w:pPr>
        <w:pStyle w:val="Heading1"/>
        <w:keepNext/>
        <w:pageBreakBefore w:val="0"/>
        <w:widowControl/>
      </w:pPr>
      <w:r>
        <w:t>IV. Operational and lifecycle models</w:t>
      </w:r>
    </w:p>
    <w:p>
      <w:pPr>
        <w:widowControl/>
      </w:pPr>
      <w:r>
        <w:t>Lifecycle and mission information can relate equipment to events, roles, and activities. These models should be evaluated against actual relationships in the source evidence, not vague labels such as assignment or context. A device model’s limits do not automatically justify adopting an enterprise or operational model.</w:t>
      </w:r>
    </w:p>
    <w:p>
      <w:pPr>
        <w:pStyle w:val="Heading2"/>
        <w:keepNext/>
        <w:pageBreakBefore w:val="0"/>
        <w:widowControl/>
      </w:pPr>
      <w:r>
        <w:t>S16  |  MIMOSA OSA-EAI</w:t>
      </w:r>
    </w:p>
    <w:p>
      <w:pPr>
        <w:pStyle w:val="Reference"/>
        <w:keepNext/>
        <w:widowControl/>
      </w:pPr>
      <w:r>
        <w:t xml:space="preserve">MIMOSA. n.d.-d. </w:t>
      </w:r>
      <w:r>
        <w:rPr>
          <w:i/>
        </w:rPr>
        <w:t>MIMOSA OSA-EAI</w:t>
      </w:r>
      <w:r>
        <w:t>. Official web publication. Accessed October 12, 2026. https://www.mimosa.org/mimosa-osa-eai/</w:t>
      </w:r>
    </w:p>
    <w:p>
      <w:pPr>
        <w:pStyle w:val="Metadata"/>
        <w:keepNext/>
        <w:widowControl/>
      </w:pPr>
      <w:r>
        <w:t>INSPECTION  Official overview, architecture components and intended information exchanges  •  Official overview only  •  12 October 2026; exact release page recovered; ZIP contents unavailable; S35 provides separately identified detailed CCOM evidence</w:t>
      </w:r>
    </w:p>
    <w:p>
      <w:pPr>
        <w:pStyle w:val="Heading3"/>
        <w:keepNext/>
        <w:widowControl/>
      </w:pPr>
      <w:r>
        <w:t>Purpose, scope, and original problem</w:t>
      </w:r>
    </w:p>
    <w:p>
      <w:pPr>
        <w:widowControl/>
      </w:pPr>
      <w:r>
        <w:t>The official OSA-EAI overview describes enterprise integration around asset, condition, maintenance, and reliability information. It identifies an architecture with multiple information and exchange components. That makes it broader than a device-description vocabulary and potentially useful for connecting equipment information with lifecycle activity (MIMOSA n.d.-d).</w:t>
      </w:r>
    </w:p>
    <w:p>
      <w:pPr>
        <w:pStyle w:val="Heading3"/>
        <w:keepNext/>
        <w:widowControl/>
      </w:pPr>
      <w:r>
        <w:t>Relevant concepts and mechanisms</w:t>
      </w:r>
    </w:p>
    <w:p>
      <w:pPr>
        <w:widowControl/>
      </w:pPr>
      <w:r>
        <w:t>The architecture includes a persistence-oriented CRIS model and exchange-oriented components. The 3.2.3a release notes mention CCOM measurement, identifier and reference-data corrections, confirming that the package is more than an overview page. However, the package ZIP was not readable in this increment; detailed lifecycle findings are therefore attributed to the separately inspected CCOM RC1 model in S35, not backdated to 3.2.3a (MIMOSA 2014b; 2018).</w:t>
      </w:r>
    </w:p>
    <w:p>
      <w:pPr>
        <w:pStyle w:val="Heading3"/>
        <w:keepNext/>
        <w:widowControl/>
      </w:pPr>
      <w:r>
        <w:t>Relevance to MERLIN and the research question</w:t>
      </w:r>
    </w:p>
    <w:p>
      <w:pPr>
        <w:widowControl/>
      </w:pPr>
      <w:r>
        <w:t>Asset continuity, installation, operating support and recovery are central to the deployed-sensor description and justify serious comparison with MIMOSA. The profile may support those concepts even when a particular screenshot lacks a complete event record. Exact model selection remains edition-specific; no detailed CCOM release-candidate construct is silently attributed to the uninspected OSA-EAI production archive (this study, §1; MIMOSA n.d.-d).</w:t>
      </w:r>
    </w:p>
    <w:p>
      <w:pPr>
        <w:pStyle w:val="Heading3"/>
        <w:keepNext/>
        <w:widowControl/>
      </w:pPr>
      <w:r>
        <w:t>Relationship to OGC and other candidate work</w:t>
      </w:r>
    </w:p>
    <w:p>
      <w:pPr>
        <w:widowControl/>
      </w:pPr>
      <w:r>
        <w:t>OSA-EAI may overlap an asset-management architecture while selected concepts could complement an OGC representation. Those are different levels of reuse. The comparison must identify a specific concept and its dependencies before recommending either a mapping or a wider integration service.</w:t>
      </w:r>
    </w:p>
    <w:p>
      <w:pPr>
        <w:pStyle w:val="Heading3"/>
        <w:keepNext/>
        <w:widowControl/>
      </w:pPr>
      <w:r>
        <w:t>Implementation, openness, limits, and next question</w:t>
      </w:r>
    </w:p>
    <w:p>
      <w:pPr>
        <w:widowControl/>
      </w:pPr>
      <w:r>
        <w:t>The exact 3.2.3a release page and the detailed CCOM RC1 diagrams are now inspected, at different evidence levels. The first confirms edition identity and changes; the second supplies substantive model content but belongs to a later candidate package. The next edition-specific decision is whether the mandated release supplies the content selected for use, not whether another generic MIMOSA overview is available (MIMOSA 2014b; 2018).</w:t>
      </w:r>
    </w:p>
    <w:p>
      <w:pPr>
        <w:pStyle w:val="Heading3"/>
        <w:keepNext/>
        <w:widowControl/>
      </w:pPr>
      <w:r>
        <w:t>Intended use, specialization, and conformance boundary</w:t>
      </w:r>
    </w:p>
    <w:p>
      <w:pPr>
        <w:widowControl/>
      </w:pPr>
      <w:r>
        <w:t>OSA-EAI addresses enterprise integration for physical-asset lifecycle information rather than sensor streaming alone. The official overview describes interoperable exchanges across asset-management applications, making it relevant to asset identity and lifecycle questions but not proof of any exact OGC mapping. Before claiming a conformant subset or reuse of a mandated edition, inspect that edition’s package, schemas, and exchange constraints; this web overview cannot supply them (MIMOSA n.d.-d).</w:t>
      </w:r>
    </w:p>
    <w:p>
      <w:pPr>
        <w:pStyle w:val="Heading3"/>
        <w:keepNext/>
        <w:widowControl/>
      </w:pPr>
      <w:r>
        <w:t>Proposed implementation and conformance claim</w:t>
      </w:r>
    </w:p>
    <w:p>
      <w:pPr>
        <w:widowControl/>
      </w:pPr>
      <w:r>
        <w:t>Keep OSA-EAI as a shortlisted lifecycle family, not an achieved native implementation. A native exchange would retain the selected edition’s information and exchange requirements; a CCOM-derived OGC representation would be a newly authored mapping unless a valid alternate realization is established. The inspected RC1 diagrams do not establish OSA-EAI 3.2.3a conformance, and no testing campaign is needed to state that boundary.</w:t>
      </w:r>
    </w:p>
    <w:p>
      <w:pPr>
        <w:pStyle w:val="Heading3"/>
        <w:keepNext/>
        <w:widowControl/>
      </w:pPr>
      <w:r>
        <w:t>DISR standing, implications, and recommended action</w:t>
      </w:r>
    </w:p>
    <w:p>
      <w:pPr>
        <w:widowControl/>
      </w:pPr>
      <w:r>
        <w:t>The exact OSA-EAI 3.2.3a edition is listed as Mandated / IC-Not Applicable in the authoritative current DISR baseline. This source entry is an overview, not the full edition; its prose and related OIIE artifacts do not inherit that status as separate items. Recover the applicable normative package and assess native fit before any proposed edition or profile change; no addition is recommended now (S25).</w:t>
      </w:r>
    </w:p>
    <w:p>
      <w:pPr>
        <w:pStyle w:val="Heading3"/>
        <w:keepNext/>
        <w:widowControl/>
      </w:pPr>
      <w:r>
        <w:t>NATO standing, implications, and recommended action</w:t>
      </w:r>
    </w:p>
    <w:p>
      <w:pPr>
        <w:widowControl/>
      </w:pPr>
      <w:r>
        <w:t>No exact NATO adoption of this artifact is demonstrated by the material inspected for this revision. The public NISP material available here is historical or draft, so this is an unresolved current-status check, not a finding that NATO excludes it. U.S. adoption of OSA-EAI does not establish adoption of OIIE scenarios or a NATO asset-lifecycle profile. If a verified lifecycle requirement survives the OGC baseline comparison, ask the appropriate profile owner to consider the exact OSA-EAI edition and exchange subset; until then, recommend no NATO submission (North Atlantic Treaty Organization 2023, chap. 5).</w:t>
      </w:r>
    </w:p>
    <w:p>
      <w:pPr>
        <w:pStyle w:val="Heading2"/>
        <w:keepNext/>
        <w:pageBreakBefore w:val="0"/>
        <w:widowControl/>
      </w:pPr>
      <w:r>
        <w:t>S17  |  MIMOSA OSA-CBM</w:t>
      </w:r>
    </w:p>
    <w:p>
      <w:pPr>
        <w:pStyle w:val="Reference"/>
        <w:keepNext/>
        <w:widowControl/>
      </w:pPr>
      <w:r>
        <w:t xml:space="preserve">MIMOSA. n.d.-c. </w:t>
      </w:r>
      <w:r>
        <w:rPr>
          <w:i/>
        </w:rPr>
        <w:t>MIMOSA OSA-CBM</w:t>
      </w:r>
      <w:r>
        <w:t>. Official web publication. Accessed October 12, 2026. https://www.mimosa.org/mimosa-osa-cbm/</w:t>
      </w:r>
    </w:p>
    <w:p>
      <w:pPr>
        <w:pStyle w:val="Metadata"/>
        <w:keepNext/>
        <w:widowControl/>
      </w:pPr>
      <w:r>
        <w:t>INSPECTION  Official overview; functional-block and interface discussion  •  Official overview only  •  12 October 2026; exact release page recovered; ZIP contents unavailable; S35 provides separately identified detailed CCOM evidence</w:t>
      </w:r>
    </w:p>
    <w:p>
      <w:pPr>
        <w:pStyle w:val="Heading3"/>
        <w:keepNext/>
        <w:widowControl/>
      </w:pPr>
      <w:r>
        <w:t>Purpose, scope, and original problem</w:t>
      </w:r>
    </w:p>
    <w:p>
      <w:pPr>
        <w:widowControl/>
      </w:pPr>
      <w:r>
        <w:t>OSA-CBM addresses information movement between condition-based-maintenance functions. The official overview describes six functional blocks and interfaces for exchanging their results. Its problem is therefore different from simply storing a device’s reported status or rendering a battery indicator (MIMOSA n.d.-c).</w:t>
      </w:r>
    </w:p>
    <w:p>
      <w:pPr>
        <w:pStyle w:val="Heading3"/>
        <w:keepNext/>
        <w:widowControl/>
      </w:pPr>
      <w:r>
        <w:t>Relevant concepts and mechanisms</w:t>
      </w:r>
    </w:p>
    <w:p>
      <w:pPr>
        <w:widowControl/>
      </w:pPr>
      <w:r>
        <w:t>The overview distinguishes the information specification from particular technical interface choices. This is relevant to the general possibility of semantic reuse without adopting every native mechanism. It does not establish that our available device data contains diagnostic or prognostic information (MIMOSA n.d.-c).</w:t>
      </w:r>
    </w:p>
    <w:p>
      <w:pPr>
        <w:pStyle w:val="Heading3"/>
        <w:keepNext/>
        <w:widowControl/>
      </w:pPr>
      <w:r>
        <w:t>Relevance to MERLIN and the research question</w:t>
      </w:r>
    </w:p>
    <w:p>
      <w:pPr>
        <w:widowControl/>
      </w:pPr>
      <w:r>
        <w:t>For MERLIN, the first question is whether an actual source supplies a maintenance assessment as an identifiable result. A raw voltage or fault flag should not be promoted into one. A useful negative-control task may show that this richer architecture adds no benefit to simple observation inspection.</w:t>
      </w:r>
    </w:p>
    <w:p>
      <w:pPr>
        <w:pStyle w:val="Heading3"/>
        <w:keepNext/>
        <w:widowControl/>
      </w:pPr>
      <w:r>
        <w:t>Relationship to OGC and other candidate work</w:t>
      </w:r>
    </w:p>
    <w:p>
      <w:pPr>
        <w:widowControl/>
      </w:pPr>
      <w:r>
        <w:t>OSA-CBM and OSA-EAI are related but do different work: condition-processing exchanges versus broader asset information and persistence. The official overview states that OSA-CBM uses elements from OSA-EAI and discusses mapping work as an objective, not proof that every interface is already aligned. A CSAPI observation can carry an existing assessment only with its actual meaning preserved; transporting it does not implement the processing that produced it (MIMOSA n.d.-c).</w:t>
      </w:r>
    </w:p>
    <w:p>
      <w:pPr>
        <w:pStyle w:val="Heading3"/>
        <w:keepNext/>
        <w:widowControl/>
      </w:pPr>
      <w:r>
        <w:t>Implementation, openness, limits, and next question</w:t>
      </w:r>
    </w:p>
    <w:p>
      <w:pPr>
        <w:widowControl/>
      </w:pPr>
      <w:r>
        <w:t>The exact 3.3.1 release page was recovered, including its maintenance-release description, while the archive contents were not inspected. The information/technical-interface separation is directly documented and prevents an unsupported all-or-nothing stack assumption. The relevant remaining question is whether the source systems or an intended partner provide genuine condition-assessment information worth aligning (MIMOSA 2010; n.d.-c).</w:t>
      </w:r>
    </w:p>
    <w:p>
      <w:pPr>
        <w:pStyle w:val="Heading3"/>
        <w:keepNext/>
        <w:widowControl/>
      </w:pPr>
      <w:r>
        <w:t>Intended use, specialization, and conformance boundary</w:t>
      </w:r>
    </w:p>
    <w:p>
      <w:pPr>
        <w:widowControl/>
      </w:pPr>
      <w:r>
        <w:t>The source expressly describes an information specification implementable through different technologies and distinguishes that specification from its technical interfaces. That leaves room to investigate a faithful information-model realization, not only a copy of one historical wire protocol. It does not by itself establish that an arbitrary SensorML record is such a realization; the selected model content still matters (MIMOSA n.d.-c).</w:t>
      </w:r>
    </w:p>
    <w:p>
      <w:pPr>
        <w:pStyle w:val="Heading3"/>
        <w:keepNext/>
        <w:widowControl/>
      </w:pPr>
      <w:r>
        <w:t>Proposed implementation and conformance claim</w:t>
      </w:r>
    </w:p>
    <w:p>
      <w:pPr>
        <w:widowControl/>
      </w:pPr>
      <w:r>
        <w:t>The present disposition is conditional on an actual maintenance or assessment use, not a generic Status view. Implementing a selected information/interface contract would be different from merely displaying a fault flag, and a technology-neutral realization would need to preserve the source model rather than its labels alone. The exact 3.3.1 package remains an edition-specific evidence limit, not a reason to suspend the broader comparison.</w:t>
      </w:r>
    </w:p>
    <w:p>
      <w:pPr>
        <w:pStyle w:val="Heading3"/>
        <w:keepNext/>
        <w:widowControl/>
      </w:pPr>
      <w:r>
        <w:t>DISR standing, implications, and recommended action</w:t>
      </w:r>
    </w:p>
    <w:p>
      <w:pPr>
        <w:widowControl/>
      </w:pPr>
      <w:r>
        <w:t>The exact OSA-CBM 3.3.1 edition is listed as Mandated / IC-Mandated in the authoritative current DISR baseline. The inspected overview is not the complete normative package and cannot establish implementation coverage. Recommend no addition request; examine the listed edition against a specific condition-management need before proposing an update (S25).</w:t>
      </w:r>
    </w:p>
    <w:p>
      <w:pPr>
        <w:pStyle w:val="Heading3"/>
        <w:keepNext/>
        <w:widowControl/>
      </w:pPr>
      <w:r>
        <w:t>NATO standing, implications, and recommended action</w:t>
      </w:r>
    </w:p>
    <w:p>
      <w:pPr>
        <w:widowControl/>
      </w:pPr>
      <w:r>
        <w:t>No exact NATO adoption of this artifact is demonstrated by the material inspected for this revision. The public NISP material available here is historical or draft, so this is an unresolved current-status check, not a finding that NATO excludes it. NATO applicability must be established for the condition-monitoring or maintenance use case, not inferred from a generic Status tab. Recommend no current submission; a future profile action should identify the chosen condition-processing stage, exact interface edition, available source evidence, and what remains outside MERLIN’s scope (North Atlantic Treaty Organization 2023, chap. 5).</w:t>
      </w:r>
    </w:p>
    <w:p>
      <w:pPr>
        <w:pStyle w:val="Eyebrow"/>
        <w:pageBreakBefore w:val="0"/>
        <w:widowControl/>
      </w:pPr>
      <w:r>
        <w:t>OPERATIONAL AND LIFECYCLE MODELS</w:t>
      </w:r>
    </w:p>
    <w:p>
      <w:pPr>
        <w:pStyle w:val="Heading2"/>
        <w:keepNext/>
        <w:pageBreakBefore w:val="0"/>
        <w:widowControl/>
      </w:pPr>
      <w:r>
        <w:t>S35  |  CCOM UML Class Model</w:t>
      </w:r>
    </w:p>
    <w:p>
      <w:pPr>
        <w:pStyle w:val="Reference"/>
        <w:keepNext/>
        <w:widowControl/>
      </w:pPr>
      <w:r>
        <w:t xml:space="preserve">MIMOSA. 2018. </w:t>
      </w:r>
      <w:r>
        <w:rPr>
          <w:i/>
        </w:rPr>
        <w:t>CCOM UML Class Model</w:t>
      </w:r>
      <w:r>
        <w:t>. Version 4.1.0, marked Proposed; distributed in the 4.1.0-RC1 package. Generated June 27, 2018. https://www.mimosa.org/wp-content/uploads/specifications/2019/12/ccom-4-1-0-rc1/CCOM-UML-Class-Model-4.1.0-RC1.pdf</w:t>
      </w:r>
    </w:p>
    <w:p>
      <w:pPr>
        <w:pStyle w:val="Metadata"/>
        <w:keepNext/>
        <w:widowControl/>
      </w:pPr>
      <w:r>
        <w:t>INSPECTION  Cover/status; UML pp. 6–8 and 27 visually inspected; official CCOM documentation: Reference Data, Data Exchange, Extensibility  •  12 October 2026</w:t>
      </w:r>
    </w:p>
    <w:p>
      <w:pPr>
        <w:pStyle w:val="Heading3"/>
        <w:keepNext/>
        <w:widowControl/>
      </w:pPr>
      <w:r>
        <w:t>Purpose, scope, and original problem</w:t>
      </w:r>
    </w:p>
    <w:p>
      <w:pPr>
        <w:widowControl/>
      </w:pPr>
      <w:r>
        <w:t>CCOM addresses exchanges of asset information among applications. The model distinguishes product models, serialized assets and segments rather than treating all three as one equipment record. This gives the lifecycle comparison actual model content beyond the OSA-EAI overview, while the proposed/RC1 status remains explicit (MIMOSA 2018, pp. 7–8).</w:t>
      </w:r>
    </w:p>
    <w:p>
      <w:pPr>
        <w:pStyle w:val="Heading3"/>
        <w:keepNext/>
        <w:widowControl/>
      </w:pPr>
      <w:r>
        <w:t>Relevant concepts and mechanisms</w:t>
      </w:r>
    </w:p>
    <w:p>
      <w:pPr>
        <w:widowControl/>
      </w:pPr>
      <w:r>
        <w:t>The inspected diagrams include reusable AttributeSet definitions, asset/model and asset/segment events, and lifecycle status history. Their assessment model also distinguishes health and remaining-life results from the entities being assessed. These concepts supply different contributions: reusable descriptive groups, changing associations, and qualified assessment results (MIMOSA 2018, pp. 6–8, 27).</w:t>
      </w:r>
    </w:p>
    <w:p>
      <w:pPr>
        <w:pStyle w:val="Heading3"/>
        <w:keepNext/>
        <w:widowControl/>
      </w:pPr>
      <w:r>
        <w:t>Relevance to MERLIN and the research question</w:t>
      </w:r>
    </w:p>
    <w:p>
      <w:pPr>
        <w:widowControl/>
      </w:pPr>
      <w:r>
        <w:t>The inspected asset/model/segment and event structures are relevant to the sensor’s operational lifecycle, including emplacement, service and recovery. They are not excluded merely because the current vendor examples are incomplete. Their particular meaning and the relationship to the mandated OSA-EAI edition must still be established before an implementation claim, without deferring the whole lifecycle scope (MIMOSA 2018; this study, §1).</w:t>
      </w:r>
    </w:p>
    <w:p>
      <w:pPr>
        <w:pStyle w:val="Heading3"/>
        <w:keepNext/>
        <w:widowControl/>
      </w:pPr>
      <w:r>
        <w:t>Relationship to OGC and other candidate work</w:t>
      </w:r>
    </w:p>
    <w:p>
      <w:pPr>
        <w:widowControl/>
      </w:pPr>
      <w:r>
        <w:t>CCOM is broader than a hardware inventory because it relates assets to events and assessments. SensorML history and CSAPI Deployments offer existing OGC places to investigate those facts, but their use does not make the CCOM and OGC concepts identical. The documented MIMOSA–OPC working-group proposal supports possible architectural cooperation, not a completed CSAPI crosswalk (MIMOSA 2018, pp. 7–8; MIMOSA n.d.-b).</w:t>
      </w:r>
    </w:p>
    <w:p>
      <w:pPr>
        <w:pStyle w:val="Heading3"/>
        <w:keepNext/>
        <w:widowControl/>
      </w:pPr>
      <w:r>
        <w:t>Implementation, openness, limits, and next question</w:t>
      </w:r>
    </w:p>
    <w:p>
      <w:pPr>
        <w:widowControl/>
      </w:pPr>
      <w:r>
        <w:t>The exact OSA-EAI 3.2.3a and OSA-CBM 3.3.1 release pages were recovered, but their ZIP contents could not be inspected in this increment. The detailed model evaluated here is a separate RC1 artifact, so no requirement is silently transferred to those mandated editions. Its document-copying notice and the linked MIMOSA license warrant separate treatment if source material is redistributed or adapted, rather than a blanket claim of unrestricted reuse (MIMOSA 2014a; 2014b; 2018).</w:t>
      </w:r>
    </w:p>
    <w:p>
      <w:pPr>
        <w:pStyle w:val="Heading3"/>
        <w:keepNext/>
        <w:widowControl/>
      </w:pPr>
      <w:r>
        <w:t>Intended use, specialization, and conformance boundary</w:t>
      </w:r>
    </w:p>
    <w:p>
      <w:pPr>
        <w:widowControl/>
      </w:pPr>
      <w:r>
        <w:t>The official CCOM documentation allows agreed reference-data libraries, custom AttributeTypes, use of its XML types in other schemas, and additional message definitions. It separately describes XML compound documents and constrained Business Object Document messages. These are documented ways to reuse and extend the work; they do not establish SensorML JSON as an existing CCOM encoding (MIMOSA n.d.-a, “Reference Data,” “Data Exchange,” and “Extensibility”).</w:t>
      </w:r>
    </w:p>
    <w:p>
      <w:pPr>
        <w:pStyle w:val="Heading3"/>
        <w:keepNext/>
        <w:widowControl/>
      </w:pPr>
      <w:r>
        <w:t>Proposed implementation and conformance claim</w:t>
      </w:r>
    </w:p>
    <w:p>
      <w:pPr>
        <w:widowControl/>
      </w:pPr>
      <w:r>
        <w:t>Retain the model as a serious lifecycle candidate rather than claim implementation now. Preserving native CCOM XML or implementing a documented model realization would be substantively different from copying selected relationship names into SensorML. The latter would be an authored mapping whose meaning and coverage we own; the former needs an exact version and selected artifact, without requiring a test campaign during this literature review.</w:t>
      </w:r>
    </w:p>
    <w:p>
      <w:pPr>
        <w:pStyle w:val="Heading3"/>
        <w:keepNext/>
        <w:widowControl/>
      </w:pPr>
      <w:r>
        <w:t>DISR standing, implications, and recommended action</w:t>
      </w:r>
    </w:p>
    <w:p>
      <w:pPr>
        <w:widowControl/>
      </w:pPr>
      <w:r>
        <w:t>CCOM 4.1.0-RC1 has no independent entry in the authoritative DISR baseline. OSA-EAI 3.2.3a is Mandated / IC-Not Applicable, but that does not transfer to this later release candidate. Recommend no RC1 addition: first determine whether the listed edition supplies the selected lifecycle content, and consider an edition or scoped-model proposal only if a material need remains (“StandardsReport” 2026).</w:t>
      </w:r>
    </w:p>
    <w:p>
      <w:pPr>
        <w:pStyle w:val="Heading3"/>
        <w:keepNext/>
        <w:widowControl/>
      </w:pPr>
      <w:r>
        <w:t>NATO standing, implications, and recommended action</w:t>
      </w:r>
    </w:p>
    <w:p>
      <w:pPr>
        <w:widowControl/>
      </w:pPr>
      <w:r>
        <w:t>No exact NATO adoption of this RC1 artifact was established in the inspected evidence. Its possible use for emplacement is an analogy requiring military-domain review, not NATO approval inherited from its industrial purpose. Recommend no present submission; a justified event or asset agreement should be coordinated through the appropriate sensor and asset-information communities.</w:t>
      </w:r>
    </w:p>
    <w:p>
      <w:pPr>
        <w:pStyle w:val="Heading2"/>
        <w:keepNext/>
        <w:pageBreakBefore w:val="0"/>
        <w:widowControl/>
      </w:pPr>
      <w:r>
        <w:t>S18  |  OIIE Scenario 11: Installation/removal</w:t>
      </w:r>
    </w:p>
    <w:p>
      <w:pPr>
        <w:pStyle w:val="Reference"/>
        <w:keepNext/>
        <w:widowControl/>
      </w:pPr>
      <w:r>
        <w:t xml:space="preserve">MIMOSA. n.d.-e. </w:t>
      </w:r>
      <w:r>
        <w:rPr>
          <w:i/>
        </w:rPr>
        <w:t>OIIE Scenario 11 – Publish Asset Removal/Installation Events from MMS to O&amp;M</w:t>
      </w:r>
      <w:r>
        <w:t>. Official web publication. Accessed October 12, 2026. https://www.mimosa.org/open-industrial-interoperability-ecosystem-oiie/oiie-use-cases/oiie-scenario-11-publish-asset-removalinstallation-events-from-mms-to-om/</w:t>
      </w:r>
    </w:p>
    <w:p>
      <w:pPr>
        <w:pStyle w:val="Metadata"/>
        <w:keepNext/>
        <w:widowControl/>
      </w:pPr>
      <w:r>
        <w:t>INSPECTION  Scenario purpose; minimum information; message and exchange requirements  •  Published scenario—directly inspected  •  12 October 2026</w:t>
      </w:r>
    </w:p>
    <w:p>
      <w:pPr>
        <w:pStyle w:val="Heading3"/>
        <w:keepNext/>
        <w:widowControl/>
      </w:pPr>
      <w:r>
        <w:t>Purpose, scope, and original problem</w:t>
      </w:r>
    </w:p>
    <w:p>
      <w:pPr>
        <w:widowControl/>
      </w:pPr>
      <w:r>
        <w:t>Scenario 11 describes exchanging asset installation and removal events from maintenance management to operations and maintenance. It provides a concrete lifecycle scenario rather than only a general enterprise-model description. Its relevance is the separation of the asset, its functional location, and the event (MIMOSA n.d.-e).</w:t>
      </w:r>
    </w:p>
    <w:p>
      <w:pPr>
        <w:pStyle w:val="Heading3"/>
        <w:keepNext/>
        <w:widowControl/>
      </w:pPr>
      <w:r>
        <w:t>Relevant concepts and mechanisms</w:t>
      </w:r>
    </w:p>
    <w:p>
      <w:pPr>
        <w:widowControl/>
      </w:pPr>
      <w:r>
        <w:t>The scenario identifies functional location, serialized asset, and event time as minimum information, with other participants or work-order information optional. It also specifies native message and exchange components. Extracting the participant distinction does not mean implementing that complete scenario (MIMOSA n.d.-e).</w:t>
      </w:r>
    </w:p>
    <w:p>
      <w:pPr>
        <w:pStyle w:val="Heading3"/>
        <w:keepNext/>
        <w:widowControl/>
      </w:pPr>
      <w:r>
        <w:t>Relevance to MERLIN and the research question</w:t>
      </w:r>
    </w:p>
    <w:p>
      <w:pPr>
        <w:widowControl/>
      </w:pPr>
      <w:r>
        <w:t>This gives MERLIN a candidate pattern for source-backed emplacement history. An area-of-interest label is not automatically a functional location, however, and an installation instant is not an entire deployment interval. The proposed mapping must state who or what participated and what event actually occurred.</w:t>
      </w:r>
    </w:p>
    <w:p>
      <w:pPr>
        <w:pStyle w:val="Heading3"/>
        <w:keepNext/>
        <w:widowControl/>
      </w:pPr>
      <w:r>
        <w:t>Relationship to OGC and other candidate work</w:t>
      </w:r>
    </w:p>
    <w:p>
      <w:pPr>
        <w:widowControl/>
      </w:pPr>
      <w:r>
        <w:t>The pattern could complement OGC deployment descriptions where an event changes a real arrangement. It should not replace the deployment resource or equate a maintenance work order with a mission plan. Missing serialized identity or event time is a mapping gap, not permission to infer them.</w:t>
      </w:r>
    </w:p>
    <w:p>
      <w:pPr>
        <w:pStyle w:val="Heading3"/>
        <w:keepNext/>
        <w:widowControl/>
      </w:pPr>
      <w:r>
        <w:t>Implementation, openness, limits, and next question</w:t>
      </w:r>
    </w:p>
    <w:p>
      <w:pPr>
        <w:widowControl/>
      </w:pPr>
      <w:r>
        <w:t>No published CSAPI crosswalk was identified in the inspected scenario, and no native OIIE exchange was tested. The exact DISR entries for OSA-EAI and OSA-CBM do not establish this scenario’s adoption status. The next question is whether the supplied historical sources support all minimum facts for one faithful installation event.</w:t>
      </w:r>
    </w:p>
    <w:p>
      <w:pPr>
        <w:pStyle w:val="Heading3"/>
        <w:keepNext/>
        <w:widowControl/>
      </w:pPr>
      <w:r>
        <w:t>Intended use, specialization, and conformance boundary</w:t>
      </w:r>
    </w:p>
    <w:p>
      <w:pPr>
        <w:widowControl/>
      </w:pPr>
      <w:r>
        <w:t>Scenario 11 is a maintenance-to-operations exchange of asset removal or installation events. Its participants and event content explain how an identified serialized asset, functional location, and event time can be coordinated between applications, rather than defining a generic military assignment. Using that pattern for emplacement would be a proposed analogy and mapping that must justify differences in role, event meaning, and lifecycle; the scenario does not establish that an AOI is a functional location or a mission plan is a work order (MIMOSA n.d.-e).</w:t>
      </w:r>
    </w:p>
    <w:p>
      <w:pPr>
        <w:pStyle w:val="Heading3"/>
        <w:keepNext/>
        <w:widowControl/>
      </w:pPr>
      <w:r>
        <w:t>Proposed implementation and conformance claim</w:t>
      </w:r>
    </w:p>
    <w:p>
      <w:pPr>
        <w:widowControl/>
      </w:pPr>
      <w:r>
        <w:t>The scenario is currently evidence for an event pattern, not an implemented exchange. A native claim would require the actual versioned messages, participants and interaction obligations that realize the scenario. Representing a source installation event in SensorML would instead be an OGC-side design whose meaning and losses must be reviewed separately (MIMOSA n.d.-e, Scenario 11).</w:t>
      </w:r>
    </w:p>
    <w:p>
      <w:pPr>
        <w:pStyle w:val="Heading3"/>
        <w:keepNext/>
        <w:widowControl/>
      </w:pPr>
      <w:r>
        <w:t>DISR standing, implications, and recommended action</w:t>
      </w:r>
    </w:p>
    <w:p>
      <w:pPr>
        <w:widowControl/>
      </w:pPr>
      <w:r>
        <w:t>The inspected OIIE scenario is not itself the listed OSA-EAI 3.2.3a implementation standard. The latter is Mandated / IC-Not Applicable, but that status cannot be transferred to a scenario webpage as a separate conformance contract. Recommend no scenario-level request; identify the actual versioned exchange package if a native implementation is proposed (S25).</w:t>
      </w:r>
    </w:p>
    <w:p>
      <w:pPr>
        <w:pStyle w:val="Heading3"/>
        <w:keepNext/>
        <w:widowControl/>
      </w:pPr>
      <w:r>
        <w:t>NATO standing, implications, and recommended action</w:t>
      </w:r>
    </w:p>
    <w:p>
      <w:pPr>
        <w:widowControl/>
      </w:pPr>
      <w:r>
        <w:t>No exact NATO adoption of this artifact is demonstrated by the material inspected for this revision. The public NISP material available here is historical or draft, so this is an unresolved current-status check, not a finding that NATO excludes it. The appropriate NATO question is whether an emplacement/installation exchange needs a common contract, not whether the maintenance illustration should become a NATO standard. Defer submission until that requirement is evidenced, then coordinate a scoped profile with explicit event and actor semantics and avoid relabeling the scenario as doctrine (North Atlantic Treaty Organization 2023, chap. 5).</w:t>
      </w:r>
    </w:p>
    <w:p>
      <w:pPr>
        <w:pStyle w:val="Heading2"/>
        <w:keepNext/>
        <w:pageBreakBefore w:val="0"/>
        <w:widowControl/>
      </w:pPr>
      <w:r>
        <w:t>S19  |  MIP Information Model: 2016 paper</w:t>
      </w:r>
    </w:p>
    <w:p>
      <w:pPr>
        <w:pStyle w:val="Reference"/>
        <w:keepNext/>
        <w:widowControl/>
      </w:pPr>
      <w:r>
        <w:t>Gerz, Michael, and Nico Bau. 2016. “MIP Information Model 4.0 – Semantic Interoperability in Multinational Missions.” Paper presented at the 21st International Command and Control Research and Technology Symposium, London, September 6–8. https://dodccrp-testorg.squarespace.com/s/paper_51.pdf</w:t>
      </w:r>
    </w:p>
    <w:p>
      <w:pPr>
        <w:pStyle w:val="Metadata"/>
        <w:keepNext/>
        <w:widowControl/>
      </w:pPr>
      <w:r>
        <w:t>INSPECTION  §§1–2; §3.3; §4.3; figures 1 and 7 visually inspected  •  Primary research / implementation description  •  12 October 2026</w:t>
      </w:r>
    </w:p>
    <w:p>
      <w:pPr>
        <w:pStyle w:val="Heading3"/>
        <w:keepNext/>
        <w:widowControl/>
      </w:pPr>
      <w:r>
        <w:t>Purpose, scope, and original problem</w:t>
      </w:r>
    </w:p>
    <w:p>
      <w:pPr>
        <w:widowControl/>
      </w:pPr>
      <w:r>
        <w:t>Gerz and Bau describe MIM as a platform-independent semantic reference for command-and-control information. They explicitly distinguish that reference from a complete interoperability solution. This is a useful operational-domain comparison because the research question concerns reusable meaning, not necessarily another exchange protocol (Gerz and Bau 2016, §§1–2).</w:t>
      </w:r>
    </w:p>
    <w:p>
      <w:pPr>
        <w:pStyle w:val="Heading3"/>
        <w:keepNext/>
        <w:widowControl/>
      </w:pPr>
      <w:r>
        <w:t>Relevant concepts and mechanisms</w:t>
      </w:r>
    </w:p>
    <w:p>
      <w:pPr>
        <w:widowControl/>
      </w:pPr>
      <w:r>
        <w:t>The paper discusses objects, actions, relationships, unknown-information handling, and tools for deriving narrower exchange models. The figures show model organization and a message-building implementation. These are historical design and tooling observations, not evidence of a current CSAPI binding (Gerz and Bau 2016, §§2, 3.3, 4.3).</w:t>
      </w:r>
    </w:p>
    <w:p>
      <w:pPr>
        <w:pStyle w:val="Heading3"/>
        <w:keepNext/>
        <w:widowControl/>
      </w:pPr>
      <w:r>
        <w:t>Relevance to MERLIN and the research question</w:t>
      </w:r>
    </w:p>
    <w:p>
      <w:pPr>
        <w:widowControl/>
      </w:pPr>
      <w:r>
        <w:t>Retain the operational-model lane for actual organizations, actions, roles and mission relationships. Equipment or lifecycle standards do not automatically supply those meanings, and a military label alone does not establish a complete model instance. The current recommendation is selective semantic comparison alongside OGC Deployment concepts, not making MIM the universal parent of the equipment models.</w:t>
      </w:r>
    </w:p>
    <w:p>
      <w:pPr>
        <w:pStyle w:val="Heading3"/>
        <w:keepNext/>
        <w:widowControl/>
      </w:pPr>
      <w:r>
        <w:t>Relationship to OGC and other candidate work</w:t>
      </w:r>
    </w:p>
    <w:p>
      <w:pPr>
        <w:widowControl/>
      </w:pPr>
      <w:r>
        <w:t>MIM’s mission-oriented semantics and equipment-management models address different questions, even where both describe assets. Their possible relationship is selective alignment, not an automatic hierarchy with one model on top. The cost of importing constraints and maintaining derived subsets must be compared with a smaller OGC-native agreement.</w:t>
      </w:r>
    </w:p>
    <w:p>
      <w:pPr>
        <w:pStyle w:val="Heading3"/>
        <w:keepNext/>
        <w:widowControl/>
      </w:pPr>
      <w:r>
        <w:t>Implementation, openness, limits, and next question</w:t>
      </w:r>
    </w:p>
    <w:p>
      <w:pPr>
        <w:widowControl/>
      </w:pPr>
      <w:r>
        <w:t>This is a 2016 paper, not verification of today’s MIM release or implementation obligations. The supplied DISR row names JC3IEDM under STANAG 5525, not every later MIM product. The next question is one exact operational relationship requiring additional semantics; absent that need, the model should remain background.</w:t>
      </w:r>
    </w:p>
    <w:p>
      <w:pPr>
        <w:pStyle w:val="Heading3"/>
        <w:keepNext/>
        <w:widowControl/>
      </w:pPr>
      <w:r>
        <w:t>Intended use, specialization, and conformance boundary</w:t>
      </w:r>
    </w:p>
    <w:p>
      <w:pPr>
        <w:widowControl/>
      </w:pPr>
      <w:r>
        <w:t>Gerz and Bau explain MIM as a model-based approach to semantic interoperability in multinational command-and-control settings, including the production of tailored exchange models. That is a documented intended use for derivation within the MIP approach, but the paper is not the complete MIM 4.0 release or its conformance contract. Reusing a role or organization concept in MERLIN requires the authoritative model element and applicable tailoring rules; it does not make a SensorML payload a compliant MIP exchange (Gerz and Bau 2016).</w:t>
      </w:r>
    </w:p>
    <w:p>
      <w:pPr>
        <w:pStyle w:val="Heading3"/>
        <w:keepNext/>
        <w:widowControl/>
      </w:pPr>
      <w:r>
        <w:t>Proposed implementation and conformance claim</w:t>
      </w:r>
    </w:p>
    <w:p>
      <w:pPr>
        <w:widowControl/>
      </w:pPr>
      <w:r>
        <w:t>This paper is not the normative artifact that MERLIN would implement. A genuine MIM proposal would name an authoritative release and its applicable tailoring, consistency and exchange obligations. Borrowing an operational concept from the paper supports only a research-informed mapping, not MIM or JC3IEDM conformance (Gerz and Bau 2016).</w:t>
      </w:r>
    </w:p>
    <w:p>
      <w:pPr>
        <w:pStyle w:val="Heading3"/>
        <w:keepNext/>
        <w:widowControl/>
      </w:pPr>
      <w:r>
        <w:t>DISR standing, implications, and recommended action</w:t>
      </w:r>
    </w:p>
    <w:p>
      <w:pPr>
        <w:widowControl/>
      </w:pPr>
      <w:r>
        <w:t>The baseline lists STANAG 5525 Edition 1 / JC3IEDM as Mandated / IC-Mandated, not this research paper as an implementation standard. That record does not establish adoption of MIM 4.0 or make the paper its normative implementation contract. Recommend no paper-level request and select an authoritative technical release before any model-adoption proposal (S25).</w:t>
      </w:r>
    </w:p>
    <w:p>
      <w:pPr>
        <w:pStyle w:val="Heading3"/>
        <w:keepNext/>
        <w:widowControl/>
      </w:pPr>
      <w:r>
        <w:t>NATO standing, implications, and recommended action</w:t>
      </w:r>
    </w:p>
    <w:p>
      <w:pPr>
        <w:widowControl/>
      </w:pPr>
      <w:r>
        <w:t>The public NISP JC3IEDM record identifies STANAG 5525 Edition 1, describes its land-operational C2 focus in a joint environment, and links it to several service profiles; its displayed update is April 2024 (“Joint C3 Information Exchange Data Model” n.d.). That is useful relationship evidence, not current adoption of the paper’s MIM version. Verify the relevant MIP release and NATO exchange requirement, then coordinate a model/profile update only for a demonstrated gap, keeping JC3IEDM, MIM, and MIP exchange specifications distinct.</w:t>
      </w:r>
    </w:p>
    <w:p>
      <w:pPr>
        <w:pStyle w:val="Heading1"/>
        <w:keepNext/>
        <w:pageBreakBefore w:val="0"/>
        <w:widowControl/>
      </w:pPr>
      <w:r>
        <w:t>V. Composition and profiling experience</w:t>
      </w:r>
    </w:p>
    <w:p>
      <w:pPr>
        <w:widowControl/>
      </w:pPr>
      <w:r>
        <w:t>This group examines how communities make broad frameworks more specific and how they document or implement the resulting agreements. Historical and vendor evidence can explain practical choices without proving present compatibility or savings. The most useful precedent is one that changes a concrete comparison or validation decision.</w:t>
      </w:r>
    </w:p>
    <w:p>
      <w:pPr>
        <w:pStyle w:val="Heading2"/>
        <w:keepNext/>
        <w:pageBreakBefore w:val="0"/>
        <w:widowControl/>
      </w:pPr>
      <w:r>
        <w:t>S33  |  OWS-6 SensorML Profile for Discovery</w:t>
      </w:r>
    </w:p>
    <w:p>
      <w:pPr>
        <w:pStyle w:val="Reference"/>
        <w:keepNext/>
        <w:widowControl/>
      </w:pPr>
      <w:r>
        <w:t xml:space="preserve">Open Geospatial Consortium. 2009a. </w:t>
      </w:r>
      <w:r>
        <w:rPr>
          <w:i/>
        </w:rPr>
        <w:t>OWS-6 SensorML Profile for Discovery Engineering Report</w:t>
      </w:r>
      <w:r>
        <w:t>. Version 0.3.0. OGC 09-033. Edited by Simon Jirka and Arne Bröring. July 29, 2009. https://docs.ogc.org/per/09-033/09-033.pdf</w:t>
      </w:r>
    </w:p>
    <w:p>
      <w:pPr>
        <w:pStyle w:val="Metadata"/>
        <w:keepNext/>
        <w:widowControl/>
      </w:pPr>
      <w:r>
        <w:t>INSPECTION  Cover and preface; §§1–3, 6–7; Listings 7-4 and 7-5, printed p.14, visually checked; isolated predicates evaluated on synthetic fragments • Engineering Report, not an adopted standard • 12 October 2026</w:t>
      </w:r>
    </w:p>
    <w:p>
      <w:pPr>
        <w:pStyle w:val="Heading3"/>
        <w:keepNext/>
        <w:widowControl/>
      </w:pPr>
      <w:r>
        <w:t>Purpose, scope, and original problem</w:t>
      </w:r>
    </w:p>
    <w:p>
      <w:pPr>
        <w:widowControl/>
      </w:pPr>
      <w:r>
        <w:t>The report addresses predictable sensor-description discovery rather than a universal device-management architecture. Its proposal couples selected metadata with a repeatable document arrangement, illustrating how a community can narrow a flexible base representation. For this investigation, that is a directly relevant precedent for asking whether the agreement we need is smaller than another domain architecture (Open Geospatial Consortium 2009a, preface, §§1, 7).</w:t>
      </w:r>
    </w:p>
    <w:p>
      <w:pPr>
        <w:pStyle w:val="Heading3"/>
        <w:keepNext/>
        <w:widowControl/>
      </w:pPr>
      <w:r>
        <w:t>Relevant concepts and mechanisms</w:t>
      </w:r>
    </w:p>
    <w:p>
      <w:pPr>
        <w:widowControl/>
      </w:pPr>
      <w:r>
        <w:t>The report combines a common selection of discovery metadata with a repeatable document arrangement. That makes its substantive contribution the reduction of variation for a particular consuming task. Its historical validation listings demonstrate that the authors intended an assessable agreement, but debugging those listings is not the purpose of the current comparison (Open Geospatial Consortium 2009a, §§6–7).</w:t>
      </w:r>
    </w:p>
    <w:p>
      <w:pPr>
        <w:pStyle w:val="Heading3"/>
        <w:keepNext/>
        <w:widowControl/>
      </w:pPr>
      <w:r>
        <w:t>Relevance to MERLIN and the research question</w:t>
      </w:r>
    </w:p>
    <w:p>
      <w:pPr>
        <w:widowControl/>
      </w:pPr>
      <w:r>
        <w:t>Use this as a precedent for agreeing on content around an actual community need. Discovery is one such need, while MERLIN’s broader integration questions include equipment, configuration and relationships. The report does not justify a new external architecture, nor does it alone provide a complete modern description profile.</w:t>
      </w:r>
    </w:p>
    <w:p>
      <w:pPr>
        <w:pStyle w:val="Heading3"/>
        <w:keepNext/>
        <w:widowControl/>
      </w:pPr>
      <w:r>
        <w:t>Relationship to OGC and other candidate work</w:t>
      </w:r>
    </w:p>
    <w:p>
      <w:pPr>
        <w:widowControl/>
      </w:pPr>
      <w:r>
        <w:t>Treat this source as a profiling precedent within the SensorML family, not an external model competing with SensorML. Its XML-era environment differs from SensorML 3.0 JSON, and a field-by-field modernization would be newly authored work unless an applicable published successor is established. The companion catalogue paper S34 helps distinguish those input rules from the separate act of mapping them into another model (Open Geospatial Consortium 2009a, §2; 2010, preface).</w:t>
      </w:r>
    </w:p>
    <w:p>
      <w:pPr>
        <w:pStyle w:val="Heading3"/>
        <w:keepNext/>
        <w:widowControl/>
      </w:pPr>
      <w:r>
        <w:t>Implementation, openness, limits, and next question</w:t>
      </w:r>
    </w:p>
    <w:p>
      <w:pPr>
        <w:widowControl/>
      </w:pPr>
      <w:r>
        <w:t>The official OGC catalogue continues to identify this as a Public Engineering Report. The cover cautions against procurement use as required technology; that is a substantive limit on an adoption recommendation, not a reason to ignore the research. No complete Schematron package or live legacy implementation was validated, and publication access alone is not a clearance to redistribute all supporting material (Open Geospatial Consortium 2009a, cover; n.d., SensorML catalogue).</w:t>
      </w:r>
    </w:p>
    <w:p>
      <w:pPr>
        <w:pStyle w:val="Heading3"/>
        <w:keepNext/>
        <w:widowControl/>
      </w:pPr>
      <w:r>
        <w:t>Intended use, specialization, and conformance boundary</w:t>
      </w:r>
    </w:p>
    <w:p>
      <w:pPr>
        <w:widowControl/>
      </w:pPr>
      <w:r>
        <w:t>Its intended implementation setting is constrained discovery metadata, including descriptions obtained through SWE services. The current MERLIN use is explicitly historical: extract the requirement-to-assessment method, compare it with current requirements and avoid importing obsolete obligations without justification. The report’s logical decomposition also warrants care; a discovery component must not be turned into an independently identified physical device without source evidence (Open Geospatial Consortium 2009a, §§6–7).</w:t>
      </w:r>
    </w:p>
    <w:p>
      <w:pPr>
        <w:pStyle w:val="Heading3"/>
        <w:keepNext/>
        <w:widowControl/>
      </w:pPr>
      <w:r>
        <w:t>Proposed implementation and conformance claim</w:t>
      </w:r>
    </w:p>
    <w:p>
      <w:pPr>
        <w:widowControl/>
      </w:pPr>
      <w:r>
        <w:t>MERLIN is not proposed to implement this XML-era Engineering Report unchanged. Its current role is evidence for coordinated content within SensorML, with any present-day agreement stated separately. The isolated predicates examined in v0.3 remain historical working notes and are not the next research task (Open Geospatial Consortium 2009a, cover, §§6–7).</w:t>
      </w:r>
    </w:p>
    <w:p>
      <w:pPr>
        <w:pStyle w:val="Heading3"/>
        <w:keepNext/>
        <w:widowControl/>
      </w:pPr>
      <w:r>
        <w:t>DISR standing, implications, and recommended action</w:t>
      </w:r>
    </w:p>
    <w:p>
      <w:pPr>
        <w:widowControl/>
      </w:pPr>
      <w:r>
        <w:t>OGC 09-033 is absent from the authoritative current DISR baseline, with no DoD or IC status of its own. Successful whole-export checks covered the identifier, title and SensorML-family records; a DDMS “Application Profile for Discovery” match is a different publication. Recommend no request to add this historical Engineering Report: a future, justified current-OGC profile would be a distinct proposal with its own requirements and governance (“StandardsReport” 2026; this study, Search Log L11).</w:t>
      </w:r>
    </w:p>
    <w:p>
      <w:pPr>
        <w:pStyle w:val="Heading3"/>
        <w:keepNext/>
        <w:widowControl/>
      </w:pPr>
      <w:r>
        <w:t>NATO standing, implications, and recommended action</w:t>
      </w:r>
    </w:p>
    <w:p>
      <w:pPr>
        <w:widowControl/>
      </w:pPr>
      <w:r>
        <w:t>No NATO adoption of this exact report has been established by the inspected material. Recommend using it as historical evidence, not proposing a NATO obligation to implement its legacy profile. Any future coalition-specific current-OGC agreement should be justified against a concrete interoperability need and coordinated through the existing sensor-integration custodial framework; this report supplies no such adoption decision (NATO Standardization Office 2026; this study’s assessment).</w:t>
      </w:r>
    </w:p>
    <w:p>
      <w:pPr>
        <w:pStyle w:val="Heading2"/>
        <w:keepNext/>
        <w:pageBreakBefore w:val="0"/>
        <w:widowControl/>
      </w:pPr>
      <w:r>
        <w:t>S34  |  SensorML profile and mapping into a CSW-ebRIM catalogue</w:t>
      </w:r>
    </w:p>
    <w:p>
      <w:pPr>
        <w:pStyle w:val="Reference"/>
        <w:keepNext/>
        <w:widowControl/>
      </w:pPr>
      <w:r>
        <w:t xml:space="preserve">Open Geospatial Consortium. 2010. </w:t>
      </w:r>
      <w:r>
        <w:rPr>
          <w:i/>
        </w:rPr>
        <w:t>Catalogue Services Specification 2.0 Extension Package for ebRIM Application Profile: SensorML</w:t>
      </w:r>
      <w:r>
        <w:t>. Version 0.3.0. OGC 09-163r2. Edited by Frédéric Houbie, Fabian Skivée, and Simon Jirka. April 2, 2010. https://docs.ogc.org/dp/09-163r2/09-163r2.pdf</w:t>
      </w:r>
    </w:p>
    <w:p>
      <w:pPr>
        <w:pStyle w:val="Metadata"/>
        <w:keepNext/>
        <w:widowControl/>
      </w:pPr>
      <w:r>
        <w:t>INSPECTION  Cover, preface, §§5, 12–13; Listings 12-7–12-8; Table 17 and footnote 6, printed pp.50–51, visually checked • Discussion Paper, not an adopted standard • 12 October 2026</w:t>
      </w:r>
    </w:p>
    <w:p>
      <w:pPr>
        <w:pStyle w:val="Heading3"/>
        <w:keepNext/>
        <w:widowControl/>
      </w:pPr>
      <w:r>
        <w:t>Purpose, scope, and original problem</w:t>
      </w:r>
    </w:p>
    <w:p>
      <w:pPr>
        <w:widowControl/>
      </w:pPr>
      <w:r>
        <w:t>This paper investigates a SensorML extension package for a CSW-ebRIM catalogue. Its preface identifies the discovery profile as a prerequisite to predictable mapping, making it useful for distinguishing an input-content agreement from a target-model implementation. Its intended catalogue community and architecture should not be relabeled as a current CSAPI environment (Open Geospatial Consortium 2010, preface, §5).</w:t>
      </w:r>
    </w:p>
    <w:p>
      <w:pPr>
        <w:pStyle w:val="Heading3"/>
        <w:keepNext/>
        <w:widowControl/>
      </w:pPr>
      <w:r>
        <w:t>Relevant concepts and mechanisms</w:t>
      </w:r>
    </w:p>
    <w:p>
      <w:pPr>
        <w:widowControl/>
      </w:pPr>
      <w:r>
        <w:t>Section 12 carries profile rules; Section 13 specifies source-to-target correspondences rather than relying on similar field names. Table 17 separates persistent logical identity from the registry’s version-specific identity. That distinction is an example of a lifecycle obligation a mapping must preserve, not a ready-made equivalence with CSAPI’s local resource identifier (Open Geospatial Consortium 2010, §§12–13, table 17 and note 6).</w:t>
      </w:r>
    </w:p>
    <w:p>
      <w:pPr>
        <w:pStyle w:val="Heading3"/>
        <w:keepNext/>
        <w:widowControl/>
      </w:pPr>
      <w:r>
        <w:t>Relevance to MERLIN and the research question</w:t>
      </w:r>
    </w:p>
    <w:p>
      <w:pPr>
        <w:widowControl/>
      </w:pPr>
      <w:r>
        <w:t>For MERLIN, the source helps define the standard of evidence expected of a proposed crosswalk. We should be able to identify both artifacts, the meaning retained at each destination and the constraints that remain to be assessed. A translation that merely produces readable fields cannot be described as implementing the donor model if its required identities, relationships or behavior have been discarded.</w:t>
      </w:r>
    </w:p>
    <w:p>
      <w:pPr>
        <w:pStyle w:val="Heading3"/>
        <w:keepNext/>
        <w:widowControl/>
      </w:pPr>
      <w:r>
        <w:t>Relationship to OGC and other candidate work</w:t>
      </w:r>
    </w:p>
    <w:p>
      <w:pPr>
        <w:widowControl/>
      </w:pPr>
      <w:r>
        <w:t>The source links an input profile to an explicit catalogue mapping, rather than assuming similar field names establish interoperability. That distinction informs a future OGC binding without importing the CSW-ebRIM architecture. Its value here is the separation of content agreement from transformation, not the historical predicate discrepancy (Open Geospatial Consortium 2010, preface, §§12–13).</w:t>
      </w:r>
    </w:p>
    <w:p>
      <w:pPr>
        <w:pStyle w:val="Heading3"/>
        <w:keepNext/>
        <w:widowControl/>
      </w:pPr>
      <w:r>
        <w:t>Implementation, openness, limits, and next question</w:t>
      </w:r>
    </w:p>
    <w:p>
      <w:pPr>
        <w:widowControl/>
      </w:pPr>
      <w:r>
        <w:t>The publication is a Discussion Paper, and its cover does not authorize treating it as an adopted OGC Standard. The mapping table was visually inspected; no complete transformation, registry or end-to-end catalogue exchange was executed. Formal-looking requirements and table columns therefore support a precise research precedent, not an achieved interoperability claim (Open Geospatial Consortium 2010, cover, §13).</w:t>
      </w:r>
    </w:p>
    <w:p>
      <w:pPr>
        <w:pStyle w:val="Heading3"/>
        <w:keepNext/>
        <w:widowControl/>
      </w:pPr>
      <w:r>
        <w:t>Intended use, specialization, and conformance boundary</w:t>
      </w:r>
    </w:p>
    <w:p>
      <w:pPr>
        <w:widowControl/>
      </w:pPr>
      <w:r>
        <w:t>A native implementation would operate within the stated catalogue and SensorML dependencies, rather than transfer selected definitions into an unrelated representation and retain the same claim. MERLIN’s present use is analytical: learn how to document two contracts and their mapping separately. Any new OGC-side agreement must be labeled as our proposal until its requirements, assessment and governance are established (Open Geospatial Consortium 2010, preface, §§12–13).</w:t>
      </w:r>
    </w:p>
    <w:p>
      <w:pPr>
        <w:pStyle w:val="Heading3"/>
        <w:keepNext/>
        <w:widowControl/>
      </w:pPr>
      <w:r>
        <w:t>Proposed implementation and conformance claim</w:t>
      </w:r>
    </w:p>
    <w:p>
      <w:pPr>
        <w:widowControl/>
      </w:pPr>
      <w:r>
        <w:t>A native implementation of the paper’s approach would entail its input-profile rules and a CSW-ebRIM catalogue contract, including the mappings and relevant behavior. MERLIN is not proposed to deploy that historical catalogue. The present contribution is the discipline of stating both sides of a mapping; a new SensorML 3.0/CSAPI mapping would remain a separate artifact requiring its own assessment (Open Geospatial Consortium 2010, preface, §§12–13).</w:t>
      </w:r>
    </w:p>
    <w:p>
      <w:pPr>
        <w:pStyle w:val="Heading3"/>
        <w:keepNext/>
        <w:widowControl/>
      </w:pPr>
      <w:r>
        <w:t>DISR standing, implications, and recommended action</w:t>
      </w:r>
    </w:p>
    <w:p>
      <w:pPr>
        <w:widowControl/>
      </w:pPr>
      <w:r>
        <w:t>OGC 09-163r2 is absent from the authoritative current DISR baseline, with no DoD or IC status of its own. Adoption of a base catalogue or SensorML standard would not automatically list this extension package. Recommend no addition request for the historical paper; it is not the implementation selected by this research, and any future current-OGC profile or bridge would require a distinct technical justification (“StandardsReport” 2026; this study, Search Log L11).</w:t>
      </w:r>
    </w:p>
    <w:p>
      <w:pPr>
        <w:pStyle w:val="Heading3"/>
        <w:keepNext/>
        <w:widowControl/>
      </w:pPr>
      <w:r>
        <w:t>NATO standing, implications, and recommended action</w:t>
      </w:r>
    </w:p>
    <w:p>
      <w:pPr>
        <w:widowControl/>
      </w:pPr>
      <w:r>
        <w:t>No exact NATO adoption of this paper has been demonstrated. Its potential value here is the mapping methodology, not an obligation to deploy CSW-ebRIM. Recommend no standalone NATO submission for the paper; a future specific coalition requirement should be evaluated through the applicable current profile and custodial process, without importing this architecture by implication (North Atlantic Treaty Organization 2023; this study’s assessment).</w:t>
      </w:r>
    </w:p>
    <w:p>
      <w:pPr>
        <w:pStyle w:val="Heading2"/>
        <w:keepNext/>
        <w:pageBreakBefore w:val="0"/>
        <w:widowControl/>
      </w:pPr>
      <w:r>
        <w:t>S20  |  Marine SensorML vocabularies: Research paper</w:t>
      </w:r>
    </w:p>
    <w:p>
      <w:pPr>
        <w:pStyle w:val="Reference"/>
        <w:keepNext/>
        <w:widowControl/>
      </w:pPr>
      <w:r>
        <w:t>Kokkinaki, Alexandra, Louise Darroch, Justin Buck, and Simon Jirka. 2016. “Semantically Enhancing SensorML with Controlled Vocabularies in the Marine Domain.” In Proceedings of the Geospatial Sensor Webs Conference 2016, edited by Simon Jirka, Christoph Stasch, and Ann Hitchcock. CEUR Workshop Proceedings 1762. https://ceur-ws.org/Vol-1762/Kokkinaki.pdf</w:t>
      </w:r>
    </w:p>
    <w:p>
      <w:pPr>
        <w:pStyle w:val="Metadata"/>
        <w:keepNext/>
        <w:widowControl/>
      </w:pPr>
      <w:r>
        <w:t>INSPECTION  Abstract; §III; §§IV–V; table 1 visually inspected; proceedings metadata  •  Primary research / historical implementation description  •  12 October 2026</w:t>
      </w:r>
    </w:p>
    <w:p>
      <w:pPr>
        <w:pStyle w:val="Heading3"/>
        <w:keepNext/>
        <w:widowControl/>
      </w:pPr>
      <w:r>
        <w:t>Purpose, scope, and original problem</w:t>
      </w:r>
    </w:p>
    <w:p>
      <w:pPr>
        <w:widowControl/>
      </w:pPr>
      <w:r>
        <w:t>This paper reports marine-community work addressing variability in SensorML descriptions. The authors connect that variability to flexible soft typing and inconsistent terminology. It is an especially relevant precedent because it works within the OGC ecosystem rather than requiring a competing device-management architecture (Kokkinaki et al. 2016, abstract).</w:t>
      </w:r>
    </w:p>
    <w:p>
      <w:pPr>
        <w:pStyle w:val="Heading3"/>
        <w:keepNext/>
        <w:widowControl/>
      </w:pPr>
      <w:r>
        <w:t>Relevant concepts and mechanisms</w:t>
      </w:r>
    </w:p>
    <w:p>
      <w:pPr>
        <w:widowControl/>
      </w:pPr>
      <w:r>
        <w:t>The reported approach formalizes terms, publishes identifiers through NVS2.0, and organizes vocabulary governance across the community. It describes authoring and discovery uses, including template-based editing. Those observations support investigating coordinated definitions and implementation practices together, without proving an equivalent benefit for MERLIN (Kokkinaki et al. 2016, §§III–V).</w:t>
      </w:r>
    </w:p>
    <w:p>
      <w:pPr>
        <w:pStyle w:val="Heading3"/>
        <w:keepNext/>
        <w:widowControl/>
      </w:pPr>
      <w:r>
        <w:t>Relevance to MERLIN and the research question</w:t>
      </w:r>
    </w:p>
    <w:p>
      <w:pPr>
        <w:widowControl/>
      </w:pPr>
      <w:r>
        <w:t>The proposed lesson for our study is to test whether source integration becomes more predictable when meaning, structure, and validation are agreed together. We should not assume that a new hierarchy is the essential ingredient. A small governed vocabulary may be enough for some fields, while other domains require relationships and constraints.</w:t>
      </w:r>
    </w:p>
    <w:p>
      <w:pPr>
        <w:pStyle w:val="Heading3"/>
        <w:keepNext/>
        <w:widowControl/>
      </w:pPr>
      <w:r>
        <w:t>Relationship to OGC and other candidate work</w:t>
      </w:r>
    </w:p>
    <w:p>
      <w:pPr>
        <w:widowControl/>
      </w:pPr>
      <w:r>
        <w:t>This precedent belongs beside the competent direct-OGC baseline and the additional-domain-agreement alternative. It helps prevent the comparison from falsely equating direct OGC with ungoverned labels. Its marine terminology and XML-era paths must not be copied into SensorML 3.0 JSON without a new binding review.</w:t>
      </w:r>
    </w:p>
    <w:p>
      <w:pPr>
        <w:pStyle w:val="Heading3"/>
        <w:keepNext/>
        <w:widowControl/>
      </w:pPr>
      <w:r>
        <w:t>Implementation, openness, limits, and next question</w:t>
      </w:r>
    </w:p>
    <w:p>
      <w:pPr>
        <w:widowControl/>
      </w:pPr>
      <w:r>
        <w:t>The paper provides historical implementation description, not a controlled estimate of developer savings. Vocabulary-maintenance responsibilities remain part of the cost rather than free infrastructure. The next question is which governance and validation practices can be reused without bringing marine-specific assumptions into our sensor-system cases.</w:t>
      </w:r>
    </w:p>
    <w:p>
      <w:pPr>
        <w:pStyle w:val="Heading3"/>
        <w:keepNext/>
        <w:widowControl/>
      </w:pPr>
      <w:r>
        <w:t>Intended use, specialization, and conformance boundary</w:t>
      </w:r>
    </w:p>
    <w:p>
      <w:pPr>
        <w:widowControl/>
      </w:pPr>
      <w:r>
        <w:t>This paper addresses marine sensor-description interoperability by combining SensorML with agreed controlled vocabularies. It is implementation-community evidence for reducing semantic variation within an existing framework, not authority for an arbitrary replacement of its data model. For MERLIN, the transferable result is the need to agree on term identity and descriptive conventions; the marine domain vocabulary and historical SensorML encoding cannot be assumed appropriate without a new binding assessment (Kokkinaki et al. 2016).</w:t>
      </w:r>
    </w:p>
    <w:p>
      <w:pPr>
        <w:pStyle w:val="Heading3"/>
        <w:keepNext/>
        <w:widowControl/>
      </w:pPr>
      <w:r>
        <w:t>Proposed implementation and conformance claim</w:t>
      </w:r>
    </w:p>
    <w:p>
      <w:pPr>
        <w:widowControl/>
      </w:pPr>
      <w:r>
        <w:t>The paper informs how a community coordinated semantics, but it is not the implementation contract proposed for MERLIN. Any reusable rule must be recovered from its authoritative artifact, checked against the current OGC requirements and justified by our task. The present claim is methodological learning, not implementation of the marine community’s historical profile (Kokkinaki et al. 2016).</w:t>
      </w:r>
    </w:p>
    <w:p>
      <w:pPr>
        <w:pStyle w:val="Heading3"/>
        <w:keepNext/>
        <w:widowControl/>
      </w:pPr>
      <w:r>
        <w:t>DISR standing, implications, and recommended action</w:t>
      </w:r>
    </w:p>
    <w:p>
      <w:pPr>
        <w:widowControl/>
      </w:pPr>
      <w:r>
        <w:t>This research paper is not proposed as a DISR implementation standard. Its role is historical evidence and it does not inherit a SensorML edition’s adoption status. Recommend no request to add the paper; any selected normative community profile would require its own exact artifact and applicability assessment (S25; Kokkinaki et al. 2016).</w:t>
      </w:r>
    </w:p>
    <w:p>
      <w:pPr>
        <w:pStyle w:val="Heading3"/>
        <w:keepNext/>
        <w:widowControl/>
      </w:pPr>
      <w:r>
        <w:t>NATO standing, implications, and recommended action</w:t>
      </w:r>
    </w:p>
    <w:p>
      <w:pPr>
        <w:widowControl/>
      </w:pPr>
      <w:r>
        <w:t>No independent NATO adoption is established for this paper, and none is needed simply to use it as research evidence. Its relevance is methodological rather than an Alliance implementation obligation. Recommend no NATO request for the publication itself; any future submission should be the resulting domain agreement with its own requirement, audience, tests, and ownership (North Atlantic Treaty Organization 2023, appendix A and chap. 5).</w:t>
      </w:r>
    </w:p>
    <w:p>
      <w:pPr>
        <w:pStyle w:val="Heading2"/>
        <w:keepNext/>
        <w:pageBreakBefore w:val="0"/>
        <w:widowControl/>
      </w:pPr>
      <w:r>
        <w:t>S21  |  Marine SWE profiles: Community documentation</w:t>
      </w:r>
    </w:p>
    <w:p>
      <w:pPr>
        <w:pStyle w:val="Reference"/>
        <w:keepNext/>
        <w:widowControl/>
      </w:pPr>
      <w:r>
        <w:t>Kokkinaki, Alexandra, Simon Jirka, Robert Huber, Matthes Rieke, and Christian Autermann. n.d. Marine Profiles of the OGC Sensor Web Enablement Standards. Community proposal; unversioned web documentation. Accessed October 12, 2026. https://odip.github.io/MarineProfilesForSWE/</w:t>
      </w:r>
    </w:p>
    <w:p>
      <w:pPr>
        <w:pStyle w:val="Metadata"/>
        <w:keepNext/>
        <w:widowControl/>
      </w:pPr>
      <w:r>
        <w:t>INSPECTION  Community repository docs/02_SensorML.md, lines 1–190 and 440–790; blob 6eb1b4299057e1ded5ad71d60f43bee84173a81e  •  12 October 2026</w:t>
      </w:r>
    </w:p>
    <w:p>
      <w:pPr>
        <w:pStyle w:val="Heading3"/>
        <w:keepNext/>
        <w:widowControl/>
      </w:pPr>
      <w:r>
        <w:t>Purpose, scope, and original problem</w:t>
      </w:r>
    </w:p>
    <w:p>
      <w:pPr>
        <w:widowControl/>
      </w:pPr>
      <w:r>
        <w:t>The Marine Profiles site documents a community proposal for applying SWE standards in marine settings. Its SensorML chapter supplies concrete descriptive conventions rather than merely recommending semantic consistency. The authorship and proposal status distinguish it from a published OGC implementation standard (Kokkinaki et al. n.d., overview; “SensorML”).</w:t>
      </w:r>
    </w:p>
    <w:p>
      <w:pPr>
        <w:pStyle w:val="Heading3"/>
        <w:keepNext/>
        <w:widowControl/>
      </w:pPr>
      <w:r>
        <w:t>Relevant concepts and mechanisms</w:t>
      </w:r>
    </w:p>
    <w:p>
      <w:pPr>
        <w:widowControl/>
      </w:pPr>
      <w:r>
        <w:t>The recovered SensorML chapter coordinates encoding choices, section terms, permissible values and controlled vocabularies, not vocabulary names alone. It distinguishes sensor/platform models from instances through typeOf, then illustrates instance-specific capabilities, characteristics, contacts and links to attached sensors. Several trajectory passages are explicitly unfinished, so they are not treated as a complete current profile (Kokkinaki et al. n.d., “Common SensorML profiles,” “Overview,” and “Platform Instances”).</w:t>
      </w:r>
    </w:p>
    <w:p>
      <w:pPr>
        <w:pStyle w:val="Heading3"/>
        <w:keepNext/>
        <w:widowControl/>
      </w:pPr>
      <w:r>
        <w:t>Relevance to MERLIN and the research question</w:t>
      </w:r>
    </w:p>
    <w:p>
      <w:pPr>
        <w:widowControl/>
      </w:pPr>
      <w:r>
        <w:t>The marine conventions provide a concrete precedent for domain-specific application profiles inside SensorML. Their model/instance content and vocabulary coordination inform the proposed broader sensing-system profile, rather than confining it to selected equipment fields. The historical marine encoding remains distinct from the current OGC profile and bindings to be authored (Kokkinaki et al. n.d.; this study, §1).</w:t>
      </w:r>
    </w:p>
    <w:p>
      <w:pPr>
        <w:pStyle w:val="Heading3"/>
        <w:keepNext/>
        <w:widowControl/>
      </w:pPr>
      <w:r>
        <w:t>Relationship to OGC and other candidate work</w:t>
      </w:r>
    </w:p>
    <w:p>
      <w:pPr>
        <w:widowControl/>
      </w:pPr>
      <w:r>
        <w:t>A profile’s content rules and its base standard’s encoding rules are related but distinct. A future MERLIN-oriented experiment should preserve validity against the selected OGC edition while stating any additional conventions separately. That would make the comparison testable without claiming publication of a defense profile.</w:t>
      </w:r>
    </w:p>
    <w:p>
      <w:pPr>
        <w:pStyle w:val="Heading3"/>
        <w:keepNext/>
        <w:widowControl/>
      </w:pPr>
      <w:r>
        <w:t>Implementation, openness, limits, and next question</w:t>
      </w:r>
    </w:p>
    <w:p>
      <w:pPr>
        <w:widowControl/>
      </w:pPr>
      <w:r>
        <w:t>The previously inaccessible web chapter was recovered through the community’s GitHub repository. The inspected blob is 6eb1b4299057e1ded5ad71d60f43bee84173a81e, with selected ranges 1–190 and 440–790 read directly. No deployed service, maintenance commitment or blanket content-reuse license is inferred from that recovery.</w:t>
      </w:r>
    </w:p>
    <w:p>
      <w:pPr>
        <w:pStyle w:val="Heading3"/>
        <w:keepNext/>
        <w:widowControl/>
      </w:pPr>
      <w:r>
        <w:t>Intended use, specialization, and conformance boundary</w:t>
      </w:r>
    </w:p>
    <w:p>
      <w:pPr>
        <w:widowControl/>
      </w:pPr>
      <w:r>
        <w:t>The community coordinates SensorML section contents and vocabulary use across marine information providers and clients. Its model/instance and attachment examples are more specific than a generic instruction to add semantics. The present work uses that content as historical precedent; a current SensorML 3.0 agreement would need to state its own applicable rules and mappings rather than claim to implement the entire historical proposal.</w:t>
      </w:r>
    </w:p>
    <w:p>
      <w:pPr>
        <w:pStyle w:val="Heading3"/>
        <w:keepNext/>
        <w:widowControl/>
      </w:pPr>
      <w:r>
        <w:t>Proposed implementation and conformance claim</w:t>
      </w:r>
    </w:p>
    <w:p>
      <w:pPr>
        <w:widowControl/>
      </w:pPr>
      <w:r>
        <w:t>The recommendation is a current OGC description agreement informed by this precedent, not native implementation of the historical marine profile. Selected existing vocabulary definitions could be reused according to their actual meanings and terms, but translating the old arrangement would still produce a new binding. Its assessment obligations are described as part of that proposal and do not create a new testing workstream.</w:t>
      </w:r>
    </w:p>
    <w:p>
      <w:pPr>
        <w:pStyle w:val="Heading3"/>
        <w:keepNext/>
        <w:widowControl/>
      </w:pPr>
      <w:r>
        <w:t>DISR standing, implications, and recommended action</w:t>
      </w:r>
    </w:p>
    <w:p>
      <w:pPr>
        <w:widowControl/>
      </w:pPr>
      <w:r>
        <w:t>The marine SWE profile documentation is absent from the authoritative current DISR baseline; no separate DoD or IC adoption status is listed. No request is recommended for this historical methodological comparator. A current, applicable profile would be a separate selection. (S25; “StandardsReport” 2026; this study’s assessment.)</w:t>
      </w:r>
    </w:p>
    <w:p>
      <w:pPr>
        <w:pStyle w:val="Heading3"/>
        <w:keepNext/>
        <w:widowControl/>
      </w:pPr>
      <w:r>
        <w:t>NATO standing, implications, and recommended action</w:t>
      </w:r>
    </w:p>
    <w:p>
      <w:pPr>
        <w:widowControl/>
      </w:pPr>
      <w:r>
        <w:t>No NATO adoption of this exact marine proposal is established. The intended marine audience and historical encoding do not directly match our JISR content problem. Recommend no NATO submission for it; reuse the disciplined profiling approach where relevant and govern any resulting cross-domain profile on its own merits (North Atlantic Treaty Organization 2023, appendix A and chap. 5).</w:t>
      </w:r>
    </w:p>
    <w:p>
      <w:pPr>
        <w:pStyle w:val="Heading2"/>
        <w:keepNext/>
        <w:pageBreakBefore w:val="0"/>
        <w:widowControl/>
      </w:pPr>
      <w:r>
        <w:t>S22  |  The Profiles Vocabulary</w:t>
      </w:r>
    </w:p>
    <w:p>
      <w:pPr>
        <w:pStyle w:val="Reference"/>
        <w:keepNext/>
        <w:widowControl/>
      </w:pPr>
      <w:r>
        <w:t xml:space="preserve">World Wide Web Consortium. 2019. </w:t>
      </w:r>
      <w:r>
        <w:rPr>
          <w:i/>
        </w:rPr>
        <w:t>The Profiles Vocabulary</w:t>
      </w:r>
      <w:r>
        <w:t>. Working Group Note. https://www.w3.org/TR/2019/NOTE-dx-prof-20191218/</w:t>
      </w:r>
    </w:p>
    <w:p>
      <w:pPr>
        <w:pStyle w:val="Metadata"/>
        <w:keepNext/>
        <w:widowControl/>
      </w:pPr>
      <w:r>
        <w:t>INSPECTION  Status; introduction; Profile and ResourceDescriptor concepts  •  Working Group Note—selected text  •  12 October 2026</w:t>
      </w:r>
    </w:p>
    <w:p>
      <w:pPr>
        <w:pStyle w:val="Heading3"/>
        <w:keepNext/>
        <w:widowControl/>
      </w:pPr>
      <w:r>
        <w:t>Purpose, scope, and original problem</w:t>
      </w:r>
    </w:p>
    <w:p>
      <w:pPr>
        <w:widowControl/>
      </w:pPr>
      <w:r>
        <w:t>The Profiles Vocabulary describes profiles and the resources that support them. It is a W3C Working Group Note, not a Recommendation. Its role here is documentation methodology rather than a domain model for batteries, equipment, or operational relationships (World Wide Web Consortium 2019).</w:t>
      </w:r>
    </w:p>
    <w:p>
      <w:pPr>
        <w:pStyle w:val="Heading3"/>
        <w:keepNext/>
        <w:widowControl/>
      </w:pPr>
      <w:r>
        <w:t>Relevant concepts and mechanisms</w:t>
      </w:r>
    </w:p>
    <w:p>
      <w:pPr>
        <w:widowControl/>
      </w:pPr>
      <w:r>
        <w:t>The vocabulary associates profiles with supporting resources and their roles, such as validation or explanatory artifacts. It also represents relationships among profiles. Those concepts can help us distinguish a prose agreement, a schema, an example, and a validator instead of calling all four a profile interchangeably (World Wide Web Consortium 2019).</w:t>
      </w:r>
    </w:p>
    <w:p>
      <w:pPr>
        <w:pStyle w:val="Heading3"/>
        <w:keepNext/>
        <w:widowControl/>
      </w:pPr>
      <w:r>
        <w:t>Relevance to MERLIN and the research question</w:t>
      </w:r>
    </w:p>
    <w:p>
      <w:pPr>
        <w:widowControl/>
      </w:pPr>
      <w:r>
        <w:t>MERLIN’s research can adopt that documentation discipline before deciding whether it needs RDF representations. The source register should identify exactly which artifact supports each claim. A proposed mapping is more useful when its dependencies and validation evidence remain recoverable outside the conversation.</w:t>
      </w:r>
    </w:p>
    <w:p>
      <w:pPr>
        <w:pStyle w:val="Heading3"/>
        <w:keepNext/>
        <w:widowControl/>
      </w:pPr>
      <w:r>
        <w:t>Relationship to OGC and other candidate work</w:t>
      </w:r>
    </w:p>
    <w:p>
      <w:pPr>
        <w:widowControl/>
      </w:pPr>
      <w:r>
        <w:t>PROF can document an agreement built from OGC and external definitions, but it does not create that agreement’s semantics. Nor does describing a profile establish that implementations conform to it. The technical content and the evidence of execution must remain separate records.</w:t>
      </w:r>
    </w:p>
    <w:p>
      <w:pPr>
        <w:pStyle w:val="Heading3"/>
        <w:keepNext/>
        <w:widowControl/>
      </w:pPr>
      <w:r>
        <w:t>Implementation, openness, limits, and next question</w:t>
      </w:r>
    </w:p>
    <w:p>
      <w:pPr>
        <w:widowControl/>
      </w:pPr>
      <w:r>
        <w:t>This review did not execute a PROF graph or audit downstream tooling. The source’s Note status should not be upgraded because its organizational approach is useful. The next question is the minimum durable artifact set needed to reproduce a selected binding and distinguish changes in semantics from changes in documentation.</w:t>
      </w:r>
    </w:p>
    <w:p>
      <w:pPr>
        <w:pStyle w:val="Heading3"/>
        <w:keepNext/>
        <w:widowControl/>
      </w:pPr>
      <w:r>
        <w:t>Intended use, specialization, and conformance boundary</w:t>
      </w:r>
    </w:p>
    <w:p>
      <w:pPr>
        <w:widowControl/>
      </w:pPr>
      <w:r>
        <w:t>PROF is a vocabulary for describing profiles, their base specifications, and supporting artifacts such as schemas, guidance, and validation resources. It is a W3C Working Group Note, not a Recommendation, and its metadata does not itself validate the content it describes. MERLIN can borrow the distinction between a profile and its supporting resources without adopting RDF infrastructure; a claim of profile conformance still depends on the actual requirements of the referenced specifications (World Wide Web Consortium 2019, abstract and vocabulary definitions).</w:t>
      </w:r>
    </w:p>
    <w:p>
      <w:pPr>
        <w:pStyle w:val="Heading3"/>
        <w:keepNext/>
        <w:widowControl/>
      </w:pPr>
      <w:r>
        <w:t>Proposed implementation and conformance claim</w:t>
      </w:r>
    </w:p>
    <w:p>
      <w:pPr>
        <w:widowControl/>
      </w:pPr>
      <w:r>
        <w:t>The vocabulary could describe a profile and its supporting resources, but it cannot establish that the profile’s substantive requirements have been met. No RDF registry or profile-description implementation is selected. Its current role is documentary guidance; any later use must identify the metadata assertions separately from the implementation being assessed (World Wide Web Consortium 2019).</w:t>
      </w:r>
    </w:p>
    <w:p>
      <w:pPr>
        <w:pStyle w:val="Heading3"/>
        <w:keepNext/>
        <w:widowControl/>
      </w:pPr>
      <w:r>
        <w:t>DISR standing, implications, and recommended action</w:t>
      </w:r>
    </w:p>
    <w:p>
      <w:pPr>
        <w:widowControl/>
      </w:pPr>
      <w:r>
        <w:t>The Profiles Vocabulary is absent from the authoritative current DISR baseline; no separate DoD or IC adoption status is listed. No request is recommended for documentary guidance that has not been selected as an implementation dependency. (S25; “StandardsReport” 2026; this study’s assessment.)</w:t>
      </w:r>
    </w:p>
    <w:p>
      <w:pPr>
        <w:pStyle w:val="Heading3"/>
        <w:keepNext/>
        <w:widowControl/>
      </w:pPr>
      <w:r>
        <w:t>NATO standing, implications, and recommended action</w:t>
      </w:r>
    </w:p>
    <w:p>
      <w:pPr>
        <w:widowControl/>
      </w:pPr>
      <w:r>
        <w:t>No exact NATO adoption is established for PROF. NATO’s own published profile guidance already supplies a community process that must not be replaced by an RDF vocabulary. Recommend no current RFC for the Note; assess it as optional profile-documentation tooling only if it improves recoverability and interoperable metadata beyond the applicable NATO requirements (North Atlantic Treaty Organization 2023, appendix A).</w:t>
      </w:r>
    </w:p>
    <w:p>
      <w:pPr>
        <w:pStyle w:val="Heading2"/>
        <w:keepNext/>
        <w:pageBreakBefore w:val="0"/>
        <w:widowControl/>
      </w:pPr>
      <w:r>
        <w:t>S26  |  Commercial perspective: Selective MIP interfaces</w:t>
      </w:r>
    </w:p>
    <w:p>
      <w:pPr>
        <w:pStyle w:val="Reference"/>
        <w:keepNext/>
        <w:widowControl/>
      </w:pPr>
      <w:r>
        <w:t>Systematic. n.d. Multilateral Interoperability Programme. Vendor web publication. Accessed October 12, 2026. https://systematic.com/int/industries/defence/products/domains/interoperability/mip/</w:t>
      </w:r>
    </w:p>
    <w:p>
      <w:pPr>
        <w:pStyle w:val="Metadata"/>
        <w:keepNext/>
        <w:widowControl/>
      </w:pPr>
      <w:r>
        <w:t>INSPECTION  MIP 4 section; small-interface and model-derivation description  •  Vendor-authored explanation  •  12 October 2026</w:t>
      </w:r>
    </w:p>
    <w:p>
      <w:pPr>
        <w:pStyle w:val="Heading3"/>
        <w:keepNext/>
        <w:widowControl/>
      </w:pPr>
      <w:r>
        <w:t>Purpose, scope, and original problem</w:t>
      </w:r>
    </w:p>
    <w:p>
      <w:pPr>
        <w:widowControl/>
      </w:pPr>
      <w:r>
        <w:t>Systematic’s MIP page offers a commercial participant’s explanation of model-based interoperability. Its MIP 4 discussion emphasizes smaller interfaces derived from a broader reference model. This belongs in the evidence base as a vendor-authored perspective, not as an independent standard or measured cost study (Systematic n.d.).</w:t>
      </w:r>
    </w:p>
    <w:p>
      <w:pPr>
        <w:pStyle w:val="Heading3"/>
        <w:keepNext/>
        <w:widowControl/>
      </w:pPr>
      <w:r>
        <w:t>Relevant concepts and mechanisms</w:t>
      </w:r>
    </w:p>
    <w:p>
      <w:pPr>
        <w:widowControl/>
      </w:pPr>
      <w:r>
        <w:t>The page describes extracting relevant information classes and generating interface schemas rather than implementing the entire reference model in every gateway. It argues that this can reduce implementation effort. That argument is a useful hypothesis to test, but the inspected page does not provide a controlled MERLIN-relevant savings measurement (Systematic n.d., “MIP Baseline 4”).</w:t>
      </w:r>
    </w:p>
    <w:p>
      <w:pPr>
        <w:pStyle w:val="Heading3"/>
        <w:keepNext/>
        <w:widowControl/>
      </w:pPr>
      <w:r>
        <w:t>Relevance to MERLIN and the research question</w:t>
      </w:r>
    </w:p>
    <w:p>
      <w:pPr>
        <w:widowControl/>
      </w:pPr>
      <w:r>
        <w:t>The research implication is to compare a small reusable agreement with the real cost of developing each vendor integration. We should count remaining adapters, exceptions, and version-management work. A smaller visible interface is not sufficient evidence that the total engineering burden is smaller.</w:t>
      </w:r>
    </w:p>
    <w:p>
      <w:pPr>
        <w:pStyle w:val="Heading3"/>
        <w:keepNext/>
        <w:widowControl/>
      </w:pPr>
      <w:r>
        <w:t>Relationship to OGC and other candidate work</w:t>
      </w:r>
    </w:p>
    <w:p>
      <w:pPr>
        <w:widowControl/>
      </w:pPr>
      <w:r>
        <w:t>This perspective is consistent with treating a semantic reference and a transport interface as different artifacts. It does not establish that MIP-derived messages or their native transport should replace CSAPI. The candidate architecture remains a scoped comparison, not a product recommendation.</w:t>
      </w:r>
    </w:p>
    <w:p>
      <w:pPr>
        <w:pStyle w:val="Heading3"/>
        <w:keepNext/>
        <w:widowControl/>
      </w:pPr>
      <w:r>
        <w:t>Implementation, openness, limits, and next question</w:t>
      </w:r>
    </w:p>
    <w:p>
      <w:pPr>
        <w:widowControl/>
      </w:pPr>
      <w:r>
        <w:t>This increment did not inspect a commercial gateway, verify conformance claims, or obtain implementation-effort records. The source is retained at a lower evidentiary level than directly inspected normative clauses. The next question is whether reproducible examples or independent integration experience corroborate the claimed advantage of selective model use.</w:t>
      </w:r>
    </w:p>
    <w:p>
      <w:pPr>
        <w:pStyle w:val="Heading3"/>
        <w:keepNext/>
        <w:widowControl/>
      </w:pPr>
      <w:r>
        <w:t>Intended use, specialization, and conformance boundary</w:t>
      </w:r>
    </w:p>
    <w:p>
      <w:pPr>
        <w:widowControl/>
      </w:pPr>
      <w:r>
        <w:t>Systematic’s MIP page addresses prospective users and integrators of its interoperability products. It can explain the vendor’s claimed role in an exchange ecosystem, but it is not the MIP community’s authoritative tailoring or conformance specification. Retain it as implementation-market evidence and verify any technical claim against the exact MIP model, exchange specification, and test evidence before relying on it for a MERLIN binding (Systematic n.d.).</w:t>
      </w:r>
    </w:p>
    <w:p>
      <w:pPr>
        <w:pStyle w:val="Heading3"/>
        <w:keepNext/>
        <w:widowControl/>
      </w:pPr>
      <w:r>
        <w:t>Proposed implementation and conformance claim</w:t>
      </w:r>
    </w:p>
    <w:p>
      <w:pPr>
        <w:widowControl/>
      </w:pPr>
      <w:r>
        <w:t>This vendor page is not a conformance specification. It can indicate a possible implementation to investigate, but cannot define MERLIN’s obligations or establish successful interoperability. Any later comparison needs an exact standard release and independently inspectable product or test evidence (Systematic n.d.).</w:t>
      </w:r>
    </w:p>
    <w:p>
      <w:pPr>
        <w:pStyle w:val="Heading3"/>
        <w:keepNext/>
        <w:widowControl/>
      </w:pPr>
      <w:r>
        <w:t>DISR standing, implications, and recommended action</w:t>
      </w:r>
    </w:p>
    <w:p>
      <w:pPr>
        <w:widowControl/>
      </w:pPr>
      <w:r>
        <w:t>The vendor webpage is not an independently selected technical standard. It cannot establish a model’s DoD or IC status or a product’s conformity from marketing context alone. Recommend no request for the page; consult exact baseline records for any actual standard being considered (S25).</w:t>
      </w:r>
    </w:p>
    <w:p>
      <w:pPr>
        <w:pStyle w:val="Heading3"/>
        <w:keepNext/>
        <w:widowControl/>
      </w:pPr>
      <w:r>
        <w:t>NATO standing, implications, and recommended action</w:t>
      </w:r>
    </w:p>
    <w:p>
      <w:pPr>
        <w:widowControl/>
      </w:pPr>
      <w:r>
        <w:t>No independent NATO adoption applies on the evidence inspected to this page or any implied product-conformance claim. The historical NISP references to JC3IEDM describe standards and profile relationships, not certification of the vendor’s software. Recommend no NATO request for the page; any future interoperability case must identify the actual implemented specification and test results (“Joint C3 Information Exchange Data Model” n.d.).</w:t>
      </w:r>
    </w:p>
    <w:p>
      <w:pPr>
        <w:pStyle w:val="Heading1"/>
        <w:keepNext/>
        <w:pageBreakBefore w:val="0"/>
        <w:widowControl/>
      </w:pPr>
      <w:r>
        <w:t>VI. Adoption and policy evidence</w:t>
      </w:r>
    </w:p>
    <w:p>
      <w:pPr>
        <w:widowControl/>
      </w:pPr>
      <w:r>
        <w:t>Policy, catalog identity, and exact adoption records provide different kinds of evidence. They can affect the investigation’s priorities without establishing technical fit. No family-wide mandate, present NATO baseline, or field-level binding is inferred from an adjacent publication.</w:t>
      </w:r>
    </w:p>
    <w:p>
      <w:pPr>
        <w:pStyle w:val="Heading2"/>
        <w:keepNext/>
        <w:pageBreakBefore w:val="0"/>
        <w:widowControl/>
      </w:pPr>
      <w:r>
        <w:t>S23  |  NATO Data Strategy</w:t>
      </w:r>
    </w:p>
    <w:p>
      <w:pPr>
        <w:pStyle w:val="Reference"/>
        <w:keepNext/>
        <w:widowControl/>
      </w:pPr>
      <w:r>
        <w:t xml:space="preserve">North Atlantic Treaty Organization. 2025. </w:t>
      </w:r>
      <w:r>
        <w:rPr>
          <w:i/>
        </w:rPr>
        <w:t>Data Strategy for the Alliance</w:t>
      </w:r>
      <w:r>
        <w:t>. Official policy publication. https://www.nato.int/en/about-us/official-texts-and-resources/official-texts/2025/05/05/data-strategy-for-the-alliance</w:t>
      </w:r>
    </w:p>
    <w:p>
      <w:pPr>
        <w:pStyle w:val="Metadata"/>
        <w:keepNext/>
        <w:widowControl/>
      </w:pPr>
      <w:r>
        <w:t>INSPECTION  ¶14 and surrounding strategy text  •  Official policy—directly inspected  •  12 October 2026</w:t>
      </w:r>
    </w:p>
    <w:p>
      <w:pPr>
        <w:pStyle w:val="Heading3"/>
        <w:keepNext/>
        <w:widowControl/>
      </w:pPr>
      <w:r>
        <w:t>Purpose, scope, and original problem</w:t>
      </w:r>
    </w:p>
    <w:p>
      <w:pPr>
        <w:widowControl/>
      </w:pPr>
      <w:r>
        <w:t>The Alliance Data Strategy provides policy direction for NATO’s treatment of data. The inspected paragraph distinguishes broad technical enablers from semantic interoperability work. It supports asking the research question, but does not answer which device model or binding MERLIN should adopt (North Atlantic Treaty Organization 2025, para. 14).</w:t>
      </w:r>
    </w:p>
    <w:p>
      <w:pPr>
        <w:pStyle w:val="Heading3"/>
        <w:keepNext/>
        <w:widowControl/>
      </w:pPr>
      <w:r>
        <w:t>Relevant concepts and mechanisms</w:t>
      </w:r>
    </w:p>
    <w:p>
      <w:pPr>
        <w:widowControl/>
      </w:pPr>
      <w:r>
        <w:t>The strategy’s technology-neutral and domain-agnostic framing is different from a concrete information-exchange specification. It points toward semantic work without prescribing our field meanings. Policy support should therefore be kept separate from the technical evidence needed to justify a proposed integration (North Atlantic Treaty Organization 2025, para. 14).</w:t>
      </w:r>
    </w:p>
    <w:p>
      <w:pPr>
        <w:pStyle w:val="Heading3"/>
        <w:keepNext/>
        <w:widowControl/>
      </w:pPr>
      <w:r>
        <w:t>Relevance to MERLIN and the research question</w:t>
      </w:r>
    </w:p>
    <w:p>
      <w:pPr>
        <w:widowControl/>
      </w:pPr>
      <w:r>
        <w:t>For MERLIN, this source explains why semantic consistency can be relevant beyond a single client view. The project still needs evidence of actual source information and practical reuse. A claim of strategic alignment cannot substitute for showing the implementation burden or preserving a vendor’s meaning.</w:t>
      </w:r>
    </w:p>
    <w:p>
      <w:pPr>
        <w:pStyle w:val="Heading3"/>
        <w:keepNext/>
        <w:widowControl/>
      </w:pPr>
      <w:r>
        <w:t>Relationship to OGC and other candidate work</w:t>
      </w:r>
    </w:p>
    <w:p>
      <w:pPr>
        <w:widowControl/>
      </w:pPr>
      <w:r>
        <w:t>The strategy is adjacent to technical standards and adoption instruments, not a replacement for either. A STANAG, a profile, and a vocabulary serve different evidentiary roles. The proposed assessment should trace those relationships explicitly rather than treating NATO provenance as one undifferentiated endorsement.</w:t>
      </w:r>
    </w:p>
    <w:p>
      <w:pPr>
        <w:pStyle w:val="Heading3"/>
        <w:keepNext/>
        <w:widowControl/>
      </w:pPr>
      <w:r>
        <w:t>Implementation, openness, limits, and next question</w:t>
      </w:r>
    </w:p>
    <w:p>
      <w:pPr>
        <w:widowControl/>
      </w:pPr>
      <w:r>
        <w:t>No NATO device-binding requirement is inferred from this strategy. Current promulgation and exact implementation obligations remain separate verification tasks. The next question is whether an actual NATO profile or standard adds a relevant technical constraint beyond this broad policy direction.</w:t>
      </w:r>
    </w:p>
    <w:p>
      <w:pPr>
        <w:pStyle w:val="Heading3"/>
        <w:keepNext/>
        <w:widowControl/>
      </w:pPr>
      <w:r>
        <w:t>Intended use, specialization, and conformance boundary</w:t>
      </w:r>
    </w:p>
    <w:p>
      <w:pPr>
        <w:widowControl/>
      </w:pPr>
      <w:r>
        <w:t>The Alliance strategy addresses data governance and use across NATO, including semantic work needed for interoperability. Its audience is broader than implementers of any one device schema, and its policy direction does not specify field-level bindings or certify a candidate ontology. It supports the purpose of investigating reusable meaning, while the actual profile must still establish its own technical requirements and evidence (North Atlantic Treaty Organization 2025, especially para. 14).</w:t>
      </w:r>
    </w:p>
    <w:p>
      <w:pPr>
        <w:pStyle w:val="Heading3"/>
        <w:keepNext/>
        <w:widowControl/>
      </w:pPr>
      <w:r>
        <w:t>Proposed implementation and conformance claim</w:t>
      </w:r>
    </w:p>
    <w:p>
      <w:pPr>
        <w:widowControl/>
      </w:pPr>
      <w:r>
        <w:t>The Data Strategy provides a policy rationale for interoperable information use, not an implementable sensor schema. The assessment can explain how a technical proposal supports its objectives, but cannot certify a device-model implementation against invented strategy requirements. Technical conformance must be demonstrated against the separately identified standards and profiles (North Atlantic Treaty Organization 2025).</w:t>
      </w:r>
    </w:p>
    <w:p>
      <w:pPr>
        <w:pStyle w:val="Heading3"/>
        <w:keepNext/>
        <w:widowControl/>
      </w:pPr>
      <w:r>
        <w:t>DISR standing, implications, and recommended action</w:t>
      </w:r>
    </w:p>
    <w:p>
      <w:pPr>
        <w:widowControl/>
      </w:pPr>
      <w:r>
        <w:t>This NATO policy document is used as policy evidence, not as an independently selected technical standard for DISR implementation. Its strategic relevance does not confer DoD or IC adoption on any candidate model. Recommend no change request for this research use; technical selections are assessed against their exact baseline records (S25).</w:t>
      </w:r>
    </w:p>
    <w:p>
      <w:pPr>
        <w:pStyle w:val="Heading3"/>
        <w:keepNext/>
        <w:widowControl/>
      </w:pPr>
      <w:r>
        <w:t>NATO standing, implications, and recommended action</w:t>
      </w:r>
    </w:p>
    <w:p>
      <w:pPr>
        <w:widowControl/>
      </w:pPr>
      <w:r>
        <w:t>The source is an official NATO policy publication dated May 5, 2025, not a STANAG ratification record or an implementation profile. It supplies strategic relevance but no automatic obligation to adopt SAREF, AAS, MIMOSA, or another candidate. Recommend no NATO adoption request for the strategy itself; make future profile proposals traceable to the operational information requirement and the applicable governance route (North Atlantic Treaty Organization 2025; 2023, chap. 5).</w:t>
      </w:r>
    </w:p>
    <w:p>
      <w:pPr>
        <w:pStyle w:val="Heading2"/>
        <w:keepNext/>
        <w:pageBreakBefore w:val="0"/>
        <w:widowControl/>
      </w:pPr>
      <w:r>
        <w:t>S24  |  Historical NISP record for NCDF</w:t>
      </w:r>
    </w:p>
    <w:p>
      <w:pPr>
        <w:pStyle w:val="Reference"/>
        <w:keepNext/>
        <w:widowControl/>
      </w:pPr>
      <w:r>
        <w:t>NATO Core Data Framework (NCDF): ADatP-5653 (Study), Edition A, Version 1. n.d. NISP public catalog. Historical record. Accessed October 12, 2026. https://nisp.nw3.dk/standard/nato-adatp5653-ed.a-v1.html</w:t>
      </w:r>
    </w:p>
    <w:p>
      <w:pPr>
        <w:pStyle w:val="Metadata"/>
        <w:keepNext/>
        <w:widowControl/>
      </w:pPr>
      <w:r>
        <w:t>INSPECTION  Reference identity; history; last-updated and work-in-progress notices  •  Historical catalog evidence only  •  12 October 2026</w:t>
      </w:r>
    </w:p>
    <w:p>
      <w:pPr>
        <w:pStyle w:val="Heading3"/>
        <w:keepNext/>
        <w:widowControl/>
      </w:pPr>
      <w:r>
        <w:t>Purpose, scope, and original problem</w:t>
      </w:r>
    </w:p>
    <w:p>
      <w:pPr>
        <w:widowControl/>
      </w:pPr>
      <w:r>
        <w:t>This public NISP record identifies NCDF with ADatP-5653 in study form. Its history refers to version 15, and the page displays a 2024 update and a work-in-progress notice. It is historical catalog evidence, not a verified current NATO baseline (“NATO Core Data Framework” n.d.).</w:t>
      </w:r>
    </w:p>
    <w:p>
      <w:pPr>
        <w:pStyle w:val="Heading3"/>
        <w:keepNext/>
        <w:widowControl/>
      </w:pPr>
      <w:r>
        <w:t>Relevant concepts and mechanisms</w:t>
      </w:r>
    </w:p>
    <w:p>
      <w:pPr>
        <w:widowControl/>
      </w:pPr>
      <w:r>
        <w:t>The record connects a title, publication identifier, and related study STANAG. It does not supply a complete technical information model or establish present implementation requirements. Its immediate purpose in this research is to prevent an identifier mix-up from becoming a technical conclusion (“NATO Core Data Framework” n.d.).</w:t>
      </w:r>
    </w:p>
    <w:p>
      <w:pPr>
        <w:pStyle w:val="Heading3"/>
        <w:keepNext/>
        <w:widowControl/>
      </w:pPr>
      <w:r>
        <w:t>Relevance to MERLIN and the research question</w:t>
      </w:r>
    </w:p>
    <w:p>
      <w:pPr>
        <w:widowControl/>
      </w:pPr>
      <w:r>
        <w:t>The handoff warns against confusing this record with ADatP-5668. That warning remains important, but the current authoritative 5668 edition was not independently established in this increment. The research should record the gap rather than silently substitute a commercial catalog or an older project statement.</w:t>
      </w:r>
    </w:p>
    <w:p>
      <w:pPr>
        <w:pStyle w:val="Heading3"/>
        <w:keepNext/>
        <w:widowControl/>
      </w:pPr>
      <w:r>
        <w:t>Relationship to OGC and other candidate work</w:t>
      </w:r>
    </w:p>
    <w:p>
      <w:pPr>
        <w:widowControl/>
      </w:pPr>
      <w:r>
        <w:t>Catalog records establish identity and status context at a different level from technical specifications. They can direct retrieval but cannot prove that a model covers device power, connectors, or deployment roles. A model must still receive its own scoped technical inspection.</w:t>
      </w:r>
    </w:p>
    <w:p>
      <w:pPr>
        <w:pStyle w:val="Heading3"/>
        <w:keepNext/>
        <w:widowControl/>
      </w:pPr>
      <w:r>
        <w:t>Implementation, openness, limits, and next question</w:t>
      </w:r>
    </w:p>
    <w:p>
      <w:pPr>
        <w:widowControl/>
      </w:pPr>
      <w:r>
        <w:t>This source remains background rather than a shortlisted integration candidate. No current promulgation or DISR applicability conclusion is drawn from it. The next question is which authoritative current publication is actually required by a concrete operational-model comparison; until then, further catalog work is bounded.</w:t>
      </w:r>
    </w:p>
    <w:p>
      <w:pPr>
        <w:pStyle w:val="Heading3"/>
        <w:keepNext/>
        <w:widowControl/>
      </w:pPr>
      <w:r>
        <w:t>Intended use, specialization, and conformance boundary</w:t>
      </w:r>
    </w:p>
    <w:p>
      <w:pPr>
        <w:widowControl/>
      </w:pPr>
      <w:r>
        <w:t>The inspected catalog identifies NCDF under ADatP-5653 and associates it with a cross-community information-sharing profile. It does not expose the technical clauses needed to determine the intended tailoring method or authorize a MERLIN model derivation. Treat it as a lead to the responsible data-management community, and do not conflate its publication number with ADatP-5668 or substitute a catalog description for the actual framework (“NATO Core Data Framework” n.d.).</w:t>
      </w:r>
    </w:p>
    <w:p>
      <w:pPr>
        <w:pStyle w:val="Heading3"/>
        <w:keepNext/>
        <w:widowControl/>
      </w:pPr>
      <w:r>
        <w:t>Proposed implementation and conformance claim</w:t>
      </w:r>
    </w:p>
    <w:p>
      <w:pPr>
        <w:widowControl/>
      </w:pPr>
      <w:r>
        <w:t>The catalog record does not supply a model that MERLIN can presently claim to implement. A native NCDF proposal would require the authoritative publication, edition, applicability and technical assessment criteria. Until then, the record is a recovery lead rather than a standards-implementation recommendation (“NATO Core Data Framework” n.d.).</w:t>
      </w:r>
    </w:p>
    <w:p>
      <w:pPr>
        <w:pStyle w:val="Heading3"/>
        <w:keepNext/>
        <w:widowControl/>
      </w:pPr>
      <w:r>
        <w:t>DISR standing, implications, and recommended action</w:t>
      </w:r>
    </w:p>
    <w:p>
      <w:pPr>
        <w:widowControl/>
      </w:pPr>
      <w:r>
        <w:t>The inspected NCDF / ADatP-5653 reference is absent from the authoritative current DISR baseline; no separate DoD or IC adoption status is listed. Do not propose an entry from a historical catalog label without selecting the actual normative publication. (S25; “StandardsReport” 2026; this study’s assessment.)</w:t>
      </w:r>
    </w:p>
    <w:p>
      <w:pPr>
        <w:pStyle w:val="Heading3"/>
        <w:keepNext/>
        <w:widowControl/>
      </w:pPr>
      <w:r>
        <w:t>NATO standing, implications, and recommended action</w:t>
      </w:r>
    </w:p>
    <w:p>
      <w:pPr>
        <w:widowControl/>
      </w:pPr>
      <w:r>
        <w:t>The inspected NISP record says ADatP-5653 (Study), Edition A, Version 1, with a related study STANAG and a page updated April 12, 2024 (“NATO Core Data Framework” n.d.). That proves a historical catalog relationship, not a promulgated 2026 framework or a mandate for our proposed use. Request current catalog/publication verification from the responsible community first; propose an identifier or profile correction only if the authoritative record actually demonstrates an error or gap.</w:t>
      </w:r>
    </w:p>
    <w:p>
      <w:pPr>
        <w:pStyle w:val="Heading2"/>
        <w:keepNext/>
        <w:pageBreakBefore w:val="0"/>
        <w:widowControl/>
      </w:pPr>
      <w:r>
        <w:t>S25  |  Supplied DISR export</w:t>
      </w:r>
    </w:p>
    <w:p>
      <w:pPr>
        <w:pStyle w:val="Reference"/>
        <w:keepNext/>
        <w:widowControl/>
      </w:pPr>
      <w:r>
        <w:t>“StandardsReport_20261010T134742.352 GMT.xlsx(1).csv.” 2026. DISR baseline export supplied by Sam Bolling, October 10, 2026. Authoritative complete current baseline for this investigation by owner direction. Project/Library recovery locator: libfile_41ef1e7ddf5c81918c3b67fe0ceec449.</w:t>
      </w:r>
    </w:p>
    <w:p>
      <w:pPr>
        <w:pStyle w:val="Metadata"/>
        <w:keepNext/>
        <w:widowControl/>
      </w:pPr>
      <w:r>
        <w:t>INSPECTION  Authoritative complete current baseline supplied by owner; exact records and successful full-export alias searches  •  12 October 2026</w:t>
      </w:r>
    </w:p>
    <w:p>
      <w:pPr>
        <w:pStyle w:val="Heading3"/>
        <w:keepNext/>
        <w:widowControl/>
      </w:pPr>
      <w:r>
        <w:t>Purpose, scope, and original problem</w:t>
      </w:r>
    </w:p>
    <w:p>
      <w:pPr>
        <w:widowControl/>
      </w:pPr>
      <w:r>
        <w:t>This export is the authoritative complete current DISR baseline for this investigation. Its records preserve exact standard identities, editions and separate DoD/IC statuses, enabling direct adoption comparisons without reopening baseline completeness. It remains adoption evidence rather than a replacement for the technical specifications themselves (“StandardsReport” 2026; Bolling 2026).</w:t>
      </w:r>
    </w:p>
    <w:p>
      <w:pPr>
        <w:pStyle w:val="Heading3"/>
        <w:keepNext/>
        <w:widowControl/>
      </w:pPr>
      <w:r>
        <w:t>Relevant concepts and mechanisms</w:t>
      </w:r>
    </w:p>
    <w:p>
      <w:pPr>
        <w:widowControl/>
      </w:pPr>
      <w:r>
        <w:t>The inspected rows confirm RFC 8348 and OSA-CBM v3.3.1 as Mandated and IC-Mandated. OSA-EAI 3.2.3a is Mandated with IC-Not Applicable; three 21451:2010 parts are Emerging and IC-Emerging. STANAG 5525 Edition 1 is also listed as Mandated and IC-Mandated (“StandardsReport” 2026, selected records).</w:t>
      </w:r>
    </w:p>
    <w:p>
      <w:pPr>
        <w:pStyle w:val="Heading3"/>
        <w:keepNext/>
        <w:widowControl/>
      </w:pPr>
      <w:r>
        <w:t>Relevance to MERLIN and the research question</w:t>
      </w:r>
    </w:p>
    <w:p>
      <w:pPr>
        <w:widowControl/>
      </w:pPr>
      <w:r>
        <w:t>These statuses justify paying attention to exact candidate editions. They do not prove that a standard resolves an actual MERLIN integration problem. They also do not justify replacing a better-fitting technical treatment before applicability and source fidelity have been examined.</w:t>
      </w:r>
    </w:p>
    <w:p>
      <w:pPr>
        <w:pStyle w:val="Heading3"/>
        <w:keepNext/>
        <w:widowControl/>
      </w:pPr>
      <w:r>
        <w:t>Relationship to OGC and other candidate work</w:t>
      </w:r>
    </w:p>
    <w:p>
      <w:pPr>
        <w:widowControl/>
      </w:pPr>
      <w:r>
        <w:t>The comparison must preserve the distinction between an adopted specification and related work from the same organization. OSA-EAI’s row cannot be transferred to OIIE Scenario 11, nor RFC 8348’s row to every YANG model. Older retired entries also demonstrate why family-level status statements are unsafe.</w:t>
      </w:r>
    </w:p>
    <w:p>
      <w:pPr>
        <w:pStyle w:val="Heading3"/>
        <w:keepNext/>
        <w:widowControl/>
      </w:pPr>
      <w:r>
        <w:t>Implementation, openness, limits, and next question</w:t>
      </w:r>
    </w:p>
    <w:p>
      <w:pPr>
        <w:widowControl/>
      </w:pPr>
      <w:r>
        <w:t>Successful full-export searches establish the recorded exact matches and absences, even though a raw-byte copy was unavailable. No new live registry check is required to decide the current baseline in this research. The unresolved questions concern technical applicability, reasons for absence and any pending proposals—not whether the supplied baseline is authoritative.</w:t>
      </w:r>
    </w:p>
    <w:p>
      <w:pPr>
        <w:pStyle w:val="Heading3"/>
        <w:keepNext/>
        <w:widowControl/>
      </w:pPr>
      <w:r>
        <w:t>Intended use, specialization, and conformance boundary</w:t>
      </w:r>
    </w:p>
    <w:p>
      <w:pPr>
        <w:widowControl/>
      </w:pPr>
      <w:r>
        <w:t>The export supports selection and review of standards through authoritative baseline records, not implementation of their technical requirements. Its exact identifier, edition, DoD status, IC status and review-area distinctions remain intact. Any procedural consequence for a proposed implementation must be assessed separately without converting that applicability review into doubt about the baseline (“StandardsReport” 2026; Department of Defense 2023).</w:t>
      </w:r>
    </w:p>
    <w:p>
      <w:pPr>
        <w:pStyle w:val="Heading3"/>
        <w:keepNext/>
        <w:widowControl/>
      </w:pPr>
      <w:r>
        <w:t>Proposed implementation and conformance claim</w:t>
      </w:r>
    </w:p>
    <w:p>
      <w:pPr>
        <w:widowControl/>
      </w:pPr>
      <w:r>
        <w:t>The export is the authoritative, complete current DISR baseline for this investigation under Sam’s direction. It is evidence about adoption, not a technical implementation target. Exact records and adequately checked absences are stated directly; historical rejection, pending changes and technical suitability remain separate matters that the baseline does not by itself explain (“StandardsReport” 2026; Bolling 2026, research direction).</w:t>
      </w:r>
    </w:p>
    <w:p>
      <w:pPr>
        <w:pStyle w:val="Heading3"/>
        <w:keepNext/>
        <w:widowControl/>
      </w:pPr>
      <w:r>
        <w:t>DISR standing, implications, and recommended action</w:t>
      </w:r>
    </w:p>
    <w:p>
      <w:pPr>
        <w:widowControl/>
      </w:pPr>
      <w:r>
        <w:t>This export is the authoritative, complete current DISR baseline for the investigation, not an adoption candidate within itself. Preserve each exact identifier, edition, DoD status and IC status, and distinguish baseline standing from technical suitability. Recommend no request for the export; use it to justify specific future actions only when a real implementation need warrants them (Bolling 2026).</w:t>
      </w:r>
    </w:p>
    <w:p>
      <w:pPr>
        <w:pStyle w:val="Heading3"/>
        <w:keepNext/>
        <w:widowControl/>
      </w:pPr>
      <w:r>
        <w:t>NATO standing, implications, and recommended action</w:t>
      </w:r>
    </w:p>
    <w:p>
      <w:pPr>
        <w:widowControl/>
      </w:pPr>
      <w:r>
        <w:t>The export is not a NATO adoption registry and cannot establish NATO mandate, ratification, or national implementation. A STANAG entry in DISR records U.S. adoption status, which still requires its own NATO publication and profile evidence. Recommend no NATO request for the export; keep parallel status records and reconcile the exact technical editions without assuming the two systems automatically mirror one another (NATO Standardization Office 2026; North Atlantic Treaty Organization 2023, chap. 5).</w:t>
      </w:r>
    </w:p>
    <w:p>
      <w:pPr>
        <w:pStyle w:val="Heading1"/>
        <w:keepNext/>
        <w:pageBreakBefore w:val="0"/>
        <w:widowControl/>
      </w:pPr>
      <w:r>
        <w:t>VII. Conformance and governance evidence</w:t>
      </w:r>
    </w:p>
    <w:p>
      <w:pPr>
        <w:widowControl/>
      </w:pPr>
      <w:r>
        <w:t>These sources preserve the methodological and adoption context for the substantive model comparison. They do not create additional runtime candidates or a separate compliance workstream. Exact source authority and prior inspection limits remain visible.</w:t>
      </w:r>
    </w:p>
    <w:p>
      <w:pPr>
        <w:pStyle w:val="Heading2"/>
        <w:keepNext/>
        <w:pageBreakBefore w:val="0"/>
        <w:widowControl/>
      </w:pPr>
      <w:r>
        <w:t>S27  |  MIM World: official model recovery portal</w:t>
      </w:r>
    </w:p>
    <w:p>
      <w:pPr>
        <w:pStyle w:val="Reference"/>
        <w:keepNext/>
        <w:widowControl/>
      </w:pPr>
      <w:r>
        <w:t>Multilateral Interoperability Programme. n.d. Welcome to MIM World!. Official web publication. Accessed October 12, 2026. https://www.mimworld.org/portal/projects/welcome/wiki/Welcome</w:t>
      </w:r>
    </w:p>
    <w:p>
      <w:pPr>
        <w:pStyle w:val="Metadata"/>
        <w:keepNext/>
        <w:widowControl/>
      </w:pPr>
      <w:r>
        <w:t>INSPECTION  Portal-level record retained from v0.1; no current model-package audit • Evidence: official retrieval lead</w:t>
      </w:r>
    </w:p>
    <w:p>
      <w:pPr>
        <w:pStyle w:val="Heading3"/>
        <w:keepNext/>
        <w:widowControl/>
      </w:pPr>
      <w:r>
        <w:t>Purpose, scope, and original problem</w:t>
      </w:r>
    </w:p>
    <w:p>
      <w:pPr>
        <w:widowControl/>
      </w:pPr>
      <w:r>
        <w:t>The landing page identifies a model, documentation, browsing services, and tools, and distinguishes access to MIP information-exchange material. Only that portal-level information was inspected. It is a retrieval lead, not evidence that a particular current MIM release, tool, license, or exchange specification has been reviewed (Multilateral Interoperability Programme n.d.).</w:t>
      </w:r>
    </w:p>
    <w:p>
      <w:pPr>
        <w:pStyle w:val="Heading3"/>
        <w:keepNext/>
        <w:widowControl/>
      </w:pPr>
      <w:r>
        <w:t>Relevant concepts and mechanisms</w:t>
      </w:r>
    </w:p>
    <w:p>
      <w:pPr>
        <w:widowControl/>
      </w:pPr>
      <w:r>
        <w:t>The portal points to model descriptions and associated tooling rather than providing all of their content on the landing page. A selected release and its technical documentation are the actual evidence targets. The browser or download link should therefore be recorded as a recovery mechanism, not a model element or conformance test (Multilateral Interoperability Programme n.d.).</w:t>
      </w:r>
    </w:p>
    <w:p>
      <w:pPr>
        <w:pStyle w:val="Heading3"/>
        <w:keepNext/>
        <w:widowControl/>
      </w:pPr>
      <w:r>
        <w:t>Relevance to MERLIN and the research question</w:t>
      </w:r>
    </w:p>
    <w:p>
      <w:pPr>
        <w:widowControl/>
      </w:pPr>
      <w:r>
        <w:t>MIM remains potentially relevant to an actual military organization, role, or mission relationship. The portal does not establish that those facts are present in the vendor evidence or that MIM is needed to represent them. Retrieve the exact package only when such a relationship supplies a concrete test case.</w:t>
      </w:r>
    </w:p>
    <w:p>
      <w:pPr>
        <w:pStyle w:val="Heading3"/>
        <w:keepNext/>
        <w:widowControl/>
      </w:pPr>
      <w:r>
        <w:t>Relationship to OGC and other candidate work</w:t>
      </w:r>
    </w:p>
    <w:p>
      <w:pPr>
        <w:widowControl/>
      </w:pPr>
      <w:r>
        <w:t>The 2016 MIM paper supplies a historical approach, the vendor page supplies implementation context, and the portal supplies a route to authoritative artifacts. They should not be counted as three independent proofs of one current model’s correctness. The relationship to CSAPI remains a proposed concept-level comparison rather than an established exchange mapping.</w:t>
      </w:r>
    </w:p>
    <w:p>
      <w:pPr>
        <w:pStyle w:val="Heading3"/>
        <w:keepNext/>
        <w:widowControl/>
      </w:pPr>
      <w:r>
        <w:t>Implementation, openness, limits, and next question</w:t>
      </w:r>
    </w:p>
    <w:p>
      <w:pPr>
        <w:widowControl/>
      </w:pPr>
      <w:r>
        <w:t>A landing page does not prove a tool’s present capabilities, a license grant for model redistribution, or current model adoption. Those questions remain attached to the selected downloadable release. The next task is to identify that release and its intended tailoring/conformance instructions before making a mapping or governance claim.</w:t>
      </w:r>
    </w:p>
    <w:p>
      <w:pPr>
        <w:pStyle w:val="Heading3"/>
        <w:keepNext/>
        <w:widowControl/>
      </w:pPr>
      <w:r>
        <w:t>Intended use, specialization, and conformance boundary</w:t>
      </w:r>
    </w:p>
    <w:p>
      <w:pPr>
        <w:widowControl/>
      </w:pPr>
      <w:r>
        <w:t>The MIM World landing page is an official navigation point for a model, documentation, browsing services, and tools. Its intended role is to help the MIP/MIM community reach those resources, not replace the selected release’s technical rules. Until the exact model package and tailoring documentation are inspected, the portal cannot establish a permitted transformation, current edition, license, or conformance claim for MERLIN (Multilateral Interoperability Programme n.d.).</w:t>
      </w:r>
    </w:p>
    <w:p>
      <w:pPr>
        <w:pStyle w:val="Heading3"/>
        <w:keepNext/>
        <w:widowControl/>
      </w:pPr>
      <w:r>
        <w:t>Proposed implementation and conformance claim</w:t>
      </w:r>
    </w:p>
    <w:p>
      <w:pPr>
        <w:widowControl/>
      </w:pPr>
      <w:r>
        <w:t>The official portal improves provenance but does not substitute for reading a selected release. A native MIM proposal must identify the actual model package and its assessment obligations. No implementation claim follows from the portal’s existence or from retaining its terminology in an OGC example (Multilateral Interoperability Programme n.d.).</w:t>
      </w:r>
    </w:p>
    <w:p>
      <w:pPr>
        <w:pStyle w:val="Heading3"/>
        <w:keepNext/>
        <w:widowControl/>
      </w:pPr>
      <w:r>
        <w:t>DISR standing, implications, and recommended action</w:t>
      </w:r>
    </w:p>
    <w:p>
      <w:pPr>
        <w:widowControl/>
      </w:pPr>
      <w:r>
        <w:t>The official MIM portal is a retrieval source, not the model release proposed for implementation. The authoritative baseline includes the separate STANAG 5525 / JC3IEDM record, which cannot be transferred to an uninspected MIM release. Recommend no portal-level request; recover the exact normative package before deciding on any model action (S25).</w:t>
      </w:r>
    </w:p>
    <w:p>
      <w:pPr>
        <w:pStyle w:val="Heading3"/>
        <w:keepNext/>
        <w:widowControl/>
      </w:pPr>
      <w:r>
        <w:t>NATO standing, implications, and recommended action</w:t>
      </w:r>
    </w:p>
    <w:p>
      <w:pPr>
        <w:widowControl/>
      </w:pPr>
      <w:r>
        <w:t>No current NATO adoption of a specific MIM release was established by viewing the portal. The historical NISP JC3IEDM record identifies a different, explicit standard and several service-profile uses. Recommend authoritative release and applicability recovery before a NATO model/profile action, and no request to adopt the landing page itself (“Joint C3 Information Exchange Data Model” n.d.).</w:t>
      </w:r>
    </w:p>
    <w:p>
      <w:pPr>
        <w:pStyle w:val="Heading2"/>
        <w:keepNext/>
        <w:pageBreakBefore w:val="0"/>
        <w:widowControl/>
      </w:pPr>
      <w:r>
        <w:t>S28  |  OGC ModSpec: disciplined profiles and extensions</w:t>
      </w:r>
    </w:p>
    <w:p>
      <w:pPr>
        <w:pStyle w:val="Reference"/>
        <w:keepNext/>
        <w:widowControl/>
      </w:pPr>
      <w:r>
        <w:t xml:space="preserve">Open Geospatial Consortium. 2009b. </w:t>
      </w:r>
      <w:r>
        <w:rPr>
          <w:i/>
        </w:rPr>
        <w:t>The Specification Model—A Standard for Modular Specifications</w:t>
      </w:r>
      <w:r>
        <w:t>. 1.0.0; OGC 08-131r3. https://docs.ogc.org/pol/08-131r3/08-131r3.pdf</w:t>
      </w:r>
    </w:p>
    <w:p>
      <w:pPr>
        <w:pStyle w:val="Metadata"/>
        <w:keepNext/>
        <w:widowControl/>
      </w:pPr>
      <w:r>
        <w:t>INSPECTION  §4.16; §§6.4–6.5; requirements 12,18,19,23–26 • Normative policy standard—selected clauses • 12 October 2026</w:t>
      </w:r>
    </w:p>
    <w:p>
      <w:pPr>
        <w:pStyle w:val="Heading3"/>
        <w:keepNext/>
        <w:widowControl/>
      </w:pPr>
      <w:r>
        <w:t>Purpose, scope, and original problem</w:t>
      </w:r>
    </w:p>
    <w:p>
      <w:pPr>
        <w:widowControl/>
      </w:pPr>
      <w:r>
        <w:t>ModSpec addresses standards authors and conformance-test designers rather than end-user sensor operations. It organizes specifications into testable requirement and conformance classes and provides rules for their dependencies. SensorML 3.0 explicitly requires its extensions to conform to this specification, making it directly relevant to the user’s question rather than an unrelated methodology (Open Geospatial Consortium 2009b, §§1–2, 6; 2025c, §2).</w:t>
      </w:r>
    </w:p>
    <w:p>
      <w:pPr>
        <w:pStyle w:val="Heading3"/>
        <w:keepNext/>
        <w:widowControl/>
      </w:pPr>
      <w:r>
        <w:t>Relevant concepts and mechanisms</w:t>
      </w:r>
    </w:p>
    <w:p>
      <w:pPr>
        <w:widowControl/>
      </w:pPr>
      <w:r>
        <w:t>The profile definition refers to base standards and selected conforming classes, subsets, options, and parameters. The dependency rules preserve the tests required by those classes, and the extension rules constrain redefinition of inherited requirements. This supplies a concrete distinction between a legitimate specialization and a document that simply changes the parent standard’s meaning (Open Geospatial Consortium 2009b, §§4.16, 6.5).</w:t>
      </w:r>
    </w:p>
    <w:p>
      <w:pPr>
        <w:pStyle w:val="Heading3"/>
        <w:keepNext/>
        <w:widowControl/>
      </w:pPr>
      <w:r>
        <w:t>Relevance to MERLIN and the research question</w:t>
      </w:r>
    </w:p>
    <w:p>
      <w:pPr>
        <w:widowControl/>
      </w:pPr>
      <w:r>
        <w:t>Use ModSpec to state what the candidate agreement claims to conform to and how that claim will be tested. A content agreement that only chooses existing definitions may need less machinery than a new model or encoding extension. Our recommendation is to classify the proposed artifact first and then apply only the rules relevant to that artifact, rather than call every mapping a profile.</w:t>
      </w:r>
    </w:p>
    <w:p>
      <w:pPr>
        <w:pStyle w:val="Heading3"/>
        <w:keepNext/>
        <w:widowControl/>
      </w:pPr>
      <w:r>
        <w:t>Relationship to OGC and other candidate work</w:t>
      </w:r>
    </w:p>
    <w:p>
      <w:pPr>
        <w:widowControl/>
      </w:pPr>
      <w:r>
        <w:t>SensorML supplies the process model and encoding; ModSpec supplies requirements for organizing a conformant specification or extension. It does not prove equivalence between a donor model and an OGC target. A CSAPI binding that borrows a donor’s semantics should not be called a conformant profile of that donor when the donor’s own target and obligations are not met.</w:t>
      </w:r>
    </w:p>
    <w:p>
      <w:pPr>
        <w:pStyle w:val="Heading3"/>
        <w:keepNext/>
        <w:widowControl/>
      </w:pPr>
      <w:r>
        <w:t>Implementation, openness, limits, and next question</w:t>
      </w:r>
    </w:p>
    <w:p>
      <w:pPr>
        <w:widowControl/>
      </w:pPr>
      <w:r>
        <w:t>This source sets relevant specification-authoring boundaries. It does not select a domain model or require the landscape review to become a conformance exercise. Retain it as supporting method when a concrete profile or extension is proposed, while the current decision is which content is useful enough to standardize.</w:t>
      </w:r>
    </w:p>
    <w:p>
      <w:pPr>
        <w:pStyle w:val="Heading3"/>
        <w:keepNext/>
        <w:widowControl/>
      </w:pPr>
      <w:r>
        <w:t>Intended use, specialization, and conformance boundary</w:t>
      </w:r>
    </w:p>
    <w:p>
      <w:pPr>
        <w:widowControl/>
      </w:pPr>
      <w:r>
        <w:t>A valid profile chooses a conforming set of obligations rather than redefining the parent to fit a desired result. ModSpec specifies complete conformance classes and their dependencies and permits extensions subject to its modularity rules. MERLIN should use this structure for any formal OGC extension and label a donor-model translation separately when it does not preserve that donor’s native conformance target (Open Geospatial Consortium 2009b, §§4.16, 6.5).</w:t>
      </w:r>
    </w:p>
    <w:p>
      <w:pPr>
        <w:pStyle w:val="Heading3"/>
        <w:keepNext/>
        <w:widowControl/>
      </w:pPr>
      <w:r>
        <w:t>Proposed implementation and conformance claim</w:t>
      </w:r>
    </w:p>
    <w:p>
      <w:pPr>
        <w:widowControl/>
      </w:pPr>
      <w:r>
        <w:t>ModSpec’s relevant target is a specification we might author, not a sensor instance. A proposed profile or extension must identify its base contracts, additional requirements, dependencies and corresponding conformance organization. Such an authoring assessment would not establish that a MERLIN server implements the resulting specification; that requires separate implementation tests (Open Geospatial Consortium 2009b, §4.16, §§6.4–6.5).</w:t>
      </w:r>
    </w:p>
    <w:p>
      <w:pPr>
        <w:pStyle w:val="Heading3"/>
        <w:keepNext/>
        <w:widowControl/>
      </w:pPr>
      <w:r>
        <w:t>DISR standing, implications, and recommended action</w:t>
      </w:r>
    </w:p>
    <w:p>
      <w:pPr>
        <w:widowControl/>
      </w:pPr>
      <w:r>
        <w:t>OGC 08-131r3 (ModSpec) is absent from the authoritative current DISR baseline; no separate DoD or IC adoption status is listed. No addition is recommended solely for this specification-authoring role. A future profile must still satisfy its applicable OGC authoring obligations. (S25; “StandardsReport” 2026; this study’s assessment.)</w:t>
      </w:r>
    </w:p>
    <w:p>
      <w:pPr>
        <w:pStyle w:val="Heading3"/>
        <w:keepNext/>
        <w:widowControl/>
      </w:pPr>
      <w:r>
        <w:t>NATO standing, implications, and recommended action</w:t>
      </w:r>
    </w:p>
    <w:p>
      <w:pPr>
        <w:widowControl/>
      </w:pPr>
      <w:r>
        <w:t>No independent NATO adoption of this exact OGC policy standard is established. Its technical relevance follows from SensorML’s conformance reference, while NATO’s own profile and approval rules remain distinct. Recommend no separate NATO adoption request now; identify the methodological dependency in any proposed OGC/NATO profile and reconcile it with the applicable NISP guidance (North Atlantic Treaty Organization 2023, appendix A).</w:t>
      </w:r>
    </w:p>
    <w:p>
      <w:pPr>
        <w:pStyle w:val="Heading2"/>
        <w:keepNext/>
        <w:pageBreakBefore w:val="0"/>
        <w:widowControl/>
      </w:pPr>
      <w:r>
        <w:t>S29  |  DISR public guidance: status interpretation</w:t>
      </w:r>
    </w:p>
    <w:p>
      <w:pPr>
        <w:pStyle w:val="Reference"/>
        <w:keepNext/>
        <w:widowControl/>
      </w:pPr>
      <w:r>
        <w:t>Defense Logistics Agency. n.d. DoD Information Technology Standards Registry (DISR). Defense Standardization Program public guidance. Accessed October 12, 2026. https://www.dsp.dla.mil/specs-standards/list-of-disr-documents/</w:t>
      </w:r>
    </w:p>
    <w:p>
      <w:pPr>
        <w:pStyle w:val="Metadata"/>
        <w:keepNext/>
        <w:widowControl/>
      </w:pPr>
      <w:r>
        <w:t>INSPECTION  Indexed status definitions; full page returned 403 • Official public guidance—search-index excerpts only • 12 October 2026</w:t>
      </w:r>
    </w:p>
    <w:p>
      <w:pPr>
        <w:pStyle w:val="Heading3"/>
        <w:keepNext/>
        <w:widowControl/>
      </w:pPr>
      <w:r>
        <w:t>Purpose, scope, and original problem</w:t>
      </w:r>
    </w:p>
    <w:p>
      <w:pPr>
        <w:widowControl/>
      </w:pPr>
      <w:r>
        <w:t>This public guidance explains the registry and its categories to defense standards users. The inspected search-index excerpts distinguish mandated use from emerging status and identify additional information/guidance document types. The complete page was not retrievable, so this entry deliberately does not reconstruct procedures or exceptions beyond the excerpted information (Defense Logistics Agency n.d.).</w:t>
      </w:r>
    </w:p>
    <w:p>
      <w:pPr>
        <w:pStyle w:val="Heading3"/>
        <w:keepNext/>
        <w:widowControl/>
      </w:pPr>
      <w:r>
        <w:t>Relevant concepts and mechanisms</w:t>
      </w:r>
    </w:p>
    <w:p>
      <w:pPr>
        <w:widowControl/>
      </w:pPr>
      <w:r>
        <w:t>The indexed description gives mandated standards precedence over competing or similar standards and says an emerging standard must not replace a mandated standard merely because it is available. That distinction prevents “listed” from being used as a synonym for “mandated.” It does not resolve a particular acquisition’s applicable scope, exception, waiver, or transition decision (Defense Logistics Agency n.d.).</w:t>
      </w:r>
    </w:p>
    <w:p>
      <w:pPr>
        <w:pStyle w:val="Heading3"/>
        <w:keepNext/>
        <w:widowControl/>
      </w:pPr>
      <w:r>
        <w:t>Relevance to MERLIN and the research question</w:t>
      </w:r>
    </w:p>
    <w:p>
      <w:pPr>
        <w:widowControl/>
      </w:pPr>
      <w:r>
        <w:t>The four core OGC records are already Emerging in the authoritative current baseline. Therefore our immediate governance task is to reconcile applicable requirements and existing status-transition work, not submit redundant additions. This is a research recommendation, not an approval to replace older mandated interfaces.</w:t>
      </w:r>
    </w:p>
    <w:p>
      <w:pPr>
        <w:pStyle w:val="Heading3"/>
        <w:keepNext/>
        <w:widowControl/>
      </w:pPr>
      <w:r>
        <w:t>Relationship to OGC and other candidate work</w:t>
      </w:r>
    </w:p>
    <w:p>
      <w:pPr>
        <w:widowControl/>
      </w:pPr>
      <w:r>
        <w:t>The guidance explains how to interpret the export, while the export supplies exact-edition status evidence. The governing instruction and current JESC procedures remain necessary for a formal implementation or change decision. Neither a helpful domain definition nor an open license automatically resolves that adoption question.</w:t>
      </w:r>
    </w:p>
    <w:p>
      <w:pPr>
        <w:pStyle w:val="Heading3"/>
        <w:keepNext/>
        <w:widowControl/>
      </w:pPr>
      <w:r>
        <w:t>Implementation, openness, limits, and next question</w:t>
      </w:r>
    </w:p>
    <w:p>
      <w:pPr>
        <w:widowControl/>
      </w:pPr>
      <w:r>
        <w:t>Official search-index excerpts were inspected because full-page access failed. The governing procedural clauses remain a targeted recovery need only when a specific submission is justified; that limitation does not weaken the supplied baseline. No waiver, authorization or precise submission procedure is inferred from the short excerpt (Defense Logistics Agency n.d.; Department of Defense 2023).</w:t>
      </w:r>
    </w:p>
    <w:p>
      <w:pPr>
        <w:pStyle w:val="Heading3"/>
        <w:keepNext/>
        <w:widowControl/>
      </w:pPr>
      <w:r>
        <w:t>Intended use, specialization, and conformance boundary</w:t>
      </w:r>
    </w:p>
    <w:p>
      <w:pPr>
        <w:widowControl/>
      </w:pPr>
      <w:r>
        <w:t>Use the guidance to interpret categories, not as a substitute for the governing policy or a specific standards record. Its distinction between a standard and information/guidance also matters when selecting what a change request should propose. No technical implementation conformance is claimed by citing this explanatory web page (Defense Logistics Agency n.d.).</w:t>
      </w:r>
    </w:p>
    <w:p>
      <w:pPr>
        <w:pStyle w:val="Heading3"/>
        <w:keepNext/>
        <w:widowControl/>
      </w:pPr>
      <w:r>
        <w:t>Proposed implementation and conformance claim</w:t>
      </w:r>
    </w:p>
    <w:p>
      <w:pPr>
        <w:widowControl/>
      </w:pPr>
      <w:r>
        <w:t>The DLA guidance page is not a technical implementation standard. It helps frame the relationship between registry status and a proposed selection, while the supplied export establishes the baseline itself. A formal action must use the applicable procedure and an exact implementation need, not a conformance claim attached to this webpage (Defense Logistics Agency n.d.).</w:t>
      </w:r>
    </w:p>
    <w:p>
      <w:pPr>
        <w:pStyle w:val="Heading3"/>
        <w:keepNext/>
        <w:widowControl/>
      </w:pPr>
      <w:r>
        <w:t>DISR standing, implications, and recommended action</w:t>
      </w:r>
    </w:p>
    <w:p>
      <w:pPr>
        <w:widowControl/>
      </w:pPr>
      <w:r>
        <w:t>The DLA webpage is explanatory guidance about DISR, not the technical standard selected for implementation. It does not supersede the supplied authoritative baseline or create adoption status for an absent candidate. Recommend no request for the webpage; use the applicable procedure for an exact justified standards action (S25).</w:t>
      </w:r>
    </w:p>
    <w:p>
      <w:pPr>
        <w:pStyle w:val="Heading3"/>
        <w:keepNext/>
        <w:widowControl/>
      </w:pPr>
      <w:r>
        <w:t>NATO standing, implications, and recommended action</w:t>
      </w:r>
    </w:p>
    <w:p>
      <w:pPr>
        <w:widowControl/>
      </w:pPr>
      <w:r>
        <w:t>This is U.S. guidance and supplies no NATO adoption or national ratification evidence. Its categories should not be mechanically mapped to NISP agreed/candidate or STANAG draft/promulgated states. Recommend no NATO request for the page; maintain the separate evidence systems and compare exact technical obligations instead (North Atlantic Treaty Organization 2023).</w:t>
      </w:r>
    </w:p>
    <w:p>
      <w:pPr>
        <w:pStyle w:val="Heading2"/>
        <w:keepNext/>
        <w:pageBreakBefore w:val="0"/>
        <w:widowControl/>
      </w:pPr>
      <w:r>
        <w:t>S30  |  DoDI 8310.01: governing policy recovery boundary</w:t>
      </w:r>
    </w:p>
    <w:p>
      <w:pPr>
        <w:pStyle w:val="Reference"/>
        <w:keepNext/>
        <w:widowControl/>
      </w:pPr>
      <w:r>
        <w:t xml:space="preserve">Department of Defense. 2023. </w:t>
      </w:r>
      <w:r>
        <w:rPr>
          <w:i/>
        </w:rPr>
        <w:t>Information Technology Standards in the DoD</w:t>
      </w:r>
      <w:r>
        <w:t>. DoD Instruction 8310.01, April 7. https://www.esd.whs.mil/portals/54/documents/dd/issuances/dodi/831001p.pdf</w:t>
      </w:r>
    </w:p>
    <w:p>
      <w:pPr>
        <w:pStyle w:val="Metadata"/>
        <w:keepNext/>
        <w:widowControl/>
      </w:pPr>
      <w:r>
        <w:t>INSPECTION  Official issuance index and search metadata; PDF access 403 • Official issuance identified—full text not recovered • 12 October 2026</w:t>
      </w:r>
    </w:p>
    <w:p>
      <w:pPr>
        <w:pStyle w:val="Heading3"/>
        <w:keepNext/>
        <w:widowControl/>
      </w:pPr>
      <w:r>
        <w:t>Purpose, scope, and original problem</w:t>
      </w:r>
    </w:p>
    <w:p>
      <w:pPr>
        <w:widowControl/>
      </w:pPr>
      <w:r>
        <w:t>The official issuance index identifies the April 7, 2023 instruction for information-technology standards. It is the policy source to recover for applicability, responsibilities, and formal standards-governance decisions. Because the PDF could not be opened in this revision, this annotation does not supply invented paragraph-level requirements (Department of Defense 2023).</w:t>
      </w:r>
    </w:p>
    <w:p>
      <w:pPr>
        <w:pStyle w:val="Heading3"/>
        <w:keepNext/>
        <w:widowControl/>
      </w:pPr>
      <w:r>
        <w:t>Relevant concepts and mechanisms</w:t>
      </w:r>
    </w:p>
    <w:p>
      <w:pPr>
        <w:widowControl/>
      </w:pPr>
      <w:r>
        <w:t>The document identity and official publication date were verified at the index level. Detailed current criteria, submission procedures, exceptions, and authority assignments were not freshly inspected. Those remain a specific evidence gap rather than being filled with a superseded instruction or a third-party summary.</w:t>
      </w:r>
    </w:p>
    <w:p>
      <w:pPr>
        <w:pStyle w:val="Heading3"/>
        <w:keepNext/>
        <w:widowControl/>
      </w:pPr>
      <w:r>
        <w:t>Relevance to MERLIN and the research question</w:t>
      </w:r>
    </w:p>
    <w:p>
      <w:pPr>
        <w:widowControl/>
      </w:pPr>
      <w:r>
        <w:t>A proposed use of an external information model may be a reference, a normative content dependency, or a deployed interface. We need the governing policy applied to the actual selected case, not a blanket assumption that conceptual reuse is exempt. Recommend obtaining the instruction and applicable JESC procedure before converting this bibliography’s conditional actions into a submission package.</w:t>
      </w:r>
    </w:p>
    <w:p>
      <w:pPr>
        <w:pStyle w:val="Heading3"/>
        <w:keepNext/>
        <w:widowControl/>
      </w:pPr>
      <w:r>
        <w:t>Relationship to OGC and other candidate work</w:t>
      </w:r>
    </w:p>
    <w:p>
      <w:pPr>
        <w:widowControl/>
      </w:pPr>
      <w:r>
        <w:t>This policy governs the adoption decision; it does not redefine SensorML, OPC UA, or other standards’ technical conformance. Its role is distinct from the exact status rows in S25 and the public explanation in S29. Both technical validity and applicable policy authorization must be established separately.</w:t>
      </w:r>
    </w:p>
    <w:p>
      <w:pPr>
        <w:pStyle w:val="Heading3"/>
        <w:keepNext/>
        <w:widowControl/>
      </w:pPr>
      <w:r>
        <w:t>Implementation, openness, limits, and next question</w:t>
      </w:r>
    </w:p>
    <w:p>
      <w:pPr>
        <w:widowControl/>
      </w:pPr>
      <w:r>
        <w:t>Access restrictions prevented a fresh full-text policy audit. The citation is retained because it is the authoritative recovery target, not because all its current clauses were verified. No legal conclusion about a waiver or compulsory implementation follows from this limited inspection.</w:t>
      </w:r>
    </w:p>
    <w:p>
      <w:pPr>
        <w:pStyle w:val="Heading3"/>
        <w:keepNext/>
        <w:widowControl/>
      </w:pPr>
      <w:r>
        <w:t>Intended use, specialization, and conformance boundary</w:t>
      </w:r>
    </w:p>
    <w:p>
      <w:pPr>
        <w:widowControl/>
      </w:pPr>
      <w:r>
        <w:t>Use the instruction as the governing policy after obtaining its applicable text, not as an implied technical profile. This revision verifies only its official identity and metadata. Any paragraph-level statement about exceptions, approval authority, or current procedure must await the actual source rather than be inferred from its title (Department of Defense 2023).</w:t>
      </w:r>
    </w:p>
    <w:p>
      <w:pPr>
        <w:pStyle w:val="Heading3"/>
        <w:keepNext/>
        <w:widowControl/>
      </w:pPr>
      <w:r>
        <w:t>Proposed implementation and conformance claim</w:t>
      </w:r>
    </w:p>
    <w:p>
      <w:pPr>
        <w:widowControl/>
      </w:pPr>
      <w:r>
        <w:t>The instruction governs standards-related responsibilities rather than defining a SensorML or donor-model implementation. Its procedural applicability must be evaluated for a concrete proposed action; the incomplete full-text inspection does not invalidate the supplied DISR baseline. No technical conformance or authorization claim is inferred from the instruction’s title or public summary (Department of Defense 2023).</w:t>
      </w:r>
    </w:p>
    <w:p>
      <w:pPr>
        <w:pStyle w:val="Heading3"/>
        <w:keepNext/>
        <w:widowControl/>
      </w:pPr>
      <w:r>
        <w:t>DISR standing, implications, and recommended action</w:t>
      </w:r>
    </w:p>
    <w:p>
      <w:pPr>
        <w:widowControl/>
      </w:pPr>
      <w:r>
        <w:t>This instruction is a policy source, not a sensor-model implementation candidate in this assessment. Its procedural role should not be confused with a technical standard’s DoD/IC baseline status. Recommend no request for the policy document; obtain the applicable procedural text only for a concrete proposed standards action, without reopening the established baseline (S25).</w:t>
      </w:r>
    </w:p>
    <w:p>
      <w:pPr>
        <w:pStyle w:val="Heading3"/>
        <w:keepNext/>
        <w:widowControl/>
      </w:pPr>
      <w:r>
        <w:t>NATO standing, implications, and recommended action</w:t>
      </w:r>
    </w:p>
    <w:p>
      <w:pPr>
        <w:widowControl/>
      </w:pPr>
      <w:r>
        <w:t>A U.S. instruction does not establish NATO adoption, ratification, or coalition conformance. It can affect the U.S. side of implementing an Alliance agreement while leaving the NATO decision separate. Recommend no NATO adoption request for the instruction; verify both obligations for any chosen technical profile.</w:t>
      </w:r>
    </w:p>
    <w:p>
      <w:pPr>
        <w:pStyle w:val="Heading2"/>
        <w:keepNext/>
        <w:pageBreakBefore w:val="0"/>
        <w:widowControl/>
      </w:pPr>
      <w:r>
        <w:t>S31  |  NISP 15 Volume 1: community profile and change rules</w:t>
      </w:r>
    </w:p>
    <w:p>
      <w:pPr>
        <w:pStyle w:val="Reference"/>
        <w:keepNext/>
        <w:widowControl/>
      </w:pPr>
      <w:r>
        <w:t xml:space="preserve">North Atlantic Treaty Organization. 2023. </w:t>
      </w:r>
      <w:r>
        <w:rPr>
          <w:i/>
        </w:rPr>
        <w:t>NATO Interoperability Standards and Profiles</w:t>
      </w:r>
      <w:r>
        <w:t>. Volume 1: Introduction and Management. NISP 15; ADatP-34 EditionN Version2. https://archive.nisp.nw3.dk/nisp-15.0/volume1/ch01.html</w:t>
      </w:r>
    </w:p>
    <w:p>
      <w:pPr>
        <w:pStyle w:val="Metadata"/>
        <w:keepNext/>
        <w:widowControl/>
      </w:pPr>
      <w:r>
        <w:t>INSPECTION  Chapter 1; Chapter 5¶¶41–55; Appendix A¶¶65–67 • Historical official NATO publication—selected clauses • 12 October 2026</w:t>
      </w:r>
    </w:p>
    <w:p>
      <w:pPr>
        <w:pStyle w:val="Heading3"/>
        <w:keepNext/>
        <w:widowControl/>
      </w:pPr>
      <w:r>
        <w:t>Purpose, scope, and original problem</w:t>
      </w:r>
    </w:p>
    <w:p>
      <w:pPr>
        <w:widowControl/>
      </w:pPr>
      <w:r>
        <w:t>NISP’s intended readers include the communities planning, procuring, implementing, and testing interoperable capabilities. The archived edition distinguishes agreed and candidate material and defines a process for maintaining profiles and standards. It is authoritative evidence of that edition’s approach, not proof that the public snapshot is the complete current 2026 baseline (North Atlantic Treaty Organization 2023, chap. 1 and introduction).</w:t>
      </w:r>
    </w:p>
    <w:p>
      <w:pPr>
        <w:pStyle w:val="Heading3"/>
        <w:keepNext/>
        <w:widowControl/>
      </w:pPr>
      <w:r>
        <w:t>Relevant concepts and mechanisms</w:t>
      </w:r>
    </w:p>
    <w:p>
      <w:pPr>
        <w:widowControl/>
      </w:pPr>
      <w:r>
        <w:t>Appendix A describes profiles as selections from base standards and permits reference to national and non-NATO profiles. Chapter 5 identifies responsible parties, requires supporting information for requests, and considers interoperability, implementations, maturity, testability, and legitimacy. Non-NATO standards can therefore enter an appropriate NATO profile without each requiring a newly invented NATO technical specification (North Atlantic Treaty Organization 2023, appendix A and chap. 5).</w:t>
      </w:r>
    </w:p>
    <w:p>
      <w:pPr>
        <w:pStyle w:val="Heading3"/>
        <w:keepNext/>
        <w:widowControl/>
      </w:pPr>
      <w:r>
        <w:t>Relevance to MERLIN and the research question</w:t>
      </w:r>
    </w:p>
    <w:p>
      <w:pPr>
        <w:widowControl/>
      </w:pPr>
      <w:r>
        <w:t>A defensible proposal should identify the capability and service/profile location, exact edition, responsible community, and testable interoperability benefit. The research should first determine whether an existing profile needs a corrected reference or additional content. A new STANAG is not the default response to every useful external vocabulary.</w:t>
      </w:r>
    </w:p>
    <w:p>
      <w:pPr>
        <w:pStyle w:val="Heading3"/>
        <w:keepNext/>
        <w:widowControl/>
      </w:pPr>
      <w:r>
        <w:t>Relationship to OGC and other candidate work</w:t>
      </w:r>
    </w:p>
    <w:p>
      <w:pPr>
        <w:widowControl/>
      </w:pPr>
      <w:r>
        <w:t>A NISP profile, a STANAG adoption agreement, an Allied Publication, and a national implementation decision are different artifacts. The existing 4789 ratification route is directly relevant to the sensor framework, while another service profile may own a network-management dependency. A cross-domain proposal must identify that relationship rather than collapse all NATO evidence into a single status.</w:t>
      </w:r>
    </w:p>
    <w:p>
      <w:pPr>
        <w:pStyle w:val="Heading3"/>
        <w:keepNext/>
        <w:widowControl/>
      </w:pPr>
      <w:r>
        <w:t>Implementation, openness, limits, and next question</w:t>
      </w:r>
    </w:p>
    <w:p>
      <w:pPr>
        <w:widowControl/>
      </w:pPr>
      <w:r>
        <w:t>The examined version is NISP 15/2023, and live public pages display draft or older update information. Current contacts, dates, final baseline decisions, national implementation positions, and newer FMN obligations were not verified. Use the criteria as documented precedent and confirm the contemporary routing details before submission.</w:t>
      </w:r>
    </w:p>
    <w:p>
      <w:pPr>
        <w:pStyle w:val="Heading3"/>
        <w:keepNext/>
        <w:widowControl/>
      </w:pPr>
      <w:r>
        <w:t>Intended use, specialization, and conformance boundary</w:t>
      </w:r>
    </w:p>
    <w:p>
      <w:pPr>
        <w:widowControl/>
      </w:pPr>
      <w:r>
        <w:t>The archived guidance expressly permits profile references to national and non-NATO work while retaining selection and review criteria. That supports a governed combination of standards, not an unrestricted collection of borrowed definitions. A candidate profile should identify its function, selected choices, ownership, conformance evidence, and intended users, with current process details checked before submission (North Atlantic Treaty Organization 2023, appendix A; chap. 5).</w:t>
      </w:r>
    </w:p>
    <w:p>
      <w:pPr>
        <w:pStyle w:val="Heading3"/>
        <w:keepNext/>
        <w:widowControl/>
      </w:pPr>
      <w:r>
        <w:t>Proposed implementation and conformance claim</w:t>
      </w:r>
    </w:p>
    <w:p>
      <w:pPr>
        <w:widowControl/>
      </w:pPr>
      <w:r>
        <w:t>NISP supplies a governance setting for choosing and maintaining standards and profiles, not the device-level conformance target. This entry remains explicitly tied to the inspected 2023 edition. A future proposal must use the applicable procedure and named technical obligations; adopting a profile reference and demonstrating an implementation are separate achievements (North Atlantic Treaty Organization 2023, chap. 5, app. A).</w:t>
      </w:r>
    </w:p>
    <w:p>
      <w:pPr>
        <w:pStyle w:val="Heading3"/>
        <w:keepNext/>
        <w:widowControl/>
      </w:pPr>
      <w:r>
        <w:t>DISR standing, implications, and recommended action</w:t>
      </w:r>
    </w:p>
    <w:p>
      <w:pPr>
        <w:widowControl/>
      </w:pPr>
      <w:r>
        <w:t>The inspected NISP edition is a NATO governance/method source, not a technical implementation item selected for DISR. Its references do not automatically add the referenced standards to the U.S. baseline. Recommend no request for this methodological use; assess actual technical candidates against their exact DISR records (S25).</w:t>
      </w:r>
    </w:p>
    <w:p>
      <w:pPr>
        <w:pStyle w:val="Heading3"/>
        <w:keepNext/>
        <w:widowControl/>
      </w:pPr>
      <w:r>
        <w:t>NATO standing, implications, and recommended action</w:t>
      </w:r>
    </w:p>
    <w:p>
      <w:pPr>
        <w:widowControl/>
      </w:pPr>
      <w:r>
        <w:t>NISP 15/2023 is the identified historical publication, not a verified 2026 baseline. Its published process provides an evidence-backed route for a scoped standards/profile RFC and lists criteria relevant to our future proposal. Recommend confirming the current owner and baseline, then submitting an update only when a selected interoperability requirement, exact artifact, and implementation/test evidence justify it (North Atlantic Treaty Organization 2023, chap. 5).</w:t>
      </w:r>
    </w:p>
    <w:p>
      <w:pPr>
        <w:pStyle w:val="Heading2"/>
        <w:keepNext/>
        <w:pageBreakBefore w:val="0"/>
        <w:widowControl/>
      </w:pPr>
      <w:r>
        <w:t>S32  |  STANAG 4789: official ratification evidence</w:t>
      </w:r>
    </w:p>
    <w:p>
      <w:pPr>
        <w:pStyle w:val="Reference"/>
        <w:keepNext/>
        <w:widowControl/>
      </w:pPr>
      <w:r>
        <w:t xml:space="preserve">NATO Standardization Office. 2026. </w:t>
      </w:r>
      <w:r>
        <w:rPr>
          <w:i/>
        </w:rPr>
        <w:t>STANAG 4789 JCGISR (Edition 1) (Ratification Draft 1)—Sensor Integration Standard for NATO JISR Operations—AEP-4789, Edition A</w:t>
      </w:r>
      <w:r>
        <w:t>. NSO(NAFAG)0932(2026)JCGISR/4789, August 28. Supplied project file: 0932E(2026)NU-STANAG 4789 JCGISR ED1 RD1 AEP-4789 EDA V1.pdf.</w:t>
      </w:r>
    </w:p>
    <w:p>
      <w:pPr>
        <w:pStyle w:val="Metadata"/>
        <w:keepNext/>
        <w:widowControl/>
      </w:pPr>
      <w:r>
        <w:t>INSPECTION  Cover letter; covering agreement “Interoperability Requirements”; no fresh AEPVolume II text • Supplied official NSO letter and ratification draft • 12 October 2026</w:t>
      </w:r>
    </w:p>
    <w:p>
      <w:pPr>
        <w:pStyle w:val="Heading3"/>
        <w:keepNext/>
        <w:widowControl/>
      </w:pPr>
      <w:r>
        <w:t>Purpose, scope, and original problem</w:t>
      </w:r>
    </w:p>
    <w:p>
      <w:pPr>
        <w:widowControl/>
      </w:pPr>
      <w:r>
        <w:t>The supplied letter circulates an approved ratification draft to obtain national decisions, and the covering agreement describes a modular sensor-integration framework for NATO JISR. Its audience includes national staffs and NATO/partner implementation stakeholders, not only software developers. The framework is to be implemented through separately maintained AEP volumes, with Volume II assigned the core APIs and encodings (NATO Standardization Office 2026, cover letter and “Interoperability Requirements”).</w:t>
      </w:r>
    </w:p>
    <w:p>
      <w:pPr>
        <w:pStyle w:val="Heading3"/>
        <w:keepNext/>
        <w:widowControl/>
      </w:pPr>
      <w:r>
        <w:t>Relevant concepts and mechanisms</w:t>
      </w:r>
    </w:p>
    <w:p>
      <w:pPr>
        <w:widowControl/>
      </w:pPr>
      <w:r>
        <w:t>The cover letter establishes the draft edition, authority for circulation, reporting route, and November 28, 2026 response date. Those are direct evidence of a ratification stage rather than proof of promulgation or implementation by every nation. The covering text permits future volumes and supporting documents as standards and capability areas mature (NATO Standardization Office 2026).</w:t>
      </w:r>
    </w:p>
    <w:p>
      <w:pPr>
        <w:pStyle w:val="Heading3"/>
        <w:keepNext/>
        <w:widowControl/>
      </w:pPr>
      <w:r>
        <w:t>Relevance to MERLIN and the research question</w:t>
      </w:r>
    </w:p>
    <w:p>
      <w:pPr>
        <w:widowControl/>
      </w:pPr>
      <w:r>
        <w:t>There is already a relevant NATO governance home to investigate before proposing another adoption wrapper. The recommendation is to coordinate future content/profile work with the existing custodian and relevant technical communities. The present bibliography does not change the draft, initiate a national vote, or settle a later profile’s approval route.</w:t>
      </w:r>
    </w:p>
    <w:p>
      <w:pPr>
        <w:pStyle w:val="Heading3"/>
        <w:keepNext/>
        <w:widowControl/>
      </w:pPr>
      <w:r>
        <w:t>Relationship to OGC and other candidate work</w:t>
      </w:r>
    </w:p>
    <w:p>
      <w:pPr>
        <w:widowControl/>
      </w:pPr>
      <w:r>
        <w:t>The STANAG is the agreement/framework artifact; its AEP volumes carry the adopted technical package. The project handoff links the four OGC foundation editions to that package, but this revision did not freshly recover the exact Volume II clauses. An independent NISP or service-profile status claim therefore needs additional evidence rather than being inferred from the covering agreement alone.</w:t>
      </w:r>
    </w:p>
    <w:p>
      <w:pPr>
        <w:pStyle w:val="Heading3"/>
        <w:keepNext/>
        <w:widowControl/>
      </w:pPr>
      <w:r>
        <w:t>Implementation, openness, limits, and next question</w:t>
      </w:r>
    </w:p>
    <w:p>
      <w:pPr>
        <w:widowControl/>
      </w:pPr>
      <w:r>
        <w:t>The official package was read through the supplied project file, not an authenticated live NSO session. Current ratification counts and national implementation decisions were not checked. The specific next recovery target is the current AEPVolume II text and its exact OGC references, followed by applicable national/profile obligations.</w:t>
      </w:r>
    </w:p>
    <w:p>
      <w:pPr>
        <w:pStyle w:val="Heading3"/>
        <w:keepNext/>
        <w:widowControl/>
      </w:pPr>
      <w:r>
        <w:t>Intended use, specialization, and conformance boundary</w:t>
      </w:r>
    </w:p>
    <w:p>
      <w:pPr>
        <w:widowControl/>
      </w:pPr>
      <w:r>
        <w:t>A ratification draft asks nations for decisions; it is not a completed declaration of implementation by all parties. The separately maintained AEP volumes provide the route to technical requirements and future scoped additions. Any MERLIN proposal should therefore identify the appropriate technical volume or supporting artifact and coordinate with the existing custodial structure rather than presume this bibliography amends the agreement (NATO Standardization Office 2026).</w:t>
      </w:r>
    </w:p>
    <w:p>
      <w:pPr>
        <w:pStyle w:val="Heading3"/>
        <w:keepNext/>
        <w:widowControl/>
      </w:pPr>
      <w:r>
        <w:t>Proposed implementation and conformance claim</w:t>
      </w:r>
    </w:p>
    <w:p>
      <w:pPr>
        <w:widowControl/>
      </w:pPr>
      <w:r>
        <w:t>The recovered ratification package identifies the NATO framework and process, but the cover letter is not the technical implementation contract. A STANAG implementation claim must identify the applicable AEP provisions and underlying standard requirements, along with the relevant national obligations. This increment neither establishes that complete contract nor demonstrates its implementation (NATO Standardization Office 2026, cover letter and covering agreement).</w:t>
      </w:r>
    </w:p>
    <w:p>
      <w:pPr>
        <w:pStyle w:val="Heading3"/>
        <w:keepNext/>
        <w:widowControl/>
      </w:pPr>
      <w:r>
        <w:t>DISR standing, implications, and recommended action</w:t>
      </w:r>
    </w:p>
    <w:p>
      <w:pPr>
        <w:widowControl/>
      </w:pPr>
      <w:r>
        <w:t>The underlying four current OGC editions are already listed as Emerging / IC-Emerging in the authoritative current DISR baseline. This ratification-draft covering package is not being proposed as a duplicate technical implementation item. Recommend no duplicate addition; any future wrapper or profile action must identify a distinct applicable obligation rather than merely repeat the existing OGC records (S25; NATO Standardization Office 2026).</w:t>
      </w:r>
    </w:p>
    <w:p>
      <w:pPr>
        <w:pStyle w:val="Heading3"/>
        <w:keepNext/>
        <w:widowControl/>
      </w:pPr>
      <w:r>
        <w:t>NATO standing, implications, and recommended action</w:t>
      </w:r>
    </w:p>
    <w:p>
      <w:pPr>
        <w:widowControl/>
      </w:pPr>
      <w:r>
        <w:t>Directly verified: Edition 1, Ratification Draft 1, circulated August 28, 2026, with responses due November 28, 2026. Not verified: promulgation, current national vote totals, universal implementation, or exact current AEPVolume II clauses. Recommend coordination through the existing 4789 route and targeted publication/profile verification; no new parallel STANAG or claim of completed adoption is warranted (NATO Standardization Office 2026).</w:t>
      </w:r>
    </w:p>
    <w:p>
      <w:pPr>
        <w:pStyle w:val="Heading1"/>
        <w:keepNext/>
        <w:pageBreakBefore/>
        <w:widowControl/>
      </w:pPr>
      <w:r>
        <w:t>VIII. Worked-case source evidence</w:t>
      </w:r>
    </w:p>
    <w:p>
      <w:pPr>
        <w:widowControl/>
      </w:pPr>
      <w:r>
        <w:t>These three sources establish device-specific information and its limits rather than adding three implementation standards. Their original terminology is retained in the worked chapter, with proposed interpretation distinguished from source content. Source manuals and a product datasheet are not evidence of current deployed records or native standards compliance.</w:t>
      </w:r>
    </w:p>
    <w:p>
      <w:pPr>
        <w:pStyle w:val="Heading2"/>
        <w:keepNext/>
        <w:widowControl/>
      </w:pPr>
      <w:r>
        <w:t>S40  |  Sentinel 1.0.7.2 Software Users Manual: selected ETU-II pages</w:t>
      </w:r>
    </w:p>
    <w:p>
      <w:pPr>
        <w:pStyle w:val="Reference"/>
        <w:keepNext/>
        <w:widowControl/>
      </w:pPr>
      <w:r>
        <w:t>Sentinel 1.0.7.2 Software Users Manual. n.d. N65236-TRSS-SUM-0005-2.00. “General Tab” and adjacent material, PDF-reader pages 175–177, reproduced in TRSS Details View Research.pptx, slides 10–12. Publication date not established from the inspected excerpts. User-supplied source; Library locator libfile_cbd2e80dc0e081918022604ef8d45f2e.</w:t>
      </w:r>
    </w:p>
    <w:p>
      <w:pPr>
        <w:pStyle w:val="Metadata"/>
        <w:keepNext/>
        <w:widowControl/>
      </w:pPr>
      <w:r>
        <w:t>INSPECTION  Original screenshot pages inspected visually: slides 10–12; reader pages 175–177. No live payload, device state or full-manual inspection claimed. 12 October 2026.</w:t>
      </w:r>
    </w:p>
    <w:p>
      <w:pPr>
        <w:pStyle w:val="Heading3"/>
        <w:keepNext/>
        <w:widowControl/>
      </w:pPr>
      <w:r>
        <w:t>Purpose, scope, and original problem</w:t>
      </w:r>
    </w:p>
    <w:p>
      <w:pPr>
        <w:widowControl/>
      </w:pPr>
      <w:r>
        <w:t>The source explains operation of Sentinel’s ETU-II details interface. The selected pages show detector choices and the rules relevant to those choices. Their role here is evidence of what an existing system’s descriptions mean, not a new standards proposal.</w:t>
      </w:r>
    </w:p>
    <w:p>
      <w:pPr>
        <w:pStyle w:val="Heading3"/>
        <w:keepNext/>
        <w:widowControl/>
      </w:pPr>
      <w:r>
        <w:t>Relevant concepts and mechanisms</w:t>
      </w:r>
    </w:p>
    <w:p>
      <w:pPr>
        <w:widowControl/>
      </w:pPr>
      <w:r>
        <w:t>The example contains separate Detector 1 and Detector 2 selections. The explanatory text limits Seismic/Acoustic to Detector 1 and excludes that type from orientation. These distinctions concern configuration and applicability, not a recovered serialized-component inventory (Sentinel 1.0.7.2 Software Users Manual n.d., slides 10–11).</w:t>
      </w:r>
    </w:p>
    <w:p>
      <w:pPr>
        <w:pStyle w:val="Heading3"/>
        <w:keepNext/>
        <w:widowControl/>
      </w:pPr>
      <w:r>
        <w:t>Relevance to MERLIN and the research question</w:t>
      </w:r>
    </w:p>
    <w:p>
      <w:pPr>
        <w:widowControl/>
      </w:pPr>
      <w:r>
        <w:t>The selected manual pages reveal operator priorities and provide a concrete reference case, not a complete inventory of TRSS data or a ceiling on profile coverage. Their configuration, emplacement and operating information should be read within the whole deployed-system purpose. The earlier case-specific distinctions remain useful supporting detail but no longer determine the overall recommendation (this study, §1 and appendix B).</w:t>
      </w:r>
    </w:p>
    <w:p>
      <w:pPr>
        <w:pStyle w:val="Heading3"/>
        <w:keepNext/>
        <w:widowControl/>
      </w:pPr>
      <w:r>
        <w:t>Relationship to OGC and other candidate work</w:t>
      </w:r>
    </w:p>
    <w:p>
      <w:pPr>
        <w:widowControl/>
      </w:pPr>
      <w:r>
        <w:t>SensorML’s parameters and configurable-process descriptions are plausible representation mechanisms for the selected facts. RFC 8348 is a comparator for managed inventory rather than the definition of these detector choices. The proposed OGC treatment is an authored mapping, not a claim that Sentinel implemented either standard.</w:t>
      </w:r>
    </w:p>
    <w:p>
      <w:pPr>
        <w:pStyle w:val="Heading3"/>
        <w:keepNext/>
        <w:widowControl/>
      </w:pPr>
      <w:r>
        <w:t>Implementation, openness, limits, and next question</w:t>
      </w:r>
    </w:p>
    <w:p>
      <w:pPr>
        <w:widowControl/>
      </w:pPr>
      <w:r>
        <w:t>The supplied screenshots were read directly, while the full manual and vendor export were not recovered in this increment. A historical illustration is not current operational data, and publication access is not blanket redistribution permission. The bounded remaining issue is the actual source field/operation available when an integration is authorized.</w:t>
      </w:r>
    </w:p>
    <w:p>
      <w:pPr>
        <w:pStyle w:val="Heading3"/>
        <w:keepNext/>
        <w:widowControl/>
      </w:pPr>
      <w:r>
        <w:t>Intended use, specialization, and conformance boundary</w:t>
      </w:r>
    </w:p>
    <w:p>
      <w:pPr>
        <w:widowControl/>
      </w:pPr>
      <w:r>
        <w:t>The intended reader is an operator or maintainer using Sentinel, not an author of a universal equipment ontology. The manual’s wording constrains interpretation of the shown fields and rules. It does not authorize a CSAPI equivalence or define a portable profile.</w:t>
      </w:r>
    </w:p>
    <w:p>
      <w:pPr>
        <w:pStyle w:val="Heading3"/>
        <w:keepNext/>
        <w:widowControl/>
      </w:pPr>
      <w:r>
        <w:t>Proposed implementation and conformance claim</w:t>
      </w:r>
    </w:p>
    <w:p>
      <w:pPr>
        <w:widowControl/>
      </w:pPr>
      <w:r>
        <w:t>This paper uses the manual as source evidence and proposes no implementation of the manual as a standard. An eventual adapter would preserve its meanings in a separately specified OGC representation. The current achievement is a worked modeling comparison, not a deployed Sentinel bridge.</w:t>
      </w:r>
    </w:p>
    <w:p>
      <w:pPr>
        <w:pStyle w:val="Heading3"/>
        <w:keepNext/>
        <w:widowControl/>
      </w:pPr>
      <w:r>
        <w:t>DISR standing, implications, and recommended action</w:t>
      </w:r>
    </w:p>
    <w:p>
      <w:pPr>
        <w:widowControl/>
      </w:pPr>
      <w:r>
        <w:t>This entry is a vendor/system manual used as evidence, not an external technical standard selected for DISR implementation. It carries no inferred status from the OGC or hardware standards compared with it. No manual-level DISR submission is recommended; any later normative agreement would be a distinct artifact.</w:t>
      </w:r>
    </w:p>
    <w:p>
      <w:pPr>
        <w:pStyle w:val="Heading3"/>
        <w:keepNext/>
        <w:widowControl/>
      </w:pPr>
      <w:r>
        <w:t>NATO standing, implications, and recommended action</w:t>
      </w:r>
    </w:p>
    <w:p>
      <w:pPr>
        <w:widowControl/>
      </w:pPr>
      <w:r>
        <w:t>No NATO adoption claim is made for this manual. Its contribution is to the source-grounded research case, not a coalition obligation to use Sentinel. No NATO submission is recommended for the manual; any reusable agreement would require its own scope and governance.</w:t>
      </w:r>
    </w:p>
    <w:p>
      <w:pPr>
        <w:pStyle w:val="Heading2"/>
        <w:keepNext/>
        <w:widowControl/>
      </w:pPr>
      <w:r>
        <w:t>S41  |  OmniSense CORE configuration and transducer reporting: selected manual pages</w:t>
      </w:r>
    </w:p>
    <w:p>
      <w:pPr>
        <w:pStyle w:val="Reference"/>
        <w:keepNext/>
        <w:widowControl/>
      </w:pPr>
      <w:r>
        <w:t>McQ Inc. n.d. OmniSense System User’s Manual: Central Computer/Server and User Interface. Chapter 6, “Operations with OmniSense CORE Sensors,” printed pages 6-1–6-7, reproduced in SADU Details View Research.pptx, slides 1–7. Inspected pages carry © McQ Inc. 2008; exact publication edition is not established. User-supplied source; Library locator libfile_7b30d4a27a44819194bef90e7c7aece4.</w:t>
      </w:r>
    </w:p>
    <w:p>
      <w:pPr>
        <w:pStyle w:val="Metadata"/>
        <w:keepNext/>
        <w:widowControl/>
      </w:pPr>
      <w:r>
        <w:t>INSPECTION  Original screenshot pages inspected visually: slides 1–7 / printed pp. 6-1–6-7; §6.1.6 and configuration/Queue explanations. 12 October 2026.</w:t>
      </w:r>
    </w:p>
    <w:p>
      <w:pPr>
        <w:pStyle w:val="Heading3"/>
        <w:keepNext/>
        <w:widowControl/>
      </w:pPr>
      <w:r>
        <w:t>Purpose, scope, and original problem</w:t>
      </w:r>
    </w:p>
    <w:p>
      <w:pPr>
        <w:widowControl/>
      </w:pPr>
      <w:r>
        <w:t>The selected chapter explains the CORE sensor editor and the relationship between its database, communications and sensor configuration. It is written for users of the OmniSense application. The worked case preserves its description of delayed changes instead of treating an editor value as immediate field-device truth.</w:t>
      </w:r>
    </w:p>
    <w:p>
      <w:pPr>
        <w:pStyle w:val="Heading3"/>
        <w:keepNext/>
        <w:widowControl/>
      </w:pPr>
      <w:r>
        <w:t>Relevant concepts and mechanisms</w:t>
      </w:r>
    </w:p>
    <w:p>
      <w:pPr>
        <w:widowControl/>
      </w:pPr>
      <w:r>
        <w:t>The transducer list follows automatic field-setup detection and reporting, while algorithms and sensitivities occupy a separate list. Changes entered through the editor are queued for later communication with the sensor. The notes also distinguish enabling an algorithm from having its required transducers connected (McQ Inc. n.d., slides 1–2, 6–7).</w:t>
      </w:r>
    </w:p>
    <w:p>
      <w:pPr>
        <w:pStyle w:val="Heading3"/>
        <w:keepNext/>
        <w:widowControl/>
      </w:pPr>
      <w:r>
        <w:t>Relevance to MERLIN and the research question</w:t>
      </w:r>
    </w:p>
    <w:p>
      <w:pPr>
        <w:widowControl/>
      </w:pPr>
      <w:r>
        <w:t>The selected manual pages show a sensor-centered operating workflow involving configuration, communication and sensing capabilities. They support whole-system applicability without requiring the profile to stop at the visible fields. The historical database workflow remains source evidence; no current OmniSense payload or detailed CDIF contract is inferred from it (this study, §1 and appendix B).</w:t>
      </w:r>
    </w:p>
    <w:p>
      <w:pPr>
        <w:pStyle w:val="Heading3"/>
        <w:keepNext/>
        <w:widowControl/>
      </w:pPr>
      <w:r>
        <w:t>Relationship to OGC and other candidate work</w:t>
      </w:r>
    </w:p>
    <w:p>
      <w:pPr>
        <w:widowControl/>
      </w:pPr>
      <w:r>
        <w:t>SensorML supplies descriptive and configuration mechanisms, while CSAPI Part 2 supplies supported command/progress concepts. Those mechanisms require a real source mapping before the Queue operation can be treated as an API interaction. RFC 8348 offers comparative state distinctions but not the application-specific algorithm or acknowledgment semantics.</w:t>
      </w:r>
    </w:p>
    <w:p>
      <w:pPr>
        <w:pStyle w:val="Heading3"/>
        <w:keepNext/>
        <w:widowControl/>
      </w:pPr>
      <w:r>
        <w:t>Implementation, openness, limits, and next question</w:t>
      </w:r>
    </w:p>
    <w:p>
      <w:pPr>
        <w:widowControl/>
      </w:pPr>
      <w:r>
        <w:t>The seven selected pages were visually inspected; no actual database rows, command receipts or device reports were acquired. Last Updated is preserved with its documented configuration meaning rather than reassigned to each transducer. Manual availability does not establish redistribution rights or proof that every observed UI field is exposed by an integration.</w:t>
      </w:r>
    </w:p>
    <w:p>
      <w:pPr>
        <w:pStyle w:val="Heading3"/>
        <w:keepNext/>
        <w:widowControl/>
      </w:pPr>
      <w:r>
        <w:t>Intended use, specialization, and conformance boundary</w:t>
      </w:r>
    </w:p>
    <w:p>
      <w:pPr>
        <w:widowControl/>
      </w:pPr>
      <w:r>
        <w:t>The manual guides use of the CORE editor, including its communications delay and source-defined options. It does not prescribe an OGC profile or a native YANG implementation. Its application semantics must nevertheless remain intact when information is translated.</w:t>
      </w:r>
    </w:p>
    <w:p>
      <w:pPr>
        <w:pStyle w:val="Heading3"/>
        <w:keepNext/>
        <w:widowControl/>
      </w:pPr>
      <w:r>
        <w:t>Proposed implementation and conformance claim</w:t>
      </w:r>
    </w:p>
    <w:p>
      <w:pPr>
        <w:widowControl/>
      </w:pPr>
      <w:r>
        <w:t>The current use is a documented interpretation of the manual’s example and workflow. No OmniSense, OGC or RFC implementation is certified by this comparison. A future adapter would have its own representation and operation contract, distinct from this research evidence.</w:t>
      </w:r>
    </w:p>
    <w:p>
      <w:pPr>
        <w:pStyle w:val="Heading3"/>
        <w:keepNext/>
        <w:widowControl/>
      </w:pPr>
      <w:r>
        <w:t>DISR standing, implications, and recommended action</w:t>
      </w:r>
    </w:p>
    <w:p>
      <w:pPr>
        <w:widowControl/>
      </w:pPr>
      <w:r>
        <w:t>This is source-system documentation, not the standards contract proposed for adoption. No DoD or IC status is inferred from the standards used to analyze it. No DISR request is recommended for the manual itself.</w:t>
      </w:r>
    </w:p>
    <w:p>
      <w:pPr>
        <w:pStyle w:val="Heading3"/>
        <w:keepNext/>
        <w:widowControl/>
      </w:pPr>
      <w:r>
        <w:t>NATO standing, implications, and recommended action</w:t>
      </w:r>
    </w:p>
    <w:p>
      <w:pPr>
        <w:widowControl/>
      </w:pPr>
      <w:r>
        <w:t>No NATO adoption of the manual is asserted. It contributes an existing-system example to the research rather than a NATO implementation requirement. Any reusable OGC content agreement would need to be assessed as its own proposal, not as adoption of OmniSense.</w:t>
      </w:r>
    </w:p>
    <w:p>
      <w:pPr>
        <w:pStyle w:val="Heading2"/>
        <w:keepNext/>
        <w:widowControl/>
      </w:pPr>
      <w:r>
        <w:t>S42  |  Bosch BME280: environmental-model contrast</w:t>
      </w:r>
    </w:p>
    <w:p>
      <w:pPr>
        <w:pStyle w:val="Reference"/>
        <w:keepNext/>
        <w:widowControl/>
      </w:pPr>
      <w:r>
        <w:t>Bosch Sensortec. 2024. BME280: Combined Humidity and Pressure Sensor. Data sheet, revision 1.24, document BST-BME280-DS001-24, February. https://www.bosch-sensortec.com/media/boschsensortec/downloads/datasheets/bst-bme280-ds002.pdf. Accessed October 12, 2026.</w:t>
      </w:r>
    </w:p>
    <w:p>
      <w:pPr>
        <w:pStyle w:val="Metadata"/>
        <w:keepNext/>
        <w:widowControl/>
      </w:pPr>
      <w:r>
        <w:t>INSPECTION  Cover, general description, §§3.3–3.4; cover and pp. 15, 17 visually checked. Cover revision 1.24 governs the citation; selected body footers retain a 1.23 mark. 12 October 2026.</w:t>
      </w:r>
    </w:p>
    <w:p>
      <w:pPr>
        <w:pStyle w:val="Heading3"/>
        <w:keepNext/>
        <w:widowControl/>
      </w:pPr>
      <w:r>
        <w:t>Purpose, scope, and original problem</w:t>
      </w:r>
    </w:p>
    <w:p>
      <w:pPr>
        <w:widowControl/>
      </w:pPr>
      <w:r>
        <w:t>The datasheet describes a combined environmental sensor for device designers and integrators. It defines product behavior and available controls rather than reporting an installed instance. The paper selects it to contrast multi-function measurement with the UGS detector arrangements.</w:t>
      </w:r>
    </w:p>
    <w:p>
      <w:pPr>
        <w:pStyle w:val="Heading3"/>
        <w:keepNext/>
        <w:widowControl/>
      </w:pPr>
      <w:r>
        <w:t>Relevant concepts and mechanisms</w:t>
      </w:r>
    </w:p>
    <w:p>
      <w:pPr>
        <w:widowControl/>
      </w:pPr>
      <w:r>
        <w:t>The selected sections describe sleep, forced and normal modes and measurement settings that can enable or skip measurements. They provide an example of model options without a supplied active configuration. Multiple measurement functions therefore need not be rendered as multiple inventory items (Bosch Sensortec 2024, §§3.3–3.4).</w:t>
      </w:r>
    </w:p>
    <w:p>
      <w:pPr>
        <w:pStyle w:val="Heading3"/>
        <w:keepNext/>
        <w:widowControl/>
      </w:pPr>
      <w:r>
        <w:t>Relevance to MERLIN and the research question</w:t>
      </w:r>
    </w:p>
    <w:p>
      <w:pPr>
        <w:widowControl/>
      </w:pPr>
      <w:r>
        <w:t>The case examines whether the proposed distinction between supported behavior and evidenced state remains useful outside UGS. It also provides a simpler case where a direct OGC model description is sufficient. It is not a procurement recommendation or evidence of a BME280 integration in MERLIN.</w:t>
      </w:r>
    </w:p>
    <w:p>
      <w:pPr>
        <w:pStyle w:val="Heading3"/>
        <w:keepNext/>
        <w:widowControl/>
      </w:pPr>
      <w:r>
        <w:t>Relationship to OGC and other candidate work</w:t>
      </w:r>
    </w:p>
    <w:p>
      <w:pPr>
        <w:widowControl/>
      </w:pPr>
      <w:r>
        <w:t>SensorML’s model/instance and parameter mechanisms are appropriate candidates for describing the available behavior. RFC hardware and AAS asset hierarchies would need a separate inventory or exchange reason. The datasheet does not establish those standards’ implementation or a published OGC binding.</w:t>
      </w:r>
    </w:p>
    <w:p>
      <w:pPr>
        <w:pStyle w:val="Heading3"/>
        <w:keepNext/>
        <w:widowControl/>
      </w:pPr>
      <w:r>
        <w:t>Implementation, openness, limits, and next question</w:t>
      </w:r>
    </w:p>
    <w:p>
      <w:pPr>
        <w:widowControl/>
      </w:pPr>
      <w:r>
        <w:t>The manufacturer PDF is publicly inspectable, but no device registers or live readings were examined. Revision metadata is taken from the cover, with older body-footer marks retained as an inspection note. Any future instance claim would need the actual source record rather than a guessed current setting.</w:t>
      </w:r>
    </w:p>
    <w:p>
      <w:pPr>
        <w:pStyle w:val="Heading3"/>
        <w:keepNext/>
        <w:widowControl/>
      </w:pPr>
      <w:r>
        <w:t>Intended use, specialization, and conformance boundary</w:t>
      </w:r>
    </w:p>
    <w:p>
      <w:pPr>
        <w:widowControl/>
      </w:pPr>
      <w:r>
        <w:t>The source specifies a product’s behavior and integration constraints. Its role differs from an open community information-model standard. Using it faithfully means preserving model scope and conditions, not claiming that a datasheet-only case provides a configured device.</w:t>
      </w:r>
    </w:p>
    <w:p>
      <w:pPr>
        <w:pStyle w:val="Heading3"/>
        <w:keepNext/>
        <w:widowControl/>
      </w:pPr>
      <w:r>
        <w:t>Proposed implementation and conformance claim</w:t>
      </w:r>
    </w:p>
    <w:p>
      <w:pPr>
        <w:widowControl/>
      </w:pPr>
      <w:r>
        <w:t>The present use is a manufacturer-grounded model description in a paper comparison. No BME280 driver, OGC service or hardware implementation has been developed or tested. A future OGC representation would be newly authored unless an applicable published binding is separately established.</w:t>
      </w:r>
    </w:p>
    <w:p>
      <w:pPr>
        <w:pStyle w:val="Heading3"/>
        <w:keepNext/>
        <w:widowControl/>
      </w:pPr>
      <w:r>
        <w:t>DISR standing, implications, and recommended action</w:t>
      </w:r>
    </w:p>
    <w:p>
      <w:pPr>
        <w:widowControl/>
      </w:pPr>
      <w:r>
        <w:t>The datasheet is evidence about a commercial device, not an external standards dependency selected for DISR implementation. No status is inferred from a standards family or from the manufacturer’s identity. No device-datasheet submission is recommended.</w:t>
      </w:r>
    </w:p>
    <w:p>
      <w:pPr>
        <w:pStyle w:val="Heading3"/>
        <w:keepNext/>
        <w:widowControl/>
      </w:pPr>
      <w:r>
        <w:t>NATO standing, implications, and recommended action</w:t>
      </w:r>
    </w:p>
    <w:p>
      <w:pPr>
        <w:widowControl/>
      </w:pPr>
      <w:r>
        <w:t>No NATO device adoption or implementation requirement is claimed. The product is an analytical contrast, not a proposed coalition equipment selection. No NATO submission follows from using its public behavior description in this study.</w:t>
      </w:r>
    </w:p>
    <w:p>
      <w:pPr>
        <w:pStyle w:val="Heading1"/>
        <w:keepNext/>
        <w:pageBreakBefore/>
        <w:widowControl/>
      </w:pPr>
      <w:r>
        <w:t>IX. Engineering lineage and system-family applicability</w:t>
      </w:r>
    </w:p>
    <w:p>
      <w:pPr>
        <w:widowControl/>
      </w:pPr>
      <w:r>
        <w:t>This group adds category and engineering evidence without treating every publication as a standard to implement. Abstract-only records remain leads; inspectable code and partial standards text retain their exact limits. These sources support the current Section 1 scope assessment.</w:t>
      </w:r>
    </w:p>
    <w:p>
      <w:pPr>
        <w:pStyle w:val="Heading2"/>
        <w:keepNext/>
        <w:widowControl/>
      </w:pPr>
      <w:r>
        <w:t>S43  |  Common command-and-control user interface for current force UGS</w:t>
      </w:r>
    </w:p>
    <w:p>
      <w:pPr>
        <w:pStyle w:val="Reference"/>
        <w:keepNext/>
        <w:widowControl/>
      </w:pPr>
      <w:r>
        <w:t>Stolovy, Gary H.. 2009. Common command-and-control user interface for current force UGS. Proceedings of SPIE 7333, 73331C; DOI 10.1117/12.822186.</w:t>
      </w:r>
    </w:p>
    <w:p>
      <w:pPr>
        <w:pStyle w:val="Reference"/>
        <w:keepNext/>
        <w:widowControl/>
      </w:pPr>
      <w:r>
        <w:t>https://doi.org/10.1117/12.822186</w:t>
      </w:r>
    </w:p>
    <w:p>
      <w:pPr>
        <w:pStyle w:val="Metadata"/>
        <w:keepNext/>
        <w:widowControl/>
      </w:pPr>
      <w:r>
        <w:t>INSPECTION  Publisher record and indexed abstract; complete paper not retrieved.  •  12 October 2026</w:t>
      </w:r>
    </w:p>
    <w:p>
      <w:pPr>
        <w:pStyle w:val="Heading3"/>
        <w:keepNext/>
        <w:widowControl/>
      </w:pPr>
      <w:r>
        <w:t>Purpose and intended community</w:t>
      </w:r>
    </w:p>
    <w:p>
      <w:pPr>
        <w:widowControl/>
      </w:pPr>
      <w:r>
        <w:t>The paper addresses common command and control for current-force UGS. The indexed abstract identifies OmniSense, Scorpion and Silent Watch and describes a requirements-to-implementation effort. Its intended community is therefore directly related to the operator integration problem, rather than merely adjacent industrial automation (Stolovy 2009).</w:t>
      </w:r>
    </w:p>
    <w:p>
      <w:pPr>
        <w:pStyle w:val="Heading3"/>
        <w:keepNext/>
        <w:widowControl/>
      </w:pPr>
      <w:r>
        <w:t>Relevant content and inspection boundary</w:t>
      </w:r>
    </w:p>
    <w:p>
      <w:pPr>
        <w:widowControl/>
      </w:pPr>
      <w:r>
        <w:t>The available abstract establishes that a multi-vendor interface effort existed. It does not disclose enough of the common model or architecture to select its specific concepts. No unseen requirements, field structure or success metrics are inferred here.</w:t>
      </w:r>
    </w:p>
    <w:p>
      <w:pPr>
        <w:pStyle w:val="Heading3"/>
        <w:keepNext/>
        <w:widowControl/>
      </w:pPr>
      <w:r>
        <w:t>Relevance and relationship to the OGC profile</w:t>
      </w:r>
    </w:p>
    <w:p>
      <w:pPr>
        <w:widowControl/>
      </w:pPr>
      <w:r>
        <w:t>This is a strong route back to expert characterization of the same family. It supports treating the manuals as examples of a broader integration problem, without proving that a particular commercial standard underlay those products. The complete paper could refine the model comparison but is not required to recognize the broader scope.</w:t>
      </w:r>
    </w:p>
    <w:p>
      <w:pPr>
        <w:pStyle w:val="Heading3"/>
        <w:keepNext/>
        <w:widowControl/>
      </w:pPr>
      <w:r>
        <w:t>What implementation would mean</w:t>
      </w:r>
    </w:p>
    <w:p>
      <w:pPr>
        <w:widowControl/>
      </w:pPr>
      <w:r>
        <w:t>This research cites an engineering publication; MERLIN is not proposed to implement its uninspected interface. A later implementation proposal would need the actual technical specification and applicable rights. It would also distinguish an original vendor contract from a new OGC binding.</w:t>
      </w:r>
    </w:p>
    <w:p>
      <w:pPr>
        <w:pStyle w:val="Heading3"/>
        <w:keepNext/>
        <w:widowControl/>
      </w:pPr>
      <w:r>
        <w:t>Openness, artifacts and remaining limits</w:t>
      </w:r>
    </w:p>
    <w:p>
      <w:pPr>
        <w:widowControl/>
      </w:pPr>
      <w:r>
        <w:t>Publication identity and DOI are verified; full-text access remained unavailable. SPIE publication access and reuse rights are not treated as equivalent to an open implementation license. The source is retained at abstract depth, not counted as a complete architecture review.</w:t>
      </w:r>
    </w:p>
    <w:p>
      <w:pPr>
        <w:pStyle w:val="Heading3"/>
        <w:keepNext/>
        <w:widowControl/>
      </w:pPr>
      <w:r>
        <w:t>DISR standing and recommended action</w:t>
      </w:r>
    </w:p>
    <w:p>
      <w:pPr>
        <w:widowControl/>
      </w:pPr>
      <w:r>
        <w:t>The paper is not a DISR implementation dependency selected by this work. No change request is recommended for the publication itself. Any recovered interface specification would need its own exact record and applicability assessment against the supplied baseline.</w:t>
      </w:r>
    </w:p>
    <w:p>
      <w:pPr>
        <w:pStyle w:val="Heading3"/>
        <w:keepNext/>
        <w:widowControl/>
      </w:pPr>
      <w:r>
        <w:t>NATO standing and recommended action</w:t>
      </w:r>
    </w:p>
    <w:p>
      <w:pPr>
        <w:widowControl/>
      </w:pPr>
      <w:r>
        <w:t>No NATO adoption of the paper or its underlying interface is established. U.S. current-force terminology does not supply Alliance implementation status. Retain it as historical engineering evidence rather than propose a NATO obligation from the abstract.</w:t>
      </w:r>
    </w:p>
    <w:p>
      <w:pPr>
        <w:pStyle w:val="Heading2"/>
        <w:keepNext/>
        <w:widowControl/>
      </w:pPr>
      <w:r>
        <w:t>S44  |  OmniSense unattended ground sensor system</w:t>
      </w:r>
    </w:p>
    <w:p>
      <w:pPr>
        <w:pStyle w:val="Reference"/>
        <w:keepNext/>
        <w:widowControl/>
      </w:pPr>
      <w:r>
        <w:t>McQuiddy, John. 2008. OmniSense unattended ground sensor system. Proceedings of SPIE 6963, 696306; DOI 10.1117/12.784540.</w:t>
      </w:r>
    </w:p>
    <w:p>
      <w:pPr>
        <w:pStyle w:val="Reference"/>
        <w:keepNext/>
        <w:widowControl/>
      </w:pPr>
      <w:r>
        <w:t>https://doi.org/10.1117/12.784540</w:t>
      </w:r>
    </w:p>
    <w:p>
      <w:pPr>
        <w:pStyle w:val="Metadata"/>
        <w:keepNext/>
        <w:widowControl/>
      </w:pPr>
      <w:r>
        <w:t>INSPECTION  Publication record and indexed abstract; full paper and CDIF specification not retrieved.  •  12 October 2026</w:t>
      </w:r>
    </w:p>
    <w:p>
      <w:pPr>
        <w:pStyle w:val="Heading3"/>
        <w:keepNext/>
        <w:widowControl/>
      </w:pPr>
      <w:r>
        <w:t>Purpose and intended community</w:t>
      </w:r>
    </w:p>
    <w:p>
      <w:pPr>
        <w:widowControl/>
      </w:pPr>
      <w:r>
        <w:t>This manufacturer-authored paper concerns the OmniSense system and its integration environment. The indexed abstract connects the work to CDIF in tactical sensor networking. The source is valuable for historical engineering intent, but its limited recovery constrains what can be claimed (McQuiddy 2008).</w:t>
      </w:r>
    </w:p>
    <w:p>
      <w:pPr>
        <w:pStyle w:val="Heading3"/>
        <w:keepNext/>
        <w:widowControl/>
      </w:pPr>
      <w:r>
        <w:t>Relevant content and inspection boundary</w:t>
      </w:r>
    </w:p>
    <w:p>
      <w:pPr>
        <w:widowControl/>
      </w:pPr>
      <w:r>
        <w:t>The current evidence supplies a publication identity and an interface-lineage lead. It does not provide a verified CDIF object model, versioned specification or current maintenance history. Sam’s account of continued McQ stewardship after AFRL use remains attributed project information.</w:t>
      </w:r>
    </w:p>
    <w:p>
      <w:pPr>
        <w:pStyle w:val="Heading3"/>
        <w:keepNext/>
        <w:widowControl/>
      </w:pPr>
      <w:r>
        <w:t>Relevance and relationship to the OGC profile</w:t>
      </w:r>
    </w:p>
    <w:p>
      <w:pPr>
        <w:widowControl/>
      </w:pPr>
      <w:r>
        <w:t>Recovering the interface could explain which reusable concepts already existed behind the operator views. That is different from proving that OmniSense adopted OPC, AAS or MIMOSA. The broader profile may use a suitable model even if the OEM’s original ancestry remains unavailable.</w:t>
      </w:r>
    </w:p>
    <w:p>
      <w:pPr>
        <w:pStyle w:val="Heading3"/>
        <w:keepNext/>
        <w:widowControl/>
      </w:pPr>
      <w:r>
        <w:t>What implementation would mean</w:t>
      </w:r>
    </w:p>
    <w:p>
      <w:pPr>
        <w:widowControl/>
      </w:pPr>
      <w:r>
        <w:t>No CDIF implementation is proposed or claimed by this source entry. A future CDIF adapter would require the actual authorized interface specification, with explicit mapping to OGC. Borrowing a paper’s descriptive concepts would support only a research-informed design claim.</w:t>
      </w:r>
    </w:p>
    <w:p>
      <w:pPr>
        <w:pStyle w:val="Heading3"/>
        <w:keepNext/>
        <w:widowControl/>
      </w:pPr>
      <w:r>
        <w:t>Openness, artifacts and remaining limits</w:t>
      </w:r>
    </w:p>
    <w:p>
      <w:pPr>
        <w:widowControl/>
      </w:pPr>
      <w:r>
        <w:t>The complete paper was not obtained, and no confidential OEM material was accessed. Public abstract availability does not establish permission to reproduce a proprietary interface. The unresolved questions are limited to the original technical artifacts and their current rights or stewardship.</w:t>
      </w:r>
    </w:p>
    <w:p>
      <w:pPr>
        <w:pStyle w:val="Heading3"/>
        <w:keepNext/>
        <w:widowControl/>
      </w:pPr>
      <w:r>
        <w:t>DISR standing and recommended action</w:t>
      </w:r>
    </w:p>
    <w:p>
      <w:pPr>
        <w:widowControl/>
      </w:pPr>
      <w:r>
        <w:t>CDIF was not found as an independent standard in the successful full-export checks. The paper is not itself the specification to add. Recommend no request until an exact usable artifact and required implementation role are established.</w:t>
      </w:r>
    </w:p>
    <w:p>
      <w:pPr>
        <w:pStyle w:val="Heading3"/>
        <w:keepNext/>
        <w:widowControl/>
      </w:pPr>
      <w:r>
        <w:t>NATO standing and recommended action</w:t>
      </w:r>
    </w:p>
    <w:p>
      <w:pPr>
        <w:widowControl/>
      </w:pPr>
      <w:r>
        <w:t>No exact NATO CDIF obligation or adoption is established by the inspected material. The original system’s military use is not equivalent to NATO standardization. Any future coalition interface proposal must identify the actual specification rather than this bibliographic record.</w:t>
      </w:r>
    </w:p>
    <w:p>
      <w:pPr>
        <w:pStyle w:val="Heading2"/>
        <w:keepNext/>
        <w:widowControl/>
      </w:pPr>
      <w:r>
        <w:t>S45  |  The Open Standard for Unattended Sensors (OSUS) as a Platform for the Internet of Things (IOT)</w:t>
      </w:r>
    </w:p>
    <w:p>
      <w:pPr>
        <w:pStyle w:val="Reference"/>
        <w:keepNext/>
        <w:widowControl/>
      </w:pPr>
      <w:r>
        <w:t>Klawon, Kevin. 2023. The Open Standard for Unattended Sensors (OSUS) as a Platform for the Internet of Things (IOT). Master’s thesis, University of Dayton, Electrical and Computer Engineering.</w:t>
      </w:r>
    </w:p>
    <w:p>
      <w:pPr>
        <w:pStyle w:val="Reference"/>
        <w:keepNext/>
        <w:widowControl/>
      </w:pPr>
      <w:r>
        <w:t>https://ecommons.udayton.edu/graduate_theses/7186/</w:t>
      </w:r>
    </w:p>
    <w:p>
      <w:pPr>
        <w:pStyle w:val="Metadata"/>
        <w:keepNext/>
        <w:widowControl/>
      </w:pPr>
      <w:r>
        <w:t>INSPECTION  University record, abstract and linked OhioLINK metadata; full thesis not retrieved.  •  12 October 2026</w:t>
      </w:r>
    </w:p>
    <w:p>
      <w:pPr>
        <w:pStyle w:val="Heading3"/>
        <w:keepNext/>
        <w:widowControl/>
      </w:pPr>
      <w:r>
        <w:t>Purpose and intended community</w:t>
      </w:r>
    </w:p>
    <w:p>
      <w:pPr>
        <w:widowControl/>
      </w:pPr>
      <w:r>
        <w:t>Klawon frames UGS integration and commercial IoT as related engineering problems. The abstract describes OSUS/Terra Harvest and the author’s sensor-integration experience. This is directly relevant to broadening the profile beyond the two initial products, while remaining one author’s research account (Klawon 2023).</w:t>
      </w:r>
    </w:p>
    <w:p>
      <w:pPr>
        <w:pStyle w:val="Heading3"/>
        <w:keepNext/>
        <w:widowControl/>
      </w:pPr>
      <w:r>
        <w:t>Relevant content and inspection boundary</w:t>
      </w:r>
    </w:p>
    <w:p>
      <w:pPr>
        <w:widowControl/>
      </w:pPr>
      <w:r>
        <w:t>The abstract supports the existence and purpose of that cross-domain investigation. The university record identifies the thesis and its full-text route, but the PDF was not recovered. Technical results and standards dependencies from unseen chapters are not reconstructed from the abstract.</w:t>
      </w:r>
    </w:p>
    <w:p>
      <w:pPr>
        <w:pStyle w:val="Heading3"/>
        <w:keepNext/>
        <w:widowControl/>
      </w:pPr>
      <w:r>
        <w:t>Relevance and relationship to the OGC profile</w:t>
      </w:r>
    </w:p>
    <w:p>
      <w:pPr>
        <w:widowControl/>
      </w:pPr>
      <w:r>
        <w:t>The thesis strengthens the rationale for examining shared system categories rather than merely borrowing industrial vocabulary. The separately inspected OSUS-R interface provides more concrete model evidence in S47. Those sources complement one another, but code inspection is not presented as having read the thesis.</w:t>
      </w:r>
    </w:p>
    <w:p>
      <w:pPr>
        <w:pStyle w:val="Heading3"/>
        <w:keepNext/>
        <w:widowControl/>
      </w:pPr>
      <w:r>
        <w:t>What implementation would mean</w:t>
      </w:r>
    </w:p>
    <w:p>
      <w:pPr>
        <w:widowControl/>
      </w:pPr>
      <w:r>
        <w:t>The thesis is analytical evidence, not the standard that MERLIN would implement. A native OSUS choice would involve a specific release and its services, rather than adoption of the thesis’s conclusions. The present purpose is applicability assessment, not migration to another runtime.</w:t>
      </w:r>
    </w:p>
    <w:p>
      <w:pPr>
        <w:pStyle w:val="Heading3"/>
        <w:keepNext/>
        <w:widowControl/>
      </w:pPr>
      <w:r>
        <w:t>Openness, artifacts and remaining limits</w:t>
      </w:r>
    </w:p>
    <w:p>
      <w:pPr>
        <w:widowControl/>
      </w:pPr>
      <w:r>
        <w:t>Metadata and abstract are publicly available through the university. The full document’s content and reuse conditions were not independently inspected. No access restriction was circumvented or unpublished chapter content assumed.</w:t>
      </w:r>
    </w:p>
    <w:p>
      <w:pPr>
        <w:pStyle w:val="Heading3"/>
        <w:keepNext/>
        <w:widowControl/>
      </w:pPr>
      <w:r>
        <w:t>DISR standing and recommended action</w:t>
      </w:r>
    </w:p>
    <w:p>
      <w:pPr>
        <w:widowControl/>
      </w:pPr>
      <w:r>
        <w:t>OSUS is absent from the checked authoritative baseline, and the thesis has no independent implementation status. Its discussion cannot confer status on a related OSGi specification or vice versa. Recommend no addition request for the thesis or for OSUS solely because this research cites it.</w:t>
      </w:r>
    </w:p>
    <w:p>
      <w:pPr>
        <w:pStyle w:val="Heading3"/>
        <w:keepNext/>
        <w:widowControl/>
      </w:pPr>
      <w:r>
        <w:t>NATO standing and recommended action</w:t>
      </w:r>
    </w:p>
    <w:p>
      <w:pPr>
        <w:widowControl/>
      </w:pPr>
      <w:r>
        <w:t>No NATO adoption of the thesis follows from its subject. Experimentation involving OSUS is separately documented in S51 and remains narrower than a mandate. A future NATO action would concern a selected technical artifact and requirement, not this academic record.</w:t>
      </w:r>
    </w:p>
    <w:p>
      <w:pPr>
        <w:pStyle w:val="Heading2"/>
        <w:keepNext/>
        <w:widowControl/>
      </w:pPr>
      <w:r>
        <w:t>S46  |  Unattended Ground Sensor Survey</w:t>
      </w:r>
    </w:p>
    <w:p>
      <w:pPr>
        <w:pStyle w:val="Reference"/>
        <w:keepNext/>
        <w:widowControl/>
      </w:pPr>
      <w:r>
        <w:t>Armistead, Scott. 2018. Unattended Ground Sensor Survey. DSIAC-2018-0890; report completed April 2018.</w:t>
      </w:r>
    </w:p>
    <w:p>
      <w:pPr>
        <w:pStyle w:val="Reference"/>
        <w:keepNext/>
        <w:widowControl/>
      </w:pPr>
      <w:r>
        <w:t>https://dsiac.dtic.mil/wp-content/uploads/2018/05/2165849_STI_Document.pdf</w:t>
      </w:r>
    </w:p>
    <w:p>
      <w:pPr>
        <w:pStyle w:val="Metadata"/>
        <w:keepNext/>
        <w:widowControl/>
      </w:pPr>
      <w:r>
        <w:t>INSPECTION  Full 38-page PDF recovered; scope, §2, TRSS/McQ/Scorpion sections and selected references inspected; figures visually inspected.  •  12 October 2026</w:t>
      </w:r>
    </w:p>
    <w:p>
      <w:pPr>
        <w:pStyle w:val="Heading3"/>
        <w:keepNext/>
        <w:widowControl/>
      </w:pPr>
      <w:r>
        <w:t>Purpose and intended community</w:t>
      </w:r>
    </w:p>
    <w:p>
      <w:pPr>
        <w:widowControl/>
      </w:pPr>
      <w:r>
        <w:t>The survey supports a technical inquiry concerning unattended sensors, including deployment suitability. It organizes the assessment around sensing, communications, location, operating duration, physical/environmental characteristics and power. Its purpose is engineering option awareness, not definition of a common exchange standard (Armistead 2018).</w:t>
      </w:r>
    </w:p>
    <w:p>
      <w:pPr>
        <w:pStyle w:val="Heading3"/>
        <w:keepNext/>
        <w:widowControl/>
      </w:pPr>
      <w:r>
        <w:t>Relevant content and inspection boundary</w:t>
      </w:r>
    </w:p>
    <w:p>
      <w:pPr>
        <w:widowControl/>
      </w:pPr>
      <w:r>
        <w:t>The inspected product sections extend beyond the two manual excerpts and include TRSS Imager II and McQ material. The report relays manufacturer capabilities and references rather than independently proving each performance claim. Its 2018 date and short inquiry context are retained.</w:t>
      </w:r>
    </w:p>
    <w:p>
      <w:pPr>
        <w:pStyle w:val="Heading3"/>
        <w:keepNext/>
        <w:widowControl/>
      </w:pPr>
      <w:r>
        <w:t>Relevance and relationship to the OGC profile</w:t>
      </w:r>
    </w:p>
    <w:p>
      <w:pPr>
        <w:widowControl/>
      </w:pPr>
      <w:r>
        <w:t>The survey supplies a useful independent check on whole-system profile coverage. It supports asking about deployment, communications and energy alongside sensing instead of treating them as optional scope expansions. It does not settle an external information model or establish a current API payload.</w:t>
      </w:r>
    </w:p>
    <w:p>
      <w:pPr>
        <w:pStyle w:val="Heading3"/>
        <w:keepNext/>
        <w:widowControl/>
      </w:pPr>
      <w:r>
        <w:t>What implementation would mean</w:t>
      </w:r>
    </w:p>
    <w:p>
      <w:pPr>
        <w:widowControl/>
      </w:pPr>
      <w:r>
        <w:t>MERLIN would not implement this survey as a technical standard. Its information subjects guide the comparison of candidate models and profile coverage. Any product-derived instance values or operational behaviors would still need appropriate source evidence.</w:t>
      </w:r>
    </w:p>
    <w:p>
      <w:pPr>
        <w:pStyle w:val="Heading3"/>
        <w:keepNext/>
        <w:widowControl/>
      </w:pPr>
      <w:r>
        <w:t>Openness, artifacts and remaining limits</w:t>
      </w:r>
    </w:p>
    <w:p>
      <w:pPr>
        <w:widowControl/>
      </w:pPr>
      <w:r>
        <w:t>The full report is publicly hosted by DSIAC/DTIC and was recovered for reading. Embedded manufacturer figures retain their own provenance and are not copied into this paper. The report’s cover date, not a differing web-post date, is used for the bibliographic description.</w:t>
      </w:r>
    </w:p>
    <w:p>
      <w:pPr>
        <w:pStyle w:val="Heading3"/>
        <w:keepNext/>
        <w:widowControl/>
      </w:pPr>
      <w:r>
        <w:t>DISR standing and recommended action</w:t>
      </w:r>
    </w:p>
    <w:p>
      <w:pPr>
        <w:widowControl/>
      </w:pPr>
      <w:r>
        <w:t>This survey is not selected as a DISR implementation standard. No change request is recommended for the publication. Exact standards subsequently selected from its references must be evaluated independently.</w:t>
      </w:r>
    </w:p>
    <w:p>
      <w:pPr>
        <w:pStyle w:val="Heading3"/>
        <w:keepNext/>
        <w:widowControl/>
      </w:pPr>
      <w:r>
        <w:t>NATO standing and recommended action</w:t>
      </w:r>
    </w:p>
    <w:p>
      <w:pPr>
        <w:widowControl/>
      </w:pPr>
      <w:r>
        <w:t>The survey does not establish NATO adoption of the products or models it discusses. It is usable as engineering evidence without becoming an Alliance interface requirement. Recommend no NATO submission for this research publication.</w:t>
      </w:r>
    </w:p>
    <w:p>
      <w:pPr>
        <w:pStyle w:val="Heading2"/>
        <w:keepNext/>
        <w:widowControl/>
      </w:pPr>
      <w:r>
        <w:t>S47  |  OSUS-R Asset interface and capability model</w:t>
      </w:r>
    </w:p>
    <w:p>
      <w:pPr>
        <w:pStyle w:val="Reference"/>
        <w:keepNext/>
        <w:widowControl/>
      </w:pPr>
      <w:r>
        <w:t>OSUS-R Contributors. n.d.. OSUS-R Asset interface and capability model. Commit d09088fbe56d4b64f0544d72e98c3cb70fa941f6. Accessed October 12, 2026.</w:t>
      </w:r>
    </w:p>
    <w:p>
      <w:pPr>
        <w:pStyle w:val="Reference"/>
        <w:keepNext/>
        <w:widowControl/>
      </w:pPr>
      <w:r>
        <w:t>https://github.com/ssg-udri/OSUS-R/blob/d09088fbe56d4b64f0544d72e98c3cb70fa941f6/mil.dod.th.core/src/mil/dod/th/core/asset/Asset.java</w:t>
      </w:r>
    </w:p>
    <w:p>
      <w:pPr>
        <w:pStyle w:val="Metadata"/>
        <w:keepNext/>
        <w:widowControl/>
      </w:pPr>
      <w:r>
        <w:t>INSPECTION  README; Asset.java introductory interface documentation; AssetCapabilities.xsd selected capability/status/command blocks.  •  12 October 2026</w:t>
      </w:r>
    </w:p>
    <w:p>
      <w:pPr>
        <w:pStyle w:val="Heading3"/>
        <w:keepNext/>
        <w:widowControl/>
      </w:pPr>
      <w:r>
        <w:t>Purpose and intended community</w:t>
      </w:r>
    </w:p>
    <w:p>
      <w:pPr>
        <w:widowControl/>
      </w:pPr>
      <w:r>
        <w:t>The public reference implementation exposes a common Asset interface for physical devices that produce data or respond to commands. Its examples include motion detectors, cameras and other networked equipment, and it allows multiple sensors in one asset. It is written for plug-in developers and consumers of OSUS services (OSUS-R Contributors n.d., Asset.java).</w:t>
      </w:r>
    </w:p>
    <w:p>
      <w:pPr>
        <w:pStyle w:val="Heading3"/>
        <w:keepNext/>
        <w:widowControl/>
      </w:pPr>
      <w:r>
        <w:t>Relevant content and inspection boundary</w:t>
      </w:r>
    </w:p>
    <w:p>
      <w:pPr>
        <w:widowControl/>
      </w:pPr>
      <w:r>
        <w:t>The capability schema separates sensing and media capabilities from command and status descriptions. It includes power-related status availability alongside other device information. The README specifies Java/OSGi services and a plug-in approach, making the implementation context explicit rather than a free-standing CSAPI model.</w:t>
      </w:r>
    </w:p>
    <w:p>
      <w:pPr>
        <w:pStyle w:val="Heading3"/>
        <w:keepNext/>
        <w:widowControl/>
      </w:pPr>
      <w:r>
        <w:t>Relevance and relationship to the OGC profile</w:t>
      </w:r>
    </w:p>
    <w:p>
      <w:pPr>
        <w:widowControl/>
      </w:pPr>
      <w:r>
        <w:t>This provides a concrete expert abstraction broad enough to include UGS and other managed devices. Its proposed MERLIN role is to inform coherent domain-content selection, not to recreate an OSUS browser or replace OGC. Deployment and service-history coverage must still be connected to the appropriate OGC and lifecycle concepts.</w:t>
      </w:r>
    </w:p>
    <w:p>
      <w:pPr>
        <w:pStyle w:val="Heading3"/>
        <w:keepNext/>
        <w:widowControl/>
      </w:pPr>
      <w:r>
        <w:t>What implementation would mean</w:t>
      </w:r>
    </w:p>
    <w:p>
      <w:pPr>
        <w:widowControl/>
      </w:pPr>
      <w:r>
        <w:t>A native OSUS implementation would satisfy the selected release’s service and plug-in contracts. Translating selected model content into SensorML is instead a new binding, unless an applicable published correspondence is found. Neither a capability list nor an OGC document alone establishes native OSUS implementation.</w:t>
      </w:r>
    </w:p>
    <w:p>
      <w:pPr>
        <w:pStyle w:val="Heading3"/>
        <w:keepNext/>
        <w:widowControl/>
      </w:pPr>
      <w:r>
        <w:t>Openness, artifacts and remaining limits</w:t>
      </w:r>
    </w:p>
    <w:p>
      <w:pPr>
        <w:widowControl/>
      </w:pPr>
      <w:r>
        <w:t>The inspected software files carry a CC0 dedication, and the repository’s version is pinned for reproducibility. That notice does not automatically cover every referenced external specification or a separately distributed standards document. No build, device connection or conformance execution was performed.</w:t>
      </w:r>
    </w:p>
    <w:p>
      <w:pPr>
        <w:pStyle w:val="Heading3"/>
        <w:keepNext/>
        <w:widowControl/>
      </w:pPr>
      <w:r>
        <w:t>DISR standing and recommended action</w:t>
      </w:r>
    </w:p>
    <w:p>
      <w:pPr>
        <w:widowControl/>
      </w:pPr>
      <w:r>
        <w:t>OSUS has no independent entry in the successful current-baseline checks. No addition is recommended for its present comparator role. A future native OSUS or normative profile dependency would require a distinct exact-version applicability case.</w:t>
      </w:r>
    </w:p>
    <w:p>
      <w:pPr>
        <w:pStyle w:val="Heading3"/>
        <w:keepNext/>
        <w:widowControl/>
      </w:pPr>
      <w:r>
        <w:t>NATO standing and recommended action</w:t>
      </w:r>
    </w:p>
    <w:p>
      <w:pPr>
        <w:widowControl/>
      </w:pPr>
      <w:r>
        <w:t>Dstl’s experimentation record supports a limited OSUS–OGC relationship, not a NATO mandate for this repository. No exact NATO adoption of the pinned code release is established. Recommend retaining the evidence and using the existing sensor-profile coordination route for a justified future technical proposal.</w:t>
      </w:r>
    </w:p>
    <w:p>
      <w:pPr>
        <w:pStyle w:val="Heading3"/>
        <w:keepNext/>
        <w:widowControl/>
      </w:pPr>
      <w:r>
        <w:t>Supporting artifacts / stable locators</w:t>
      </w:r>
    </w:p>
    <w:p>
      <w:pPr>
        <w:pStyle w:val="Reference"/>
        <w:keepNext/>
        <w:widowControl/>
      </w:pPr>
      <w:r>
        <w:t>https://github.com/ssg-udri/OSUS-R/blob/d09088fbe56d4b64f0544d72e98c3cb70fa941f6/README.md</w:t>
      </w:r>
    </w:p>
    <w:p>
      <w:pPr>
        <w:pStyle w:val="Reference"/>
        <w:keepNext/>
        <w:widowControl/>
      </w:pPr>
      <w:r>
        <w:t>https://github.com/ssg-udri/OSUS-R/blob/d09088fbe56d4b64f0544d72e98c3cb70fa941f6/mil.dod.th.core.lexicon/schemas/core/asset/capability/AssetCapabilities.xsd</w:t>
      </w:r>
    </w:p>
    <w:p>
      <w:pPr>
        <w:pStyle w:val="Heading3"/>
        <w:keepNext/>
        <w:widowControl/>
      </w:pPr>
      <w:r>
        <w:t>Reconciliation note — 17 October 2026</w:t>
      </w:r>
    </w:p>
    <w:p>
      <w:pPr>
        <w:widowControl/>
      </w:pPr>
      <w:r>
        <w:t>The inspected OSUS-R Asset and capability implementation subset remains informative engineering-community evidence for the whole-device scope and function organization. It is not the full native OSUS conformance corpus or an end-to-end MPSS adapter demonstration. The approved Mode placement uses native SensorML rather than importing an OSUS schema wholesale. Broader OSUS mappings remain a bounded donor-coverage question (MERLIN MPSS Profile 2026, R04/R09; MERLIN Update Plan 2026, U-INT-01).</w:t>
      </w:r>
    </w:p>
    <w:p>
      <w:pPr>
        <w:pStyle w:val="Heading2"/>
        <w:keepNext/>
        <w:widowControl/>
      </w:pPr>
      <w:r>
        <w:t>S48  |  Service-oriented Sensor Data Interoperability for IEEE 1451 Smart Transducers</w:t>
      </w:r>
    </w:p>
    <w:p>
      <w:pPr>
        <w:pStyle w:val="Reference"/>
        <w:keepNext/>
        <w:widowControl/>
      </w:pPr>
      <w:r>
        <w:t>Song, Eugene Y., and Kang B. Lee. 2009. Service-oriented Sensor Data Interoperability for IEEE 1451 Smart Transducers. I2MTC 2009, Singapore, May 5–7, pp. 1043–1048.</w:t>
      </w:r>
    </w:p>
    <w:p>
      <w:pPr>
        <w:pStyle w:val="Reference"/>
        <w:keepNext/>
        <w:widowControl/>
      </w:pPr>
      <w:r>
        <w:t>https://tsapps.nist.gov/publication/get_pdf.cfm?pub_id=902312</w:t>
      </w:r>
    </w:p>
    <w:p>
      <w:pPr>
        <w:pStyle w:val="Metadata"/>
        <w:keepNext/>
        <w:widowControl/>
      </w:pPr>
      <w:r>
        <w:t>INSPECTION  Full six-page paper recovered; §§I, III–V and prototype figures inspected.  •  12 October 2026</w:t>
      </w:r>
    </w:p>
    <w:p>
      <w:pPr>
        <w:pStyle w:val="Heading3"/>
        <w:keepNext/>
        <w:widowControl/>
      </w:pPr>
      <w:r>
        <w:t>Purpose and intended community</w:t>
      </w:r>
    </w:p>
    <w:p>
      <w:pPr>
        <w:widowControl/>
      </w:pPr>
      <w:r>
        <w:t>The authors present an architecture and prototype connecting IEEE 1451 smart transducers to OGC SWE through Smart Transducer Web Services. The intended audience is sensor and application integrators. The paper separates the transducer-side interface from the application-facing services (Song and Lee 2009).</w:t>
      </w:r>
    </w:p>
    <w:p>
      <w:pPr>
        <w:pStyle w:val="Heading3"/>
        <w:keepNext/>
        <w:widowControl/>
      </w:pPr>
      <w:r>
        <w:t>Relevant content and inspection boundary</w:t>
      </w:r>
    </w:p>
    <w:p>
      <w:pPr>
        <w:widowControl/>
      </w:pPr>
      <w:r>
        <w:t>The environmental-monitoring example combines an NCAP/TIM arrangement with gas sensors and demonstrates remote data reading through SOS. The paper also discusses different placements of the bridge service. Its demonstrated scope is not the complete operational lifecycle or today’s CSAPI implementation.</w:t>
      </w:r>
    </w:p>
    <w:p>
      <w:pPr>
        <w:pStyle w:val="Heading3"/>
        <w:keepNext/>
        <w:widowControl/>
      </w:pPr>
      <w:r>
        <w:t>Relevance and relationship to the OGC profile</w:t>
      </w:r>
    </w:p>
    <w:p>
      <w:pPr>
        <w:widowControl/>
      </w:pPr>
      <w:r>
        <w:t>This is concrete evidence that a specialized device standard and an OGC access framework can be deliberately combined. It supports the architecture concept without establishing a ready profile for MERLIN. It also provides a non-UGS system example with engineering similarity beyond a bare component datasheet.</w:t>
      </w:r>
    </w:p>
    <w:p>
      <w:pPr>
        <w:pStyle w:val="Heading3"/>
        <w:keepNext/>
        <w:widowControl/>
      </w:pPr>
      <w:r>
        <w:t>What implementation would mean</w:t>
      </w:r>
    </w:p>
    <w:p>
      <w:pPr>
        <w:widowControl/>
      </w:pPr>
      <w:r>
        <w:t>Reproducing the historical implementation would entail its actual IEEE, STWS and SOS contracts. MERLIN is not proposed to deploy that legacy stack. A current CSAPI profile or bridge would need its own bindings and should not inherit the prototype’s implementation claim.</w:t>
      </w:r>
    </w:p>
    <w:p>
      <w:pPr>
        <w:pStyle w:val="Heading3"/>
        <w:keepNext/>
        <w:widowControl/>
      </w:pPr>
      <w:r>
        <w:t>Openness, artifacts and remaining limits</w:t>
      </w:r>
    </w:p>
    <w:p>
      <w:pPr>
        <w:widowControl/>
      </w:pPr>
      <w:r>
        <w:t>NIST hosts the full paper, which identifies its authors on the first page as Eugene Y. Song and Kang B. Lee. The IEEE publication notice remains visible; public access is not blanket figure-redistribution permission. No experiment was rerun, and the text is used as historical technical evidence.</w:t>
      </w:r>
    </w:p>
    <w:p>
      <w:pPr>
        <w:pStyle w:val="Heading3"/>
        <w:keepNext/>
        <w:widowControl/>
      </w:pPr>
      <w:r>
        <w:t>DISR standing and recommended action</w:t>
      </w:r>
    </w:p>
    <w:p>
      <w:pPr>
        <w:widowControl/>
      </w:pPr>
      <w:r>
        <w:t>The baseline separately lists older IEEE 1451 editions as Retired and ISO/IEC/IEEE 21451-1, -2 and -4:2010 as Emerging / IC-Emerging. The paper does not transfer adoption between those editions. Recommend no request for the paper and no legacy implementation merely to repeat its demonstration.</w:t>
      </w:r>
    </w:p>
    <w:p>
      <w:pPr>
        <w:pStyle w:val="Heading3"/>
        <w:keepNext/>
        <w:widowControl/>
      </w:pPr>
      <w:r>
        <w:t>NATO standing and recommended action</w:t>
      </w:r>
    </w:p>
    <w:p>
      <w:pPr>
        <w:widowControl/>
      </w:pPr>
      <w:r>
        <w:t>No NATO implementation obligation is established by this prototype. Its OGC participation does not itself constitute NATO adoption. Any future device-interface requirement must identify the exact technical edition and applicable profile separately.</w:t>
      </w:r>
    </w:p>
    <w:p>
      <w:pPr>
        <w:pStyle w:val="Heading2"/>
        <w:keepNext/>
        <w:widowControl/>
      </w:pPr>
      <w:r>
        <w:t>S49  |  IoT Device Cybersecurity Capability Core Baseline</w:t>
      </w:r>
    </w:p>
    <w:p>
      <w:pPr>
        <w:pStyle w:val="Reference"/>
        <w:keepNext/>
        <w:widowControl/>
      </w:pPr>
      <w:r>
        <w:t>Fagan, Michael, Katerina N. Megas, Karen Scarfone, and Matthew Smith. 2020. IoT Device Cybersecurity Capability Core Baseline. NISTIR 8259A.</w:t>
      </w:r>
    </w:p>
    <w:p>
      <w:pPr>
        <w:pStyle w:val="Reference"/>
        <w:keepNext/>
        <w:widowControl/>
      </w:pPr>
      <w:r>
        <w:t>https://nvlpubs.nist.gov/nistpubs/ir/2020/NIST.IR.8259A.pdf</w:t>
      </w:r>
    </w:p>
    <w:p>
      <w:pPr>
        <w:pStyle w:val="Metadata"/>
        <w:keepNext/>
        <w:widowControl/>
      </w:pPr>
      <w:r>
        <w:t>INSPECTION  Full public PDF recovered; introduction and stated scope inspected.  •  12 October 2026</w:t>
      </w:r>
    </w:p>
    <w:p>
      <w:pPr>
        <w:pStyle w:val="Heading3"/>
        <w:keepNext/>
        <w:widowControl/>
      </w:pPr>
      <w:r>
        <w:t>Purpose and intended community</w:t>
      </w:r>
    </w:p>
    <w:p>
      <w:pPr>
        <w:widowControl/>
      </w:pPr>
      <w:r>
        <w:t>The report addresses cybersecurity capabilities for IoT devices and their manufacturers. Its introduction characterizes devices through computing, physical/sensing capabilities and a network interface. That scope supports a broad connected-device comparison but is not a complete operational information model (Fagan et al. 2020, §1).</w:t>
      </w:r>
    </w:p>
    <w:p>
      <w:pPr>
        <w:pStyle w:val="Heading3"/>
        <w:keepNext/>
        <w:widowControl/>
      </w:pPr>
      <w:r>
        <w:t>Relevant content and inspection boundary</w:t>
      </w:r>
    </w:p>
    <w:p>
      <w:pPr>
        <w:widowControl/>
      </w:pPr>
      <w:r>
        <w:t>The publication’s substantive subject is cybersecurity capability. This study uses its category framing rather than importing all of its content into the sensor profile. Internet connectivity, device security controls and domain-description coverage must not be treated as interchangeable questions.</w:t>
      </w:r>
    </w:p>
    <w:p>
      <w:pPr>
        <w:pStyle w:val="Heading3"/>
        <w:keepNext/>
        <w:widowControl/>
      </w:pPr>
      <w:r>
        <w:t>Relevance and relationship to the OGC profile</w:t>
      </w:r>
    </w:p>
    <w:p>
      <w:pPr>
        <w:widowControl/>
      </w:pPr>
      <w:r>
        <w:t>It corroborates why connected sensing equipment belongs to a wider engineering family. It does not determine which equipment, power or lifecycle vocabulary best serves MERLIN. The proposed scope therefore relies on the more specific SNRA and OSUS evidence rather than ending with an uninformative IoT label.</w:t>
      </w:r>
    </w:p>
    <w:p>
      <w:pPr>
        <w:pStyle w:val="Heading3"/>
        <w:keepNext/>
        <w:widowControl/>
      </w:pPr>
      <w:r>
        <w:t>What implementation would mean</w:t>
      </w:r>
    </w:p>
    <w:p>
      <w:pPr>
        <w:widowControl/>
      </w:pPr>
      <w:r>
        <w:t>No new implementation of the cybersecurity baseline is claimed here. Security requirements for an eventual deployment remain governed by their own applicable policies and standards. The present use is a cited classification context.</w:t>
      </w:r>
    </w:p>
    <w:p>
      <w:pPr>
        <w:pStyle w:val="Heading3"/>
        <w:keepNext/>
        <w:widowControl/>
      </w:pPr>
      <w:r>
        <w:t>Openness, artifacts and remaining limits</w:t>
      </w:r>
    </w:p>
    <w:p>
      <w:pPr>
        <w:widowControl/>
      </w:pPr>
      <w:r>
        <w:t>The public NIST PDF was inspected at the specified sections. This was not a complete device-security assessment or a review of all later NIST publications. The edition is fixed to the cited 2020 report.</w:t>
      </w:r>
    </w:p>
    <w:p>
      <w:pPr>
        <w:pStyle w:val="Heading3"/>
        <w:keepNext/>
        <w:widowControl/>
      </w:pPr>
      <w:r>
        <w:t>DISR standing and recommended action</w:t>
      </w:r>
    </w:p>
    <w:p>
      <w:pPr>
        <w:widowControl/>
      </w:pPr>
      <w:r>
        <w:t>NISTIR 8259A has no entry in the checked baseline. The matching RFC 8259 record concerns JSON and is not this publication. Recommend no category-driven addition; any security-standard selection would require its separate applicability decision.</w:t>
      </w:r>
    </w:p>
    <w:p>
      <w:pPr>
        <w:pStyle w:val="Heading3"/>
        <w:keepNext/>
        <w:widowControl/>
      </w:pPr>
      <w:r>
        <w:t>NATO standing and recommended action</w:t>
      </w:r>
    </w:p>
    <w:p>
      <w:pPr>
        <w:widowControl/>
      </w:pPr>
      <w:r>
        <w:t>No NATO adoption of this exact report is established. General IoT relevance is not an Alliance mandate. Recommend no NATO action from this research use.</w:t>
      </w:r>
    </w:p>
    <w:p>
      <w:pPr>
        <w:pStyle w:val="Heading2"/>
        <w:keepNext/>
        <w:widowControl/>
      </w:pPr>
      <w:r>
        <w:t>S50  |  Terminology for Constrained-Node Networks</w:t>
      </w:r>
    </w:p>
    <w:p>
      <w:pPr>
        <w:pStyle w:val="Reference"/>
        <w:keepNext/>
        <w:widowControl/>
      </w:pPr>
      <w:r>
        <w:t>Bormann, Carsten, Mehmet Ersue, and Ari Keränen. 2014. Terminology for Constrained-Node Networks. RFC 7228; Informational.</w:t>
      </w:r>
    </w:p>
    <w:p>
      <w:pPr>
        <w:pStyle w:val="Reference"/>
        <w:keepNext/>
        <w:widowControl/>
      </w:pPr>
      <w:r>
        <w:t>https://www.rfc-editor.org/rfc/rfc7228.html</w:t>
      </w:r>
    </w:p>
    <w:p>
      <w:pPr>
        <w:pStyle w:val="Metadata"/>
        <w:keepNext/>
        <w:widowControl/>
      </w:pPr>
      <w:r>
        <w:t>INSPECTION  Definitions and §§3–4, especially energy limitations and power strategies.  •  12 October 2026</w:t>
      </w:r>
    </w:p>
    <w:p>
      <w:pPr>
        <w:pStyle w:val="Heading3"/>
        <w:keepNext/>
        <w:widowControl/>
      </w:pPr>
      <w:r>
        <w:t>Purpose and intended community</w:t>
      </w:r>
    </w:p>
    <w:p>
      <w:pPr>
        <w:widowControl/>
      </w:pPr>
      <w:r>
        <w:t>RFC 7228 supplies terminology for constrained devices and networks. It addresses resource limits and distinguishes several energy constraints and power strategies. Its purpose is consistent engineering discussion, not a complete device-management or power-description schema (Bormann, Ersue, and Keränen 2014).</w:t>
      </w:r>
    </w:p>
    <w:p>
      <w:pPr>
        <w:pStyle w:val="Heading3"/>
        <w:keepNext/>
        <w:widowControl/>
      </w:pPr>
      <w:r>
        <w:t>Relevant content and inspection boundary</w:t>
      </w:r>
    </w:p>
    <w:p>
      <w:pPr>
        <w:widowControl/>
      </w:pPr>
      <w:r>
        <w:t>Energy limitations can concern individual events, periods between replenishment, a lifetime supply, or effectively unconstrained operation. Such distinctions may cut across device families. They do not establish that every UGS has the same constraints.</w:t>
      </w:r>
    </w:p>
    <w:p>
      <w:pPr>
        <w:pStyle w:val="Heading3"/>
        <w:keepNext/>
        <w:widowControl/>
      </w:pPr>
      <w:r>
        <w:t>Relevance and relationship to the OGC profile</w:t>
      </w:r>
    </w:p>
    <w:p>
      <w:pPr>
        <w:widowControl/>
      </w:pPr>
      <w:r>
        <w:t>This is useful for explaining variations within a broader sensing-system profile. It complements the Power Source inquiry without restricting that work to battery-only devices. Specific limits must come from the relevant system evidence rather than from the category name.</w:t>
      </w:r>
    </w:p>
    <w:p>
      <w:pPr>
        <w:pStyle w:val="Heading3"/>
        <w:keepNext/>
        <w:widowControl/>
      </w:pPr>
      <w:r>
        <w:t>What implementation would mean</w:t>
      </w:r>
    </w:p>
    <w:p>
      <w:pPr>
        <w:widowControl/>
      </w:pPr>
      <w:r>
        <w:t>Using the terminology is not implementing a native network protocol. A profile may reference applicable terms, with the exact intended meaning stated. Any executable resource model would come from a separate specification or authored binding.</w:t>
      </w:r>
    </w:p>
    <w:p>
      <w:pPr>
        <w:pStyle w:val="Heading3"/>
        <w:keepNext/>
        <w:widowControl/>
      </w:pPr>
      <w:r>
        <w:t>Openness, artifacts and remaining limits</w:t>
      </w:r>
    </w:p>
    <w:p>
      <w:pPr>
        <w:widowControl/>
      </w:pPr>
      <w:r>
        <w:t>The complete RFC is publicly inspectable under its published rights notice. Its Informational status and 2014 edition are retained. This increment did not benchmark devices or assign a measured constraint class to the reference cases.</w:t>
      </w:r>
    </w:p>
    <w:p>
      <w:pPr>
        <w:pStyle w:val="Heading3"/>
        <w:keepNext/>
        <w:widowControl/>
      </w:pPr>
      <w:r>
        <w:t>DISR standing and recommended action</w:t>
      </w:r>
    </w:p>
    <w:p>
      <w:pPr>
        <w:widowControl/>
      </w:pPr>
      <w:r>
        <w:t>RFC 7228 is absent from the successful baseline checks. No addition is recommended solely for informative category terminology. A future normative reliance would be assessed with the actual profile and its selected scope.</w:t>
      </w:r>
    </w:p>
    <w:p>
      <w:pPr>
        <w:pStyle w:val="Heading3"/>
        <w:keepNext/>
        <w:widowControl/>
      </w:pPr>
      <w:r>
        <w:t>NATO standing and recommended action</w:t>
      </w:r>
    </w:p>
    <w:p>
      <w:pPr>
        <w:widowControl/>
      </w:pPr>
      <w:r>
        <w:t>No exact NATO adoption is established. A constrained-network term can inform the research without defining a NATO interoperability obligation. Any formal profile reference should state the applicable constraint rather than imply that the entire Alliance sensor estate has it.</w:t>
      </w:r>
    </w:p>
    <w:p>
      <w:pPr>
        <w:pStyle w:val="Heading2"/>
        <w:keepNext/>
        <w:widowControl/>
      </w:pPr>
      <w:r>
        <w:t>S51  |  SAPIENT autonomous sensor system</w:t>
      </w:r>
    </w:p>
    <w:p>
      <w:pPr>
        <w:pStyle w:val="Reference"/>
        <w:keepNext/>
        <w:widowControl/>
      </w:pPr>
      <w:r>
        <w:t>Defence Science and Technology Laboratory. 2024. SAPIENT autonomous sensor system. GOV.UK guidance; updated September 6, 2024.</w:t>
      </w:r>
    </w:p>
    <w:p>
      <w:pPr>
        <w:pStyle w:val="Reference"/>
        <w:keepNext/>
        <w:widowControl/>
      </w:pPr>
      <w:r>
        <w:t>https://www.gov.uk/guidance/sapient-autonomous-sensor-system</w:t>
      </w:r>
    </w:p>
    <w:p>
      <w:pPr>
        <w:pStyle w:val="Metadata"/>
        <w:keepNext/>
        <w:widowControl/>
      </w:pPr>
      <w:r>
        <w:t>INSPECTION  Official guidance, version history and multinational experimentation account.  •  12 October 2026</w:t>
      </w:r>
    </w:p>
    <w:p>
      <w:pPr>
        <w:pStyle w:val="Heading3"/>
        <w:keepNext/>
        <w:widowControl/>
      </w:pPr>
      <w:r>
        <w:t>Purpose and intended community</w:t>
      </w:r>
    </w:p>
    <w:p>
      <w:pPr>
        <w:widowControl/>
      </w:pPr>
      <w:r>
        <w:t>The guidance explains SAPIENT and reports its use in multinational experimentation. It includes combined use of SAPIENT, OSUS and OGC SWE with fixed and mobile ISR assets. This is official evidence that the communities have been connected in practice (Defence Science and Technology Laboratory 2024).</w:t>
      </w:r>
    </w:p>
    <w:p>
      <w:pPr>
        <w:pStyle w:val="Heading3"/>
        <w:keepNext/>
        <w:widowControl/>
      </w:pPr>
      <w:r>
        <w:t>Relevant content and inspection boundary</w:t>
      </w:r>
    </w:p>
    <w:p>
      <w:pPr>
        <w:widowControl/>
      </w:pPr>
      <w:r>
        <w:t>The account establishes participation and a reported experimentation relationship. It does not provide the complete crosswalk, current interface edition or a deployed MERLIN capability. No detailed model correspondence is inferred from the names appearing together.</w:t>
      </w:r>
    </w:p>
    <w:p>
      <w:pPr>
        <w:pStyle w:val="Heading3"/>
        <w:keepNext/>
        <w:widowControl/>
      </w:pPr>
      <w:r>
        <w:t>Relevance and relationship to the OGC profile</w:t>
      </w:r>
    </w:p>
    <w:p>
      <w:pPr>
        <w:widowControl/>
      </w:pPr>
      <w:r>
        <w:t>This weakens any unsupported assumption that all of these frameworks are simply mutually exclusive alternatives. It supports investigating which responsibilities they performed and which descriptions could be reused. It does not select SAPIENT or OSUS as a replacement for CSAPI.</w:t>
      </w:r>
    </w:p>
    <w:p>
      <w:pPr>
        <w:pStyle w:val="Heading3"/>
        <w:keepNext/>
        <w:widowControl/>
      </w:pPr>
      <w:r>
        <w:t>What implementation would mean</w:t>
      </w:r>
    </w:p>
    <w:p>
      <w:pPr>
        <w:widowControl/>
      </w:pPr>
      <w:r>
        <w:t>MERLIN is not proposed to implement SAPIENT merely because the experiment used it. A native integration would require its actual versioned technical specification. The present use is a bounded implementation-context reference.</w:t>
      </w:r>
    </w:p>
    <w:p>
      <w:pPr>
        <w:pStyle w:val="Heading3"/>
        <w:keepNext/>
        <w:widowControl/>
      </w:pPr>
      <w:r>
        <w:t>Openness, artifacts and remaining limits</w:t>
      </w:r>
    </w:p>
    <w:p>
      <w:pPr>
        <w:widowControl/>
      </w:pPr>
      <w:r>
        <w:t>The official public page and its dated update were inspected. Later changes to SAPIENT or associated standardization are not inferred from this 2024 account. No experimental dataset or unpublished trial documentation was accessed.</w:t>
      </w:r>
    </w:p>
    <w:p>
      <w:pPr>
        <w:pStyle w:val="Heading3"/>
        <w:keepNext/>
        <w:widowControl/>
      </w:pPr>
      <w:r>
        <w:t>DISR standing and recommended action</w:t>
      </w:r>
    </w:p>
    <w:p>
      <w:pPr>
        <w:widowControl/>
      </w:pPr>
      <w:r>
        <w:t>SAPIENT has no entry in the successful baseline checks. This guidance page is not the technical artifact that would be proposed for addition. Recommend no immediate request; identify an actual interface dependency before reconsidering.</w:t>
      </w:r>
    </w:p>
    <w:p>
      <w:pPr>
        <w:pStyle w:val="Heading3"/>
        <w:keepNext/>
        <w:widowControl/>
      </w:pPr>
      <w:r>
        <w:t>NATO standing and recommended action</w:t>
      </w:r>
    </w:p>
    <w:p>
      <w:pPr>
        <w:widowControl/>
      </w:pPr>
      <w:r>
        <w:t>A multinational or NATO-related experiment is not equivalent to a STANAG mandate or national implementation decision. No exact NATO adoption of the referenced releases is established by this page. Use it as cooperative evidence and keep the existing STANAG 4789 coordination context separate.</w:t>
      </w:r>
    </w:p>
    <w:p>
      <w:pPr>
        <w:pStyle w:val="Heading3"/>
        <w:keepNext/>
        <w:widowControl/>
      </w:pPr>
      <w:r>
        <w:t>Reconciliation note — 17 October 2026</w:t>
      </w:r>
    </w:p>
    <w:p>
      <w:pPr>
        <w:widowControl/>
      </w:pPr>
      <w:r>
        <w:t>This annotation retains the historical 2024 guidance identity and the prior study’s attributed experimentation account. The current guidance page is separately recorded as S124 with its 14 October 2026 revision date; its inspected content did not reproduce the historical OSUS wording. Reported joint use of SAPIENT, OSUS and SWE remains historical evidence inherited from this source annotation, not newly verified normative dependence or mutual conformance. The full technical SAPIENT v2 specification now has its own record, S110.</w:t>
      </w:r>
    </w:p>
    <w:p>
      <w:pPr>
        <w:pStyle w:val="Heading2"/>
        <w:keepNext/>
        <w:widowControl/>
      </w:pPr>
      <w:r>
        <w:t>S52  |  Information technology—Sensor networks: Sensor Network Reference Architecture (SNRA)—Part 4: Entity models</w:t>
      </w:r>
    </w:p>
    <w:p>
      <w:pPr>
        <w:pStyle w:val="Reference"/>
        <w:keepNext/>
        <w:widowControl/>
      </w:pPr>
      <w:r>
        <w:t>ISO/IEC. 2013. Information technology—Sensor networks: Sensor Network Reference Architecture (SNRA)—Part 4: Entity models. ISO/IEC 29182-4:2013, edition 1.</w:t>
      </w:r>
    </w:p>
    <w:p>
      <w:pPr>
        <w:pStyle w:val="Reference"/>
        <w:keepNext/>
        <w:widowControl/>
      </w:pPr>
      <w:r>
        <w:t>https://www.iso.org/standard/57094.html</w:t>
      </w:r>
    </w:p>
    <w:p>
      <w:pPr>
        <w:pStyle w:val="Metadata"/>
        <w:keepNext/>
        <w:widowControl/>
      </w:pPr>
      <w:r>
        <w:t>INSPECTION  Official catalog plus public standard preview: introduction, §5, §6.1.1, Figures 1–2 and Table 1; later detailed clauses not inspected.  •  12 October 2026</w:t>
      </w:r>
    </w:p>
    <w:p>
      <w:pPr>
        <w:pStyle w:val="Heading3"/>
        <w:keepNext/>
        <w:widowControl/>
      </w:pPr>
      <w:r>
        <w:t>Purpose and intended community</w:t>
      </w:r>
    </w:p>
    <w:p>
      <w:pPr>
        <w:widowControl/>
      </w:pPr>
      <w:r>
        <w:t>The standard provides entity models for sensor-network designers and integrators. It distinguishes physical from functional entities and presents high-level node and network organization. Its purpose is broader reusable architecture, not a supplier-specific UGS description (ISO/IEC 2013).</w:t>
      </w:r>
    </w:p>
    <w:p>
      <w:pPr>
        <w:pStyle w:val="Heading3"/>
        <w:keepNext/>
        <w:widowControl/>
      </w:pPr>
      <w:r>
        <w:t>Relevant content and inspection boundary</w:t>
      </w:r>
    </w:p>
    <w:p>
      <w:pPr>
        <w:widowControl/>
      </w:pPr>
      <w:r>
        <w:t>The inspected overview coordinates devices with functions and management concerns. Detailed later clauses were outside the recovered preview. No complete domain dictionary or current OGC binding is attributed to it.</w:t>
      </w:r>
    </w:p>
    <w:p>
      <w:pPr>
        <w:pStyle w:val="Heading3"/>
        <w:keepNext/>
        <w:widowControl/>
      </w:pPr>
      <w:r>
        <w:t>Relevance and relationship to the OGC profile</w:t>
      </w:r>
    </w:p>
    <w:p>
      <w:pPr>
        <w:widowControl/>
      </w:pPr>
      <w:r>
        <w:t>This directly answers the need for an established category in which the reference systems can be assessed. This study recommends using it to guide profile coverage, not reproducing its diagrams as a UI or requiring every possible entity. OEM conformance or historical adoption is not inferred from conceptual fit.</w:t>
      </w:r>
    </w:p>
    <w:p>
      <w:pPr>
        <w:pStyle w:val="Heading3"/>
        <w:keepNext/>
        <w:widowControl/>
      </w:pPr>
      <w:r>
        <w:t>What implementation would mean</w:t>
      </w:r>
    </w:p>
    <w:p>
      <w:pPr>
        <w:widowControl/>
      </w:pPr>
      <w:r>
        <w:t>The introduction states that the series has no compliance requirements of its own. Its present role is a cited architectural reference, while an eventual OGC profile would state its separate implementable requirements. Claims of SNRA certification would therefore be inappropriate.</w:t>
      </w:r>
    </w:p>
    <w:p>
      <w:pPr>
        <w:pStyle w:val="Heading3"/>
        <w:keepNext/>
        <w:widowControl/>
      </w:pPr>
      <w:r>
        <w:t>Openness, artifacts and remaining limits</w:t>
      </w:r>
    </w:p>
    <w:p>
      <w:pPr>
        <w:widowControl/>
      </w:pPr>
      <w:r>
        <w:t>The official catalog identifies a published International Standard; the inspected preview reproduces only part of its text. ISO/IEC copyright and reuse restrictions remain relevant, and no figures are redistributed here. Full authorized text is needed before adopting unread detailed provisions, not before drawing the limited scope conclusion.</w:t>
      </w:r>
    </w:p>
    <w:p>
      <w:pPr>
        <w:pStyle w:val="Heading3"/>
        <w:keepNext/>
        <w:widowControl/>
      </w:pPr>
      <w:r>
        <w:t>DISR standing and recommended action</w:t>
      </w:r>
    </w:p>
    <w:p>
      <w:pPr>
        <w:widowControl/>
      </w:pPr>
      <w:r>
        <w:t>ISO/IEC 29182-4 is absent from the successful exact-identifier baseline check. No addition is recommended merely to use an architectural reference in research. A later normative dependency or formal profile citation should be justified and routed as that specific artifact.</w:t>
      </w:r>
    </w:p>
    <w:p>
      <w:pPr>
        <w:pStyle w:val="Heading3"/>
        <w:keepNext/>
        <w:widowControl/>
      </w:pPr>
      <w:r>
        <w:t>NATO standing and recommended action</w:t>
      </w:r>
    </w:p>
    <w:p>
      <w:pPr>
        <w:widowControl/>
      </w:pPr>
      <w:r>
        <w:t>No exact NATO adoption has been established for this edition. An international standard’s publication is not Alliance adoption. Recommend no immediate NATO submission; a justified profile should explain this reference’s scope role through the relevant custodial process.</w:t>
      </w:r>
    </w:p>
    <w:p>
      <w:pPr>
        <w:pStyle w:val="Heading3"/>
        <w:keepNext/>
        <w:widowControl/>
      </w:pPr>
      <w:r>
        <w:t>Supporting artifacts / stable locators</w:t>
      </w:r>
    </w:p>
    <w:p>
      <w:pPr>
        <w:pStyle w:val="Reference"/>
        <w:keepNext/>
        <w:widowControl/>
      </w:pPr>
      <w:r>
        <w:t>https://cdn.standards.iteh.ai/samples/57094/99af0cb09ebb4ac9bd460d39eab6b76f/ISO-IEC-29182-4-2013.pdf</w:t>
      </w:r>
    </w:p>
    <w:p>
      <w:pPr>
        <w:pStyle w:val="Heading1"/>
        <w:keepNext/>
        <w:widowControl/>
      </w:pPr>
      <w:r>
        <w:t>X. Supplemental studies and directly compared sources (13–14 October 2026)</w:t>
      </w:r>
    </w:p>
    <w:p>
      <w:pPr>
        <w:widowControl/>
      </w:pPr>
      <w:r>
        <w:t>This supplement retains the source IDs of the original research and uses new identifiers S53–S109. Its citations and scope derive from the dated Power Source, ISA, IEEE 1451/TEDS and foundational-semantics documents, plus inspected supporting profile/primer artifacts. An annotation may record a publication that was compared through an official catalog or sibling study rather than read in full; the inspection line determines the defensible claim. The separate register is the machine-sortable companion, including dispositions, limits, adopted versus proposed relationships and source/access gaps.</w:t>
      </w:r>
    </w:p>
    <w:p>
      <w:pPr>
        <w:pStyle w:val="Heading2"/>
        <w:keepNext/>
        <w:widowControl/>
      </w:pPr>
      <w:r>
        <w:t>S53  |  The Interfaces Group MIB</w:t>
      </w:r>
    </w:p>
    <w:p>
      <w:pPr>
        <w:pStyle w:val="Reference"/>
        <w:keepNext/>
        <w:widowControl/>
      </w:pPr>
      <w:r>
        <w:t>McCloghrie, Keith, and Frank Kastenholz. 2000. “The Interfaces Group MIB.” RFC 2863. June.</w:t>
      </w:r>
    </w:p>
    <w:p>
      <w:pPr>
        <w:pStyle w:val="Metadata"/>
        <w:keepNext/>
        <w:widowControl/>
      </w:pPr>
      <w:r>
        <w:t>INSPECTION  Selected published RFC clauses and interface model; later profile/ISA comparison  •  Primary publication or selected artifact examined  •  added 14 October 2026</w:t>
      </w:r>
    </w:p>
    <w:p>
      <w:pPr>
        <w:pStyle w:val="SupplementNote"/>
        <w:keepNext/>
        <w:widowControl/>
      </w:pPr>
      <w:r>
        <w:t>PRIMARY LOCATOR  https://www.rfc-editor.org/rfc/rfc2863.html</w:t>
      </w:r>
    </w:p>
    <w:p>
      <w:pPr>
        <w:pStyle w:val="Heading3"/>
        <w:keepNext/>
        <w:widowControl/>
      </w:pPr>
      <w:r>
        <w:t>Purpose, scope, and established concepts</w:t>
      </w:r>
    </w:p>
    <w:p>
      <w:pPr>
        <w:widowControl/>
      </w:pPr>
      <w:r>
        <w:t>The research considered this source within the Hardware, networking and topology strand for its substantive contribution to the domain. Interface identification, type, stacking and operational versus administrative status are independently defined management concepts. The cited edition or artifact, rather than the broader family name, sets the boundary for comparing the source with MERLIN.</w:t>
      </w:r>
    </w:p>
    <w:p>
      <w:pPr>
        <w:pStyle w:val="Heading3"/>
        <w:keepNext/>
        <w:widowControl/>
      </w:pPr>
      <w:r>
        <w:t>Relationship to the proposed OGC profile</w:t>
      </w:r>
    </w:p>
    <w:p>
      <w:pPr>
        <w:widowControl/>
      </w:pPr>
      <w:r>
        <w:t>Retain as mature interface precedent for R13–R15, distinct from electrical power interfaces and physical components. This information concerns network-facing aspects of managed equipment; physical mounting, energy supply, and deployment participation remain different relationships.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selected published RFC clauses and interface model; later profile/ISA comparison. The RFC specifies an SNMP MIB; MERLIN borrows applicable definitions and does not operate an RFC 2863 agent.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Communications semantics donor and topology comparator. A CSAPI descriptive projection does not create a native SNMP/YANG topology or satisfy the original management-stack requirements.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Inspect the artifact-specific copying, redistribution and implementation terms before publishing derived machine-readable definitions. Before using this as an interoperable communications profile term, confirm the exact managed interface/termination boundary and test for duplicate concepts in native OGC relationships.</w:t>
      </w:r>
    </w:p>
    <w:p>
      <w:pPr>
        <w:pStyle w:val="Heading2"/>
        <w:keepNext/>
        <w:widowControl/>
      </w:pPr>
      <w:r>
        <w:t>S54  |  A YANG Data Model for Interface Management</w:t>
      </w:r>
    </w:p>
    <w:p>
      <w:pPr>
        <w:pStyle w:val="Reference"/>
        <w:keepNext/>
        <w:widowControl/>
      </w:pPr>
      <w:r>
        <w:t>Bjorklund, Martin. 2018. “A YANG Data Model for Interface Management.” RFC 8343. March.</w:t>
      </w:r>
    </w:p>
    <w:p>
      <w:pPr>
        <w:pStyle w:val="Metadata"/>
        <w:keepNext/>
        <w:widowControl/>
      </w:pPr>
      <w:r>
        <w:t>INSPECTION  Published RFC §§2–4 and selected YANG definitions inspected in profile/ISA comparison  •  Primary publication or selected artifact examined  •  added 14 October 2026</w:t>
      </w:r>
    </w:p>
    <w:p>
      <w:pPr>
        <w:pStyle w:val="SupplementNote"/>
        <w:keepNext/>
        <w:widowControl/>
      </w:pPr>
      <w:r>
        <w:t>PRIMARY LOCATOR  https://www.rfc-editor.org/rfc/rfc8343.html</w:t>
      </w:r>
    </w:p>
    <w:p>
      <w:pPr>
        <w:pStyle w:val="Heading3"/>
        <w:keepNext/>
        <w:widowControl/>
      </w:pPr>
      <w:r>
        <w:t>Purpose, scope, and established concepts</w:t>
      </w:r>
    </w:p>
    <w:p>
      <w:pPr>
        <w:widowControl/>
      </w:pPr>
      <w:r>
        <w:t>The research considered this source within the Hardware, networking and topology strand for its substantive contribution to the domain. Named network interfaces, oper-status, admin-status and interface layering refine descriptions of managed links. The cited edition or artifact, rather than the broader family name, sets the boundary for comparing the source with MERLIN.</w:t>
      </w:r>
    </w:p>
    <w:p>
      <w:pPr>
        <w:pStyle w:val="Heading3"/>
        <w:keepNext/>
        <w:widowControl/>
      </w:pPr>
      <w:r>
        <w:t>Relationship to the proposed OGC profile</w:t>
      </w:r>
    </w:p>
    <w:p>
      <w:pPr>
        <w:widowControl/>
      </w:pPr>
      <w:r>
        <w:t>Candidate semantic donor for communications interface groups, with actual communications mediation distinguished from equipment containment. This information concerns network-facing aspects of managed equipment; physical mounting, energy supply, and deployment participation remain different relationships.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published RFC §§2–4 and selected YANG definitions inspected in profile/ISA comparison. RFC 8343 YANG conformance is not achieved by projecting interface facts into a SWE CharacteristicList.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Communications semantics donor and topology comparator. A CSAPI descriptive projection does not create a native SNMP/YANG topology or satisfy the original management-stack requirements.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Inspect the artifact-specific copying, redistribution and implementation terms before publishing derived machine-readable definitions. Before using this as an interoperable communications profile term, confirm the exact managed interface/termination boundary and test for duplicate concepts in native OGC relationships.</w:t>
      </w:r>
    </w:p>
    <w:p>
      <w:pPr>
        <w:pStyle w:val="Heading2"/>
        <w:keepNext/>
        <w:widowControl/>
      </w:pPr>
      <w:r>
        <w:t>S55  |  A YANG Data Model for Network Topologies</w:t>
      </w:r>
    </w:p>
    <w:p>
      <w:pPr>
        <w:pStyle w:val="Reference"/>
        <w:keepNext/>
        <w:widowControl/>
      </w:pPr>
      <w:r>
        <w:t>Clemm, Alexander, Jan Medved, Robert Varga, Nitin Bahadur, Hariharan Ananthakrishnan, and Xufeng Liu. 2018. “A YANG Data Model for Network Topologies.” RFC 8345. March.</w:t>
      </w:r>
    </w:p>
    <w:p>
      <w:pPr>
        <w:pStyle w:val="Metadata"/>
        <w:keepNext/>
        <w:widowControl/>
      </w:pPr>
      <w:r>
        <w:t>INSPECTION  Selected RFC §§4.2–4.4.2 and model definitions inspected during main-profile drafting  •  Primary publication or selected artifact examined  •  added 14 October 2026</w:t>
      </w:r>
    </w:p>
    <w:p>
      <w:pPr>
        <w:pStyle w:val="SupplementNote"/>
        <w:keepNext/>
        <w:widowControl/>
      </w:pPr>
      <w:r>
        <w:t>PRIMARY LOCATOR  https://www.rfc-editor.org/rfc/rfc8345.html</w:t>
      </w:r>
    </w:p>
    <w:p>
      <w:pPr>
        <w:pStyle w:val="Heading3"/>
        <w:keepNext/>
        <w:widowControl/>
      </w:pPr>
      <w:r>
        <w:t>Purpose, scope, and established concepts</w:t>
      </w:r>
    </w:p>
    <w:p>
      <w:pPr>
        <w:widowControl/>
      </w:pPr>
      <w:r>
        <w:t>The research considered this source within the Hardware, networking and topology strand for its substantive contribution to the domain. Nodes, links, termination points and supporting topology establish a mature graph vocabulary for managed networks. The cited edition or artifact, rather than the broader family name, sets the boundary for comparing the source with MERLIN.</w:t>
      </w:r>
    </w:p>
    <w:p>
      <w:pPr>
        <w:pStyle w:val="Heading3"/>
        <w:keepNext/>
        <w:widowControl/>
      </w:pPr>
      <w:r>
        <w:t>Relationship to the proposed OGC profile</w:t>
      </w:r>
    </w:p>
    <w:p>
      <w:pPr>
        <w:widowControl/>
      </w:pPr>
      <w:r>
        <w:t>Helps keep R15 link semantics separate from deployment, physical containment, representation proxies and power supply. This information concerns network-facing aspects of managed equipment; physical mounting, energy supply, and deployment participation remain different relationships.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selected RFC §§4.2–4.4.2 and model definitions inspected during main-profile drafting. A network topology graph is not automatically the physical sensor equipment tree or the CSAPI resource graph.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Communications semantics donor and topology comparator. A CSAPI descriptive projection does not create a native SNMP/YANG topology or satisfy the original management-stack requirements.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Inspect the artifact-specific copying, redistribution and implementation terms before publishing derived machine-readable definitions. Before using this as an interoperable communications profile term, confirm the exact managed interface/termination boundary and test for duplicate concepts in native OGC relationships.</w:t>
      </w:r>
    </w:p>
    <w:p>
      <w:pPr>
        <w:pStyle w:val="Heading2"/>
        <w:keepNext/>
        <w:widowControl/>
      </w:pPr>
      <w:r>
        <w:t>S56  |  The profile Link Relation Type</w:t>
      </w:r>
    </w:p>
    <w:p>
      <w:pPr>
        <w:pStyle w:val="Reference"/>
        <w:keepNext/>
        <w:widowControl/>
      </w:pPr>
      <w:r>
        <w:t>Wilde, Erik. 2013. “The ‘profile’ Link Relation Type.” RFC 6906. March.</w:t>
      </w:r>
    </w:p>
    <w:p>
      <w:pPr>
        <w:pStyle w:val="Metadata"/>
        <w:keepNext/>
        <w:widowControl/>
      </w:pPr>
      <w:r>
        <w:t>INSPECTION  Sections 3–5 inspected in main-profile draft and companion design primer  •  Primary publication or selected artifact examined  •  added 14 October 2026</w:t>
      </w:r>
    </w:p>
    <w:p>
      <w:pPr>
        <w:pStyle w:val="SupplementNote"/>
        <w:keepNext/>
        <w:widowControl/>
      </w:pPr>
      <w:r>
        <w:t>PRIMARY LOCATOR  https://www.rfc-editor.org/rfc/rfc6906.html</w:t>
      </w:r>
    </w:p>
    <w:p>
      <w:pPr>
        <w:pStyle w:val="Heading3"/>
        <w:keepNext/>
        <w:widowControl/>
      </w:pPr>
      <w:r>
        <w:t>Purpose, scope, and established concepts</w:t>
      </w:r>
    </w:p>
    <w:p>
      <w:pPr>
        <w:widowControl/>
      </w:pPr>
      <w:r>
        <w:t>The research considered this source within the API profiles, identity and references strand for its substantive contribution to the domain. Standardized profile link relation allows a resource to advertise additional representation semantics. The cited edition or artifact, rather than the broader family name, sets the boundary for comparing the source with MERLIN.</w:t>
      </w:r>
    </w:p>
    <w:p>
      <w:pPr>
        <w:pStyle w:val="Heading3"/>
        <w:keepNext/>
        <w:widowControl/>
      </w:pPr>
      <w:r>
        <w:t>Relationship to the proposed OGC profile</w:t>
      </w:r>
    </w:p>
    <w:p>
      <w:pPr>
        <w:widowControl/>
      </w:pPr>
      <w:r>
        <w:t>Useful for declaring a future MERLIN application profile without inventing a parallel API surface. RFC-level syntax or disclosure rules make the proposed links technically legible, but do not create an embedded-id resolver or immutable resource identity policy.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sections 3–5 inspected in main-profile draft and companion design primer. A profile link does not automatically validate content, install an ontology or prove conformance to its target.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Reference syntax and profile signaling; binding authored by MERLIN. The owner#id discipline remains an authored, versioned MERLIN profile rule to be evaluated against the actual OGC JSON representation.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Inspect the artifact-specific copying, redistribution and implementation terms before publishing derived machine-readable definitions. Decide whether one versioned reference/lookup convention serves all profile modules and preserves historical subject identity through resource revisions.</w:t>
      </w:r>
    </w:p>
    <w:p>
      <w:pPr>
        <w:pStyle w:val="Heading2"/>
        <w:keepNext/>
        <w:widowControl/>
      </w:pPr>
      <w:r>
        <w:t>S57  |  Uniform Resource Identifier Generic Syntax</w:t>
      </w:r>
    </w:p>
    <w:p>
      <w:pPr>
        <w:pStyle w:val="Reference"/>
        <w:keepNext/>
        <w:widowControl/>
      </w:pPr>
      <w:r>
        <w:t>Berners-Lee, Tim, Roy T. Fielding, and Larry Masinter. 2005. “Uniform Resource Identifier (URI): Generic Syntax.” RFC 3986. January.</w:t>
      </w:r>
    </w:p>
    <w:p>
      <w:pPr>
        <w:pStyle w:val="Metadata"/>
        <w:keepNext/>
        <w:widowControl/>
      </w:pPr>
      <w:r>
        <w:t>INSPECTION  §§1.1.3 and 3.5 inspected in the design-rationale primer  •  Primary publication or selected artifact examined  •  added 14 October 2026</w:t>
      </w:r>
    </w:p>
    <w:p>
      <w:pPr>
        <w:pStyle w:val="SupplementNote"/>
        <w:keepNext/>
        <w:widowControl/>
      </w:pPr>
      <w:r>
        <w:t>PRIMARY LOCATOR  https://www.rfc-editor.org/rfc/rfc3986.html</w:t>
      </w:r>
    </w:p>
    <w:p>
      <w:pPr>
        <w:pStyle w:val="Heading3"/>
        <w:keepNext/>
        <w:widowControl/>
      </w:pPr>
      <w:r>
        <w:t>Purpose, scope, and established concepts</w:t>
      </w:r>
    </w:p>
    <w:p>
      <w:pPr>
        <w:widowControl/>
      </w:pPr>
      <w:r>
        <w:t>The research considered this source within the API profiles, identity and references strand for its substantive contribution to the domain. Resource identifiers, URI references and fragment syntax provide the generic addressing basis. The cited edition or artifact, rather than the broader family name, sets the boundary for comparing the source with MERLIN.</w:t>
      </w:r>
    </w:p>
    <w:p>
      <w:pPr>
        <w:pStyle w:val="Heading3"/>
        <w:keepNext/>
        <w:widowControl/>
      </w:pPr>
      <w:r>
        <w:t>Relationship to the proposed OGC profile</w:t>
      </w:r>
    </w:p>
    <w:p>
      <w:pPr>
        <w:widowControl/>
      </w:pPr>
      <w:r>
        <w:t>Supports scrutinizing proposed owner-resource#native-id references to embedded SensorML content. RFC-level syntax or disclosure rules make the proposed links technically legible, but do not create an embedded-id resolver or immutable resource identity policy.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§§1.1.3 and 3.5 inspected in the design-rationale primer. Fragment dereferencing, target search, revision stability and inter-resource identity remain profile-authored conventions.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Reference syntax and profile signaling; binding authored by MERLIN. The owner#id discipline remains an authored, versioned MERLIN profile rule to be evaluated against the actual OGC JSON representation.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Inspect the artifact-specific copying, redistribution and implementation terms before publishing derived machine-readable definitions. Decide whether one versioned reference/lookup convention serves all profile modules and preserves historical subject identity through resource revisions.</w:t>
      </w:r>
    </w:p>
    <w:p>
      <w:pPr>
        <w:pStyle w:val="Heading2"/>
        <w:keepNext/>
        <w:widowControl/>
      </w:pPr>
      <w:r>
        <w:t>S58  |  JavaScript Object Notation Pointer</w:t>
      </w:r>
    </w:p>
    <w:p>
      <w:pPr>
        <w:pStyle w:val="Reference"/>
        <w:keepNext/>
        <w:widowControl/>
      </w:pPr>
      <w:r>
        <w:t>Bryan, Paul, Kris Zyp, and Mark Nottingham. 2013. “JavaScript Object Notation (JSON) Pointer.” RFC 6901. April.</w:t>
      </w:r>
    </w:p>
    <w:p>
      <w:pPr>
        <w:pStyle w:val="Metadata"/>
        <w:keepNext/>
        <w:widowControl/>
      </w:pPr>
      <w:r>
        <w:t>INSPECTION  §§3–6 inspected in the companion primer  •  Primary publication or selected artifact examined  •  added 14 October 2026</w:t>
      </w:r>
    </w:p>
    <w:p>
      <w:pPr>
        <w:pStyle w:val="SupplementNote"/>
        <w:keepNext/>
        <w:widowControl/>
      </w:pPr>
      <w:r>
        <w:t>PRIMARY LOCATOR  https://www.rfc-editor.org/rfc/rfc6901.html</w:t>
      </w:r>
    </w:p>
    <w:p>
      <w:pPr>
        <w:pStyle w:val="Heading3"/>
        <w:keepNext/>
        <w:widowControl/>
      </w:pPr>
      <w:r>
        <w:t>Purpose, scope, and established concepts</w:t>
      </w:r>
    </w:p>
    <w:p>
      <w:pPr>
        <w:widowControl/>
      </w:pPr>
      <w:r>
        <w:t>The research considered this source within the API profiles, identity and references strand for its substantive contribution to the domain. JSON Pointer designates a structural position using encoded reference tokens. The cited edition or artifact, rather than the broader family name, sets the boundary for comparing the source with MERLIN.</w:t>
      </w:r>
    </w:p>
    <w:p>
      <w:pPr>
        <w:pStyle w:val="Heading3"/>
        <w:keepNext/>
        <w:widowControl/>
      </w:pPr>
      <w:r>
        <w:t>Relationship to the proposed OGC profile</w:t>
      </w:r>
    </w:p>
    <w:p>
      <w:pPr>
        <w:widowControl/>
      </w:pPr>
      <w:r>
        <w:t>Important negative comparison for owner#id design because a native SensorML id is not equivalent to a JSON array index or pointer. RFC-level syntax or disclosure rules make the proposed links technically legible, but do not create an embedded-id resolver or immutable resource identity policy.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§§3–6 inspected in the companion primer. Do not claim the proposed embedded-id fragment format implements JSON Pointer or uses its media-type fragment registration.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Reference syntax and profile signaling; binding authored by MERLIN. The owner#id discipline remains an authored, versioned MERLIN profile rule to be evaluated against the actual OGC JSON representation.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Inspect the artifact-specific copying, redistribution and implementation terms before publishing derived machine-readable definitions. Decide whether one versioned reference/lookup convention serves all profile modules and preserves historical subject identity through resource revisions.</w:t>
      </w:r>
    </w:p>
    <w:p>
      <w:pPr>
        <w:pStyle w:val="Heading2"/>
        <w:keepNext/>
        <w:widowControl/>
      </w:pPr>
      <w:r>
        <w:t>S59  |  SensorML 3.0 JSON Schema collection</w:t>
      </w:r>
    </w:p>
    <w:p>
      <w:pPr>
        <w:pStyle w:val="Reference"/>
        <w:keepNext/>
        <w:widowControl/>
      </w:pPr>
      <w:r>
        <w:t>Open Geospatial Consortium. n.d. “SensorML 3.0 JSON Schema Collection.” Selected DescribedObject.json, AbstractProcess.json, AbstractPhysicalProcess.json, commonDefs.json, and Event.json.</w:t>
      </w:r>
    </w:p>
    <w:p>
      <w:pPr>
        <w:pStyle w:val="Metadata"/>
        <w:keepNext/>
        <w:widowControl/>
      </w:pPr>
      <w:r>
        <w:t>INSPECTION  Selected live repository schema files inspected for legal JSON carriers and native identifying properties  •  Primary publication or selected artifact examined  •  added 14 October 2026</w:t>
      </w:r>
    </w:p>
    <w:p>
      <w:pPr>
        <w:pStyle w:val="SupplementNote"/>
        <w:keepNext/>
        <w:widowControl/>
      </w:pPr>
      <w:r>
        <w:t>PRIMARY LOCATOR  https://schemas.opengis.net/sensorML/3.0/json/</w:t>
      </w:r>
    </w:p>
    <w:p>
      <w:pPr>
        <w:pStyle w:val="Heading3"/>
        <w:keepNext/>
        <w:widowControl/>
      </w:pPr>
      <w:r>
        <w:t>Purpose, scope, and established concepts</w:t>
      </w:r>
    </w:p>
    <w:p>
      <w:pPr>
        <w:widowControl/>
      </w:pPr>
      <w:r>
        <w:t>The research considered this source within the OGC encoding artifacts strand for its substantive contribution to the domain. Machine-readable schema constraints specify where characteristics, capabilities, events and child structures can actually appear. The cited edition or artifact, rather than the broader family name, sets the boundary for comparing the source with MERLIN.</w:t>
      </w:r>
    </w:p>
    <w:p>
      <w:pPr>
        <w:pStyle w:val="Heading3"/>
        <w:keepNext/>
        <w:widowControl/>
      </w:pPr>
      <w:r>
        <w:t>Relationship to the proposed OGC profile</w:t>
      </w:r>
    </w:p>
    <w:p>
      <w:pPr>
        <w:widowControl/>
      </w:pPr>
      <w:r>
        <w:t>Essential supporting implementation artifact for the v0.3 OGC binding choices, not an independent application profile. The published CSAPI/SensorML requirements control conformance; sample schemas only establish permitted encoding structures within their declared scope.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selected live repository schema files inspected for legal JSON carriers and native identifying properties. Inspection of selected JSON schemas is not a complete implementation validation nor evidence of allowed arbitrary top-level members.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Native OGC schema artifact informing permitted JSON carriers. A schema excerpt is not a completed application profile or a substitute for the applicable OGC conformance classes and implementation results.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Publisher document and ontology terms govern reuse; a public URL is not a blanket patent or code-redistribution clearance. When drafting an OGC profile rule, verify the selected requirement classes and JSON placement against the corresponding released schema version.</w:t>
      </w:r>
    </w:p>
    <w:p>
      <w:pPr>
        <w:pStyle w:val="Heading3"/>
        <w:keepNext/>
        <w:widowControl/>
      </w:pPr>
      <w:r>
        <w:t>Reconciliation note — 17 October 2026</w:t>
      </w:r>
    </w:p>
    <w:p>
      <w:pPr>
        <w:widowControl/>
      </w:pPr>
      <w:r>
        <w:t>The inspected schema collection now includes the Mode, DescribedObject, AbstractProcess, Settings, commonDefs, sweCommonDefs and DerivedProperty artifacts cited by the applied increments. They support native containers, paths and property-definition choices, whereas MPSS group definitions and lookup rules remain authored. This extends the scope of the same versioned schema collection rather than creating duplicate source IDs for each reused file. The source URLs and inspected-subset limits are retained; no full schema certification is asserted (MERLIN release evidence v0.3.4–v0.3.5).</w:t>
      </w:r>
    </w:p>
    <w:p>
      <w:pPr>
        <w:pStyle w:val="Heading2"/>
        <w:keepNext/>
        <w:widowControl/>
      </w:pPr>
      <w:r>
        <w:t>S60  |  CSAPI Part 2 SystemEvent JSON Schema</w:t>
      </w:r>
    </w:p>
    <w:p>
      <w:pPr>
        <w:pStyle w:val="Reference"/>
        <w:keepNext/>
        <w:widowControl/>
      </w:pPr>
      <w:r>
        <w:t>Open Geospatial Consortium. n.d. “systemEvent.json: OGC API—Connected Systems Part 2 JSON Encoding.”</w:t>
      </w:r>
    </w:p>
    <w:p>
      <w:pPr>
        <w:pStyle w:val="Metadata"/>
        <w:keepNext/>
        <w:widowControl/>
      </w:pPr>
      <w:r>
        <w:t>INSPECTION  Specific event schema inspected in Power Source binding review  •  Primary publication or selected artifact examined  •  added 14 October 2026</w:t>
      </w:r>
    </w:p>
    <w:p>
      <w:pPr>
        <w:pStyle w:val="SupplementNote"/>
        <w:keepNext/>
        <w:widowControl/>
      </w:pPr>
      <w:r>
        <w:t>PRIMARY LOCATOR  https://schemas.opengis.net/ogcapi/connected-systems/part2/1.0/</w:t>
      </w:r>
    </w:p>
    <w:p>
      <w:pPr>
        <w:pStyle w:val="Heading3"/>
        <w:keepNext/>
        <w:widowControl/>
      </w:pPr>
      <w:r>
        <w:t>Purpose, scope, and established concepts</w:t>
      </w:r>
    </w:p>
    <w:p>
      <w:pPr>
        <w:widowControl/>
      </w:pPr>
      <w:r>
        <w:t>The research considered this source within the OGC encoding artifacts strand for its substantive contribution to the domain. Defines concrete SystemEvent JSON content derived from SensorML Event and required event-member structure. The cited edition or artifact, rather than the broader family name, sets the boundary for comparing the source with MERLIN.</w:t>
      </w:r>
    </w:p>
    <w:p>
      <w:pPr>
        <w:pStyle w:val="Heading3"/>
        <w:keepNext/>
        <w:widowControl/>
      </w:pPr>
      <w:r>
        <w:t>Relationship to the proposed OGC profile</w:t>
      </w:r>
    </w:p>
    <w:p>
      <w:pPr>
        <w:widowControl/>
      </w:pPr>
      <w:r>
        <w:t>Supports native optional system-service history rather than automatically inventing a standalone maintenance collection. The published CSAPI/SensorML requirements control conformance; sample schemas only establish permitted encoding structures within their declared scope.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specific event schema inspected in Power Source binding review. Optional SystemEvents class and exact event encoding are separate from SensorML embedded history and ISA Event updates.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Native OGC schema artifact informing permitted JSON carriers. A schema excerpt is not a completed application profile or a substitute for the applicable OGC conformance classes and implementation results.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Publisher document and ontology terms govern reuse; a public URL is not a blanket patent or code-redistribution clearance. When drafting an OGC profile rule, verify the selected requirement classes and JSON placement against the corresponding released schema version.</w:t>
      </w:r>
    </w:p>
    <w:p>
      <w:pPr>
        <w:pStyle w:val="Heading2"/>
        <w:keepNext/>
        <w:widowControl/>
      </w:pPr>
      <w:r>
        <w:t>S61  |  Monitoring and Control MIB for Power and Energy</w:t>
      </w:r>
    </w:p>
    <w:p>
      <w:pPr>
        <w:pStyle w:val="Reference"/>
        <w:keepNext/>
        <w:widowControl/>
      </w:pPr>
      <w:r>
        <w:t>Chandramouli, Mouli, Benoît Claise, Brad Schoening, Juergen Quittek, and Thomas Dietz. 2015. “Monitoring and Control MIB for Power and Energy.” RFC 7460. March.</w:t>
      </w:r>
    </w:p>
    <w:p>
      <w:pPr>
        <w:pStyle w:val="Metadata"/>
        <w:keepNext/>
        <w:widowControl/>
      </w:pPr>
      <w:r>
        <w:t>INSPECTION  Selected §§5 and 9 reviewed in power-domain research  •  Primary publication or selected artifact examined  •  added 14 October 2026</w:t>
      </w:r>
    </w:p>
    <w:p>
      <w:pPr>
        <w:pStyle w:val="SupplementNote"/>
        <w:keepNext/>
        <w:widowControl/>
      </w:pPr>
      <w:r>
        <w:t>PRIMARY LOCATOR  https://www.rfc-editor.org/rfc/rfc7460.html</w:t>
      </w:r>
    </w:p>
    <w:p>
      <w:pPr>
        <w:pStyle w:val="Heading3"/>
        <w:keepNext/>
        <w:widowControl/>
      </w:pPr>
      <w:r>
        <w:t>Purpose, scope, and established concepts</w:t>
      </w:r>
    </w:p>
    <w:p>
      <w:pPr>
        <w:widowControl/>
      </w:pPr>
      <w:r>
        <w:t>The research considered this source within the Power domain and equipment management strand for its substantive contribution to the domain. Energy, power, demand, quality of readings and monitoring/control data have defined network-management semantics. The cited edition or artifact, rather than the broader family name, sets the boundary for comparing the source with MERLIN.</w:t>
      </w:r>
    </w:p>
    <w:p>
      <w:pPr>
        <w:pStyle w:val="Heading3"/>
        <w:keepNext/>
        <w:widowControl/>
      </w:pPr>
      <w:r>
        <w:t>Relationship to the proposed OGC profile</w:t>
      </w:r>
    </w:p>
    <w:p>
      <w:pPr>
        <w:widowControl/>
      </w:pPr>
      <w:r>
        <w:t>Companion realization supporting the RFC 7326 energy information framework and proposed qualified electrical observations. The selected power-domain organizing proposal is RFC 7326 with RFC 7577 battery specialization; this source supplements or tests that selection rather than silently replacing it.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selected §§5 and 9 reviewed in power-domain research. RFC 7460 MIB objects, requirements and units must not be copied wholesale into SWE with a native MIB conformance claim.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Power specialization, comparable resource model, or supporting quantitative vocabulary. Where a native MIB, CIM, OMA or Redfish model is involved, an OGC mapping is not a claim to implement that model’s native protocol or complete compliance profile.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 Power Source study reports that the exact RFC is absent from the complete supplied DISR baseline; no general RFC-family status is inferred. No independent current NATO adoption or ratification assertion for this exact artifact is added by this documentary reconciliation. Inspect the artifact-specific copying, redistribution and implementation terms before publishing derived machine-readable definitions. Reconcile this donor with the selected RFC 7326/RFC 7577 source/consumer/metering model and approve an exact OGC binding before treating it as an implementation contract.</w:t>
      </w:r>
    </w:p>
    <w:p>
      <w:pPr>
        <w:pStyle w:val="Heading2"/>
        <w:keepNext/>
        <w:widowControl/>
      </w:pPr>
      <w:r>
        <w:t>S62  |  Energy Object Context MIB</w:t>
      </w:r>
    </w:p>
    <w:p>
      <w:pPr>
        <w:pStyle w:val="Reference"/>
        <w:keepNext/>
        <w:widowControl/>
      </w:pPr>
      <w:r>
        <w:t>Parello, John, Benoît Claise, and Mouli Chandramouli. 2015. “Energy Object Context MIB.” RFC 7461. March.</w:t>
      </w:r>
    </w:p>
    <w:p>
      <w:pPr>
        <w:pStyle w:val="Metadata"/>
        <w:keepNext/>
        <w:widowControl/>
      </w:pPr>
      <w:r>
        <w:t>INSPECTION  Selected §§5–6 and relationship/token definitions inspected by Power Source  •  Primary publication or selected artifact examined  •  added 14 October 2026</w:t>
      </w:r>
    </w:p>
    <w:p>
      <w:pPr>
        <w:pStyle w:val="SupplementNote"/>
        <w:keepNext/>
        <w:widowControl/>
      </w:pPr>
      <w:r>
        <w:t>PRIMARY LOCATOR  https://www.rfc-editor.org/rfc/rfc7461.html</w:t>
      </w:r>
    </w:p>
    <w:p>
      <w:pPr>
        <w:pStyle w:val="Heading3"/>
        <w:keepNext/>
        <w:widowControl/>
      </w:pPr>
      <w:r>
        <w:t>Purpose, scope, and established concepts</w:t>
      </w:r>
    </w:p>
    <w:p>
      <w:pPr>
        <w:widowControl/>
      </w:pPr>
      <w:r>
        <w:t>The research considered this source within the Power domain and equipment management strand for its substantive contribution to the domain. Concrete energy-object identity, context and supply/metering relations realize related framework concepts. The cited edition or artifact, rather than the broader family name, sets the boundary for comparing the source with MERLIN.</w:t>
      </w:r>
    </w:p>
    <w:p>
      <w:pPr>
        <w:pStyle w:val="Heading3"/>
        <w:keepNext/>
        <w:widowControl/>
      </w:pPr>
      <w:r>
        <w:t>Relationship to the proposed OGC profile</w:t>
      </w:r>
    </w:p>
    <w:p>
      <w:pPr>
        <w:widowControl/>
      </w:pPr>
      <w:r>
        <w:t>Provides a check that RFC 7326 predicate labels and the MIB's encoded tokens are not carelessly equated. The selected power-domain organizing proposal is RFC 7326 with RFC 7577 battery specialization; this source supplements or tests that selection rather than silently replacing it.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selected §§5–6 and relationship/token definitions inspected by Power Source. Power relationships in SensorML are authored mappings, not native RFC 7461 agent behavior.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Power specialization, comparable resource model, or supporting quantitative vocabulary. Where a native MIB, CIM, OMA or Redfish model is involved, an OGC mapping is not a claim to implement that model’s native protocol or complete compliance profile.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 Power Source study reports that the exact RFC is absent from the complete supplied DISR baseline; no general RFC-family status is inferred. No independent current NATO adoption or ratification assertion for this exact artifact is added by this documentary reconciliation. Inspect the artifact-specific copying, redistribution and implementation terms before publishing derived machine-readable definitions. Reconcile this donor with the selected RFC 7326/RFC 7577 source/consumer/metering model and approve an exact OGC binding before treating it as an implementation contract.</w:t>
      </w:r>
    </w:p>
    <w:p>
      <w:pPr>
        <w:pStyle w:val="Heading2"/>
        <w:keepNext/>
        <w:widowControl/>
      </w:pPr>
      <w:r>
        <w:t>S63  |  CIM_Battery in CIM Schema 2.31</w:t>
      </w:r>
    </w:p>
    <w:p>
      <w:pPr>
        <w:pStyle w:val="Reference"/>
        <w:keepNext/>
        <w:widowControl/>
      </w:pPr>
      <w:r>
        <w:t>Distributed Management Task Force. n.d. “CIM_Battery.” CIM Schema distribution 2.31.0; class Version qualifier 2.26.0.</w:t>
      </w:r>
    </w:p>
    <w:p>
      <w:pPr>
        <w:pStyle w:val="Metadata"/>
        <w:keepNext/>
        <w:widowControl/>
      </w:pPr>
      <w:r>
        <w:t>INSPECTION  Selected published class properties inspected, especially EstimatedRunTime, TimeToFullCharge, HealthPercent  •  Primary publication or selected artifact examined  •  added 14 October 2026</w:t>
      </w:r>
    </w:p>
    <w:p>
      <w:pPr>
        <w:pStyle w:val="SupplementNote"/>
        <w:keepNext/>
        <w:widowControl/>
      </w:pPr>
      <w:r>
        <w:t>PRIMARY LOCATOR  https://www.dmtf.org/standards/cim</w:t>
      </w:r>
    </w:p>
    <w:p>
      <w:pPr>
        <w:pStyle w:val="Heading3"/>
        <w:keepNext/>
        <w:widowControl/>
      </w:pPr>
      <w:r>
        <w:t>Purpose, scope, and established concepts</w:t>
      </w:r>
    </w:p>
    <w:p>
      <w:pPr>
        <w:widowControl/>
      </w:pPr>
      <w:r>
        <w:t>The research considered this source within the Power domain and equipment management strand for its substantive contribution to the domain. Battery runtime, external-power assumptions, charge timing and health meanings provide bounded donor definitions. The cited edition or artifact, rather than the broader family name, sets the boundary for comparing the source with MERLIN.</w:t>
      </w:r>
    </w:p>
    <w:p>
      <w:pPr>
        <w:pStyle w:val="Heading3"/>
        <w:keepNext/>
        <w:widowControl/>
      </w:pPr>
      <w:r>
        <w:t>Relationship to the proposed OGC profile</w:t>
      </w:r>
    </w:p>
    <w:p>
      <w:pPr>
        <w:widowControl/>
      </w:pPr>
      <w:r>
        <w:t>Supports optional narrowly translated runtime estimates rather than replacing the energy-object framework with a complete CIM ontology. The selected power-domain organizing proposal is RFC 7326 with RFC 7577 battery specialization; this source supplements or tests that selection rather than silently replacing it.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selected published class properties inspected, especially EstimatedRunTime, TimeToFullCharge, HealthPercent. The DISR's retired CIM schema 2.10.1 is not the version inspected and does not confer status on this class.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Power specialization, comparable resource model, or supporting quantitative vocabulary. Where a native MIB, CIM, OMA or Redfish model is involved, an OGC mapping is not a claim to implement that model’s native protocol or complete compliance profile.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Inspect the artifact-specific copying, redistribution and implementation terms before publishing derived machine-readable definitions. Reconcile this donor with the selected RFC 7326/RFC 7577 source/consumer/metering model and approve an exact OGC binding before treating it as an implementation contract.</w:t>
      </w:r>
    </w:p>
    <w:p>
      <w:pPr>
        <w:pStyle w:val="Heading2"/>
        <w:keepNext/>
        <w:widowControl/>
      </w:pPr>
      <w:r>
        <w:t>S64  |  Redfish Battery JSON Schema</w:t>
      </w:r>
    </w:p>
    <w:p>
      <w:pPr>
        <w:pStyle w:val="Reference"/>
        <w:keepNext/>
        <w:widowControl/>
      </w:pPr>
      <w:r>
        <w:t>Distributed Management Task Force. n.d. “Battery.v1_4_0.json.” Redfish JSON Schema 1.4.0.</w:t>
      </w:r>
    </w:p>
    <w:p>
      <w:pPr>
        <w:pStyle w:val="Metadata"/>
        <w:keepNext/>
        <w:widowControl/>
      </w:pPr>
      <w:r>
        <w:t>INSPECTION  Named versioned schema selected and read in Power Source comparison  •  Primary publication or selected artifact examined  •  added 14 October 2026</w:t>
      </w:r>
    </w:p>
    <w:p>
      <w:pPr>
        <w:pStyle w:val="SupplementNote"/>
        <w:keepNext/>
        <w:widowControl/>
      </w:pPr>
      <w:r>
        <w:t>PRIMARY LOCATOR  https://github.com/DMTF/Redfish-Publications/blob/master/json-schema/Battery.v1_4_0.json</w:t>
      </w:r>
    </w:p>
    <w:p>
      <w:pPr>
        <w:pStyle w:val="Heading3"/>
        <w:keepNext/>
        <w:widowControl/>
      </w:pPr>
      <w:r>
        <w:t>Purpose, scope, and established concepts</w:t>
      </w:r>
    </w:p>
    <w:p>
      <w:pPr>
        <w:widowControl/>
      </w:pPr>
      <w:r>
        <w:t>The research considered this source within the Power domain and equipment management strand for its substantive contribution to the domain. Battery capacity, storage and device associations show mature equipment-oriented REST modeling. The cited edition or artifact, rather than the broader family name, sets the boundary for comparing the source with MERLIN.</w:t>
      </w:r>
    </w:p>
    <w:p>
      <w:pPr>
        <w:pStyle w:val="Heading3"/>
        <w:keepNext/>
        <w:widowControl/>
      </w:pPr>
      <w:r>
        <w:t>Relationship to the proposed OGC profile</w:t>
      </w:r>
    </w:p>
    <w:p>
      <w:pPr>
        <w:widowControl/>
      </w:pPr>
      <w:r>
        <w:t>Serious battery specialization comparator, especially for suppliers already exposing Redfish resources. The selected power-domain organizing proposal is RFC 7326 with RFC 7577 battery specialization; this source supplements or tests that selection rather than silently replacing it.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named versioned schema selected and read in Power Source comparison. The comparison did not establish implementation of a Redfish service or conformance to all referenced schema dependencies.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Power specialization, comparable resource model, or supporting quantitative vocabulary. Where a native MIB, CIM, OMA or Redfish model is involved, an OGC mapping is not a claim to implement that model’s native protocol or complete compliance profile.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Public Redfish schema access and attributed documentation rights do not remove separate interoperability or patent considerations. Reconcile this donor with the selected RFC 7326/RFC 7577 source/consumer/metering model and approve an exact OGC binding before treating it as an implementation contract.</w:t>
      </w:r>
    </w:p>
    <w:p>
      <w:pPr>
        <w:pStyle w:val="Heading2"/>
        <w:keepNext/>
        <w:widowControl/>
      </w:pPr>
      <w:r>
        <w:t>S65  |  Redfish BatteryMetrics JSON Schema</w:t>
      </w:r>
    </w:p>
    <w:p>
      <w:pPr>
        <w:pStyle w:val="Reference"/>
        <w:keepNext/>
        <w:widowControl/>
      </w:pPr>
      <w:r>
        <w:t>Distributed Management Task Force. n.d. “BatteryMetrics.v1_1_0.json.” Redfish JSON Schema 1.1.0.</w:t>
      </w:r>
    </w:p>
    <w:p>
      <w:pPr>
        <w:pStyle w:val="Metadata"/>
        <w:keepNext/>
        <w:widowControl/>
      </w:pPr>
      <w:r>
        <w:t>INSPECTION  Named versioned schema read in Power Source comparison  •  Primary publication or selected artifact examined  •  added 14 October 2026</w:t>
      </w:r>
    </w:p>
    <w:p>
      <w:pPr>
        <w:pStyle w:val="SupplementNote"/>
        <w:keepNext/>
        <w:widowControl/>
      </w:pPr>
      <w:r>
        <w:t>PRIMARY LOCATOR  https://github.com/DMTF/Redfish-Publications/blob/master/json-schema/BatteryMetrics.v1_1_0.json</w:t>
      </w:r>
    </w:p>
    <w:p>
      <w:pPr>
        <w:pStyle w:val="Heading3"/>
        <w:keepNext/>
        <w:widowControl/>
      </w:pPr>
      <w:r>
        <w:t>Purpose, scope, and established concepts</w:t>
      </w:r>
    </w:p>
    <w:p>
      <w:pPr>
        <w:widowControl/>
      </w:pPr>
      <w:r>
        <w:t>The research considered this source within the Power domain and equipment management strand for its substantive contribution to the domain. Metering, charge and electrical measurements link battery data to sensor-style quantities. The cited edition or artifact, rather than the broader family name, sets the boundary for comparing the source with MERLIN.</w:t>
      </w:r>
    </w:p>
    <w:p>
      <w:pPr>
        <w:pStyle w:val="Heading3"/>
        <w:keepNext/>
        <w:widowControl/>
      </w:pPr>
      <w:r>
        <w:t>Relationship to the proposed OGC profile</w:t>
      </w:r>
    </w:p>
    <w:p>
      <w:pPr>
        <w:widowControl/>
      </w:pPr>
      <w:r>
        <w:t>Useful comparator for keeping battery identity separate from continuously sampled electrical values. The selected power-domain organizing proposal is RFC 7326 with RFC 7577 battery specialization; this source supplements or tests that selection rather than silently replacing it.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named versioned schema read in Power Source comparison. Do not mistake this inspected schema revision for the latest complete Redfish standard or a CSAPI-compatible JSON Schema.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Power specialization, comparable resource model, or supporting quantitative vocabulary. Where a native MIB, CIM, OMA or Redfish model is involved, an OGC mapping is not a claim to implement that model’s native protocol or complete compliance profile.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Public Redfish schema access and attributed documentation rights do not remove separate interoperability or patent considerations. Reconcile this donor with the selected RFC 7326/RFC 7577 source/consumer/metering model and approve an exact OGC binding before treating it as an implementation contract.</w:t>
      </w:r>
    </w:p>
    <w:p>
      <w:pPr>
        <w:pStyle w:val="Heading2"/>
        <w:keepNext/>
        <w:widowControl/>
      </w:pPr>
      <w:r>
        <w:t>S66  |  Redfish PowerDistribution JSON Schema</w:t>
      </w:r>
    </w:p>
    <w:p>
      <w:pPr>
        <w:pStyle w:val="Reference"/>
        <w:keepNext/>
        <w:widowControl/>
      </w:pPr>
      <w:r>
        <w:t>Distributed Management Task Force. n.d. “PowerDistribution.v1_4_0.json.” Redfish JSON Schema 1.4.0.</w:t>
      </w:r>
    </w:p>
    <w:p>
      <w:pPr>
        <w:pStyle w:val="Metadata"/>
        <w:keepNext/>
        <w:widowControl/>
      </w:pPr>
      <w:r>
        <w:t>INSPECTION  Named versioned schema read for circuits, outlets and redundancy structures  •  Primary publication or selected artifact examined  •  added 14 October 2026</w:t>
      </w:r>
    </w:p>
    <w:p>
      <w:pPr>
        <w:pStyle w:val="SupplementNote"/>
        <w:keepNext/>
        <w:widowControl/>
      </w:pPr>
      <w:r>
        <w:t>PRIMARY LOCATOR  https://github.com/DMTF/Redfish-Publications/blob/master/json-schema/PowerDistribution.v1_4_0.json</w:t>
      </w:r>
    </w:p>
    <w:p>
      <w:pPr>
        <w:pStyle w:val="Heading3"/>
        <w:keepNext/>
        <w:widowControl/>
      </w:pPr>
      <w:r>
        <w:t>Purpose, scope, and established concepts</w:t>
      </w:r>
    </w:p>
    <w:p>
      <w:pPr>
        <w:widowControl/>
      </w:pPr>
      <w:r>
        <w:t>The research considered this source within the Power domain and equipment management strand for its substantive contribution to the domain. Describes equipment-facing power circuits, outlet relationships and redundant electrical distribution. The cited edition or artifact, rather than the broader family name, sets the boundary for comparing the source with MERLIN.</w:t>
      </w:r>
    </w:p>
    <w:p>
      <w:pPr>
        <w:pStyle w:val="Heading3"/>
        <w:keepNext/>
        <w:widowControl/>
      </w:pPr>
      <w:r>
        <w:t>Relationship to the proposed OGC profile</w:t>
      </w:r>
    </w:p>
    <w:p>
      <w:pPr>
        <w:widowControl/>
      </w:pPr>
      <w:r>
        <w:t>A genuine alternative modeling approach considered alongside RFC 7326, not a dismissed battery widget. The selected power-domain organizing proposal is RFC 7326 with RFC 7577 battery specialization; this source supplements or tests that selection rather than silently replacing it.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named versioned schema read for circuits, outlets and redundancy structures. The selected power recommendation did not adopt full Redfish resource architecture or perform cross-vendor Redfish testing.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Power specialization, comparable resource model, or supporting quantitative vocabulary. Where a native MIB, CIM, OMA or Redfish model is involved, an OGC mapping is not a claim to implement that model’s native protocol or complete compliance profile.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Public Redfish schema access and attributed documentation rights do not remove separate interoperability or patent considerations. Reconcile this donor with the selected RFC 7326/RFC 7577 source/consumer/metering model and approve an exact OGC binding before treating it as an implementation contract.</w:t>
      </w:r>
    </w:p>
    <w:p>
      <w:pPr>
        <w:pStyle w:val="Heading2"/>
        <w:keepNext/>
        <w:widowControl/>
      </w:pPr>
      <w:r>
        <w:t>S67  |  Redfish Resource and Schema Guide</w:t>
      </w:r>
    </w:p>
    <w:p>
      <w:pPr>
        <w:pStyle w:val="Reference"/>
        <w:keepNext/>
        <w:widowControl/>
      </w:pPr>
      <w:r>
        <w:t>Distributed Management Task Force. 2025. Redfish Resource and Schema Guide. DSP2046 version 2025.2, May 1.</w:t>
      </w:r>
    </w:p>
    <w:p>
      <w:pPr>
        <w:pStyle w:val="Metadata"/>
        <w:keepNext/>
        <w:widowControl/>
      </w:pPr>
      <w:r>
        <w:t>INSPECTION  Guide metadata and copyright/patent notices examined with named Redfish schemas  •  Primary publication or selected artifact examined  •  added 14 October 2026</w:t>
      </w:r>
    </w:p>
    <w:p>
      <w:pPr>
        <w:pStyle w:val="SupplementNote"/>
        <w:keepNext/>
        <w:widowControl/>
      </w:pPr>
      <w:r>
        <w:t>PRIMARY LOCATOR  https://www.dmtf.org/standards/redfish</w:t>
      </w:r>
    </w:p>
    <w:p>
      <w:pPr>
        <w:pStyle w:val="Heading3"/>
        <w:keepNext/>
        <w:widowControl/>
      </w:pPr>
      <w:r>
        <w:t>Purpose, scope, and established concepts</w:t>
      </w:r>
    </w:p>
    <w:p>
      <w:pPr>
        <w:widowControl/>
      </w:pPr>
      <w:r>
        <w:t>The research considered this source within the Power domain and equipment management strand for its substantive contribution to the domain. Defines documentation context and implementation-policy considerations for the selected Redfish comparison. The cited edition or artifact, rather than the broader family name, sets the boundary for comparing the source with MERLIN.</w:t>
      </w:r>
    </w:p>
    <w:p>
      <w:pPr>
        <w:pStyle w:val="Heading3"/>
        <w:keepNext/>
        <w:widowControl/>
      </w:pPr>
      <w:r>
        <w:t>Relationship to the proposed OGC profile</w:t>
      </w:r>
    </w:p>
    <w:p>
      <w:pPr>
        <w:widowControl/>
      </w:pPr>
      <w:r>
        <w:t>Helps keep inspectability, document redistribution rights and implementation/patent matters distinct. The selected power-domain organizing proposal is RFC 7326 with RFC 7577 battery specialization; this source supplements or tests that selection rather than silently replacing it.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guide metadata and copyright/patent notices examined with named Redfish schemas. A public schema is not blanket license or proof that a SensorML mapping implements Redfish.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Power specialization, comparable resource model, or supporting quantitative vocabulary. Where a native MIB, CIM, OMA or Redfish model is involved, an OGC mapping is not a claim to implement that model’s native protocol or complete compliance profile.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Public Redfish schema access and attributed documentation rights do not remove separate interoperability or patent considerations. Reconcile this donor with the selected RFC 7326/RFC 7577 source/consumer/metering model and approve an exact OGC binding before treating it as an implementation contract.</w:t>
      </w:r>
    </w:p>
    <w:p>
      <w:pPr>
        <w:pStyle w:val="Heading2"/>
        <w:keepNext/>
        <w:widowControl/>
      </w:pPr>
      <w:r>
        <w:t>S68  |  Lightweight M2M Core Device Object appendix</w:t>
      </w:r>
    </w:p>
    <w:p>
      <w:pPr>
        <w:pStyle w:val="Reference"/>
        <w:keepNext/>
        <w:widowControl/>
      </w:pPr>
      <w:r>
        <w:t>Open Mobile Alliance. 2024. “Lightweight Machine to Machine Technical Specification: Core.” Version 1.2.2, June 13, appendix E.4 (Device Object 3 v1.2).</w:t>
      </w:r>
    </w:p>
    <w:p>
      <w:pPr>
        <w:pStyle w:val="Metadata"/>
        <w:keepNext/>
        <w:widowControl/>
      </w:pPr>
      <w:r>
        <w:t>INSPECTION  Dated frozen core specification, Appendix E.4, inspected in Power Source comparison  •  Primary publication or selected artifact examined  •  added 14 October 2026</w:t>
      </w:r>
    </w:p>
    <w:p>
      <w:pPr>
        <w:pStyle w:val="SupplementNote"/>
        <w:keepNext/>
        <w:widowControl/>
      </w:pPr>
      <w:r>
        <w:t>PRIMARY LOCATOR  https://www.openmobilealliance.org/release/LightweightM2M/V1_2_2-20240613-A/OMA-TS-LightweightM2M_Core-V1_2_2-20240613-A.pdf</w:t>
      </w:r>
    </w:p>
    <w:p>
      <w:pPr>
        <w:pStyle w:val="Heading3"/>
        <w:keepNext/>
        <w:widowControl/>
      </w:pPr>
      <w:r>
        <w:t>Purpose, scope, and established concepts</w:t>
      </w:r>
    </w:p>
    <w:p>
      <w:pPr>
        <w:widowControl/>
      </w:pPr>
      <w:r>
        <w:t>The research considered this source within the Power domain and equipment management strand for its substantive contribution to the domain. Available power-source kinds, voltage/current and internal-battery level/status are standardized at compact device level. The cited edition or artifact, rather than the broader family name, sets the boundary for comparing the source with MERLIN.</w:t>
      </w:r>
    </w:p>
    <w:p>
      <w:pPr>
        <w:pStyle w:val="Heading3"/>
        <w:keepNext/>
        <w:widowControl/>
      </w:pPr>
      <w:r>
        <w:t>Relationship to the proposed OGC profile</w:t>
      </w:r>
    </w:p>
    <w:p>
      <w:pPr>
        <w:widowControl/>
      </w:pPr>
      <w:r>
        <w:t>Useful comparison for sparse IoT providers but weaker organizing source for shared generation, distribution and meter coverage. The selected power-domain organizing proposal is RFC 7326 with RFC 7577 battery specialization; this source supplements or tests that selection rather than silently replacing it.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dated frozen core specification, Appendix E.4, inspected in Power Source comparison. This is not an adoption of an OMA Lightweight M2M client/server stack or of a live mutable object registry.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Power specialization, comparable resource model, or supporting quantitative vocabulary. Where a native MIB, CIM, OMA or Redfish model is involved, an OGC mapping is not a claim to implement that model’s native protocol or complete compliance profile.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Inspect the artifact-specific copying, redistribution and implementation terms before publishing derived machine-readable definitions. Reconcile this donor with the selected RFC 7326/RFC 7577 source/consumer/metering model and approve an exact OGC binding before treating it as an implementation contract.</w:t>
      </w:r>
    </w:p>
    <w:p>
      <w:pPr>
        <w:pStyle w:val="Heading2"/>
        <w:keepNext/>
        <w:widowControl/>
      </w:pPr>
      <w:r>
        <w:t>S69  |  IETF Intellectual Property Rights guidance</w:t>
      </w:r>
    </w:p>
    <w:p>
      <w:pPr>
        <w:pStyle w:val="Reference"/>
        <w:keepNext/>
        <w:widowControl/>
      </w:pPr>
      <w:r>
        <w:t>Internet Engineering Task Force. n.d. “Intellectual Property Rights and the IETF.” IETF participation and rights guidance.</w:t>
      </w:r>
    </w:p>
    <w:p>
      <w:pPr>
        <w:pStyle w:val="Metadata"/>
        <w:keepNext/>
        <w:widowControl/>
      </w:pPr>
      <w:r>
        <w:t>INSPECTION  Selected public document, code-component and patent guidance consulted in Power Source  •  Primary publication or selected artifact examined  •  added 14 October 2026</w:t>
      </w:r>
    </w:p>
    <w:p>
      <w:pPr>
        <w:pStyle w:val="SupplementNote"/>
        <w:keepNext/>
        <w:widowControl/>
      </w:pPr>
      <w:r>
        <w:t>PRIMARY LOCATOR  https://www.ietf.org/standards/ipr/</w:t>
      </w:r>
    </w:p>
    <w:p>
      <w:pPr>
        <w:pStyle w:val="Heading3"/>
        <w:keepNext/>
        <w:widowControl/>
      </w:pPr>
      <w:r>
        <w:t>Purpose, scope, and established concepts</w:t>
      </w:r>
    </w:p>
    <w:p>
      <w:pPr>
        <w:widowControl/>
      </w:pPr>
      <w:r>
        <w:t>The research considered this source within the Rights and governance evidence strand for its substantive contribution to the domain. Open access to RFC text and ability to implement published specifications are different from permission to extract code or patent clearance. The cited edition or artifact, rather than the broader family name, sets the boundary for comparing the source with MERLIN.</w:t>
      </w:r>
    </w:p>
    <w:p>
      <w:pPr>
        <w:pStyle w:val="Heading3"/>
        <w:keepNext/>
        <w:widowControl/>
      </w:pPr>
      <w:r>
        <w:t>Relationship to the proposed OGC profile</w:t>
      </w:r>
    </w:p>
    <w:p>
      <w:pPr>
        <w:widowControl/>
      </w:pPr>
      <w:r>
        <w:t>Supports reuse-terms assessment for prospective source-derived power definitions. Legal openness, source availability, patent permissions and implementation access must be evaluated as distinct dimensions.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selected public document, code-component and patent guidance consulted in Power Source. Informative legal/organizational guidance; not an engineering interface specification nor a substitute for rights clearance.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Rights/implementation governance, not domain semantics. No claim of redistributed content or native implementation is supported solely by the existence of these public pages.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This reference is part of the rights evidence itself; it is not a legal opinion and must be applied to actual content and intended distribution. Preserve this source as examined even if not selected; reopen only if a concrete profile requirement or provider mapping could change its disposition.</w:t>
      </w:r>
    </w:p>
    <w:p>
      <w:pPr>
        <w:pStyle w:val="Heading2"/>
        <w:keepNext/>
        <w:widowControl/>
      </w:pPr>
      <w:r>
        <w:t>S70  |  UCUM License</w:t>
      </w:r>
    </w:p>
    <w:p>
      <w:pPr>
        <w:pStyle w:val="Reference"/>
        <w:keepNext/>
        <w:widowControl/>
      </w:pPr>
      <w:r>
        <w:t>UCUM Organization. n.d. “License.” Unified Code for Units of Measure project.</w:t>
      </w:r>
    </w:p>
    <w:p>
      <w:pPr>
        <w:pStyle w:val="Metadata"/>
        <w:keepNext/>
        <w:widowControl/>
      </w:pPr>
      <w:r>
        <w:t>INSPECTION  License terms consulted in Power Source / foundational research  •  Primary publication or selected artifact examined  •  added 14 October 2026</w:t>
      </w:r>
    </w:p>
    <w:p>
      <w:pPr>
        <w:pStyle w:val="SupplementNote"/>
        <w:keepNext/>
        <w:widowControl/>
      </w:pPr>
      <w:r>
        <w:t>PRIMARY LOCATOR  https://ucum.org/license</w:t>
      </w:r>
    </w:p>
    <w:p>
      <w:pPr>
        <w:pStyle w:val="Heading3"/>
        <w:keepNext/>
        <w:widowControl/>
      </w:pPr>
      <w:r>
        <w:t>Purpose, scope, and established concepts</w:t>
      </w:r>
    </w:p>
    <w:p>
      <w:pPr>
        <w:widowControl/>
      </w:pPr>
      <w:r>
        <w:t>The research considered this source within the Rights and governance evidence strand for its substantive contribution to the domain. Implementing UCUM codes and preserving standardized unit definitions have explicit use and modification implications. The cited edition or artifact, rather than the broader family name, sets the boundary for comparing the source with MERLIN.</w:t>
      </w:r>
    </w:p>
    <w:p>
      <w:pPr>
        <w:pStyle w:val="Heading3"/>
        <w:keepNext/>
        <w:widowControl/>
      </w:pPr>
      <w:r>
        <w:t>Relationship to the proposed OGC profile</w:t>
      </w:r>
    </w:p>
    <w:p>
      <w:pPr>
        <w:widowControl/>
      </w:pPr>
      <w:r>
        <w:t>Supports planning a unit-code dependency without inventing altered meanings under existing standardized codes. Legal openness, source availability, patent permissions and implementation access must be evaluated as distinct dimensions.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license terms consulted in Power Source / foundational research. License evidence does not establish a new quantity taxonomy or an edition change from the SensorML reference.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Rights/implementation governance, not domain semantics. No claim of redistributed content or native implementation is supported solely by the existence of these public pages.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This reference is part of the rights evidence itself; it is not a legal opinion and must be applied to actual content and intended distribution. Preserve this source as examined even if not selected; reopen only if a concrete profile requirement or provider mapping could change its disposition.</w:t>
      </w:r>
    </w:p>
    <w:p>
      <w:pPr>
        <w:pStyle w:val="Heading2"/>
        <w:keepNext/>
        <w:widowControl/>
      </w:pPr>
      <w:r>
        <w:t>S71  |  IEEE 1451.0-2024 smart transducer common standard</w:t>
      </w:r>
    </w:p>
    <w:p>
      <w:pPr>
        <w:pStyle w:val="Reference"/>
        <w:keepNext/>
        <w:widowControl/>
      </w:pPr>
      <w:r>
        <w:t>Institute of Electrical and Electronics Engineers Standards Association. 2024. IEEE Standard for a Smart Transducer Interface for Sensors and Actuators—Common Functions, Communication Protocols, and Transducer Electronic Data Sheet (TEDS) Formats. IEEE 1451.0-2024. June 26.</w:t>
      </w:r>
    </w:p>
    <w:p>
      <w:pPr>
        <w:pStyle w:val="Metadata"/>
        <w:keepNext/>
        <w:widowControl/>
      </w:pPr>
      <w:r>
        <w:t>INSPECTION  Official IEEE scope/status; full normative edition NOT obtained; current Playground used as indirect evidence  •  Access-limited, secondary/preview, or source-gated  •  added 14 October 2026</w:t>
      </w:r>
    </w:p>
    <w:p>
      <w:pPr>
        <w:pStyle w:val="SupplementNote"/>
        <w:keepNext/>
        <w:widowControl/>
      </w:pPr>
      <w:r>
        <w:t>PRIMARY LOCATOR  https://standards.ieee.org/ieee/1451.0/11001/</w:t>
      </w:r>
    </w:p>
    <w:p>
      <w:pPr>
        <w:pStyle w:val="Heading3"/>
        <w:keepNext/>
        <w:widowControl/>
      </w:pPr>
      <w:r>
        <w:t>Purpose, scope, and established concepts</w:t>
      </w:r>
    </w:p>
    <w:p>
      <w:pPr>
        <w:widowControl/>
      </w:pPr>
      <w:r>
        <w:t>The research considered this source within the IEEE smart transducer / TEDS strand for its substantive contribution to the domain. Current transducer interfaces, TEDS, NCAP/TIM services, channels and data descriptions are a strong domain candidate. The cited edition or artifact, rather than the broader family name, sets the boundary for comparing the source with MERLIN.</w:t>
      </w:r>
    </w:p>
    <w:p>
      <w:pPr>
        <w:pStyle w:val="Heading3"/>
        <w:keepNext/>
        <w:widowControl/>
      </w:pPr>
      <w:r>
        <w:t>Relationship to the proposed OGC profile</w:t>
      </w:r>
    </w:p>
    <w:p>
      <w:pPr>
        <w:widowControl/>
      </w:pPr>
      <w:r>
        <w:t>Priority modern technical edition for transducer-specific capability content, distinct from the entire physical sensing system. The corresponding MERLIN question is primarily a transducer-channel/functional description, which is narrower than the whole managed physical sensing-system model.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official IEEE scope/status; full normative edition NOT obtained; current Playground used as indirect evidence. Field cardinalities, normative optionality, exact clauses and 2010 delta remain blocked pending authorized full-standard access.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IEEE transducer/channel semantic candidate; no universal IEEE interface requirement. A future SensorML/SWE crosswalk would be MERLIN-authored semantic translation; no IEEE 1451 conformance follows merely from using familiar field names.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 IEEE assessment reports no exact IEEE 1451.0-2024 record in the authoritative supplied DISR export. Its current technical merit remains separate from the international 2010 editions listed as Emerging / IC-Emerging. No independent current NATO adoption or ratification assertion for this exact artifact is added by this documentary reconciliation. IEEE/ISO licensing and full-text access remain material; public papers and examples do not convey the missing normative requirements. For edition-specific source requirements and field-level equivalence, return to the prioritized licensed IEEE/ISO verification backlog before a normative profile dependency is approved.</w:t>
      </w:r>
    </w:p>
    <w:p>
      <w:pPr>
        <w:pStyle w:val="Heading2"/>
        <w:keepNext/>
        <w:widowControl/>
      </w:pPr>
      <w:r>
        <w:t>S72  |  ISO/IEC/IEEE 21450:2010 smart transducer common functions</w:t>
      </w:r>
    </w:p>
    <w:p>
      <w:pPr>
        <w:pStyle w:val="Reference"/>
        <w:keepNext/>
        <w:widowControl/>
      </w:pPr>
      <w:r>
        <w:t>International Organization for Standardization, International Electrotechnical Commission, and IEEE. 2010. Information Technology—Smart Transducer Interface for Sensors and Actuators—Common Functions, Communication Protocols, and TEDS Formats. ISO/IEC/IEEE 21450:2010.</w:t>
      </w:r>
    </w:p>
    <w:p>
      <w:pPr>
        <w:pStyle w:val="Metadata"/>
        <w:keepNext/>
        <w:widowControl/>
      </w:pPr>
      <w:r>
        <w:t>INSPECTION  Official catalogue scope and confirmation, full normative text inaccessible during IEEE Pass 1A  •  Access-limited, secondary/preview, or source-gated  •  added 14 October 2026</w:t>
      </w:r>
    </w:p>
    <w:p>
      <w:pPr>
        <w:pStyle w:val="SupplementNote"/>
        <w:keepNext/>
        <w:widowControl/>
      </w:pPr>
      <w:r>
        <w:t>PRIMARY LOCATOR  https://www.iso.org/standard/54356.html</w:t>
      </w:r>
    </w:p>
    <w:p>
      <w:pPr>
        <w:pStyle w:val="Heading3"/>
        <w:keepNext/>
        <w:widowControl/>
      </w:pPr>
      <w:r>
        <w:t>Purpose, scope, and established concepts</w:t>
      </w:r>
    </w:p>
    <w:p>
      <w:pPr>
        <w:widowControl/>
      </w:pPr>
      <w:r>
        <w:t>The research considered this source within the IEEE smart transducer / TEDS strand for its substantive contribution to the domain. International publication of the earlier common IEEE 1451.0 lineage; common TEDS and services framework. The cited edition or artifact, rather than the broader family name, sets the boundary for comparing the source with MERLIN.</w:t>
      </w:r>
    </w:p>
    <w:p>
      <w:pPr>
        <w:pStyle w:val="Heading3"/>
        <w:keepNext/>
        <w:widowControl/>
      </w:pPr>
      <w:r>
        <w:t>Relationship to the proposed OGC profile</w:t>
      </w:r>
    </w:p>
    <w:p>
      <w:pPr>
        <w:widowControl/>
      </w:pPr>
      <w:r>
        <w:t>Required version-to-version comparator before choosing whether to depend on the revised 2024 edition. The corresponding MERLIN question is primarily a transducer-channel/functional description, which is narrower than the whole managed physical sensing-system model.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official catalogue scope and confirmation, full normative text inaccessible during IEEE Pass 1A. Listed Emerging / IC-Emerging in the supplied complete DISR baseline; inherited IEEE 1451.0-2007 entry is Retired.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IEEE transducer/channel semantic candidate; no universal IEEE interface requirement. A future SensorML/SWE crosswalk would be MERLIN-authored semantic translation; no IEEE 1451 conformance follows merely from using familiar field names.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 exact international 2010 edition is Emerging / IC-Emerging in the owner-supplied complete 10 October 2026 DISR export, as retained in the IEEE research package. The retired predecessor IEEE editions have separate records; this status does not carry forward to an IEEE 2024 revision. No independent current NATO adoption or ratification assertion for this exact artifact is added by this documentary reconciliation. IEEE/ISO licensing and full-text access remain material; public papers and examples do not convey the missing normative requirements. For edition-specific source requirements and field-level equivalence, return to the prioritized licensed IEEE/ISO verification backlog before a normative profile dependency is approved.</w:t>
      </w:r>
    </w:p>
    <w:p>
      <w:pPr>
        <w:pStyle w:val="Heading2"/>
        <w:keepNext/>
        <w:widowControl/>
      </w:pPr>
      <w:r>
        <w:t>S73  |  ISO/IEC/IEEE 21451-1:2010 NCAP information model</w:t>
      </w:r>
    </w:p>
    <w:p>
      <w:pPr>
        <w:pStyle w:val="Reference"/>
        <w:keepNext/>
        <w:widowControl/>
      </w:pPr>
      <w:r>
        <w:t>International Organization for Standardization, International Electrotechnical Commission, and IEEE. 2010. Information Technology—Smart Transducer Interface for Sensors and Actuators—Part 1: NCAP Information Model. ISO/IEC/IEEE 21451-1:2010.</w:t>
      </w:r>
    </w:p>
    <w:p>
      <w:pPr>
        <w:pStyle w:val="Metadata"/>
        <w:keepNext/>
        <w:widowControl/>
      </w:pPr>
      <w:r>
        <w:t>INSPECTION  Official catalogue scope and 2025 confirmation, full normative edition not inspected  •  Access-limited, secondary/preview, or source-gated  •  added 14 October 2026</w:t>
      </w:r>
    </w:p>
    <w:p>
      <w:pPr>
        <w:pStyle w:val="SupplementNote"/>
        <w:keepNext/>
        <w:widowControl/>
      </w:pPr>
      <w:r>
        <w:t>PRIMARY LOCATOR  https://www.iso.org/standard/54357.html</w:t>
      </w:r>
    </w:p>
    <w:p>
      <w:pPr>
        <w:pStyle w:val="Heading3"/>
        <w:keepNext/>
        <w:widowControl/>
      </w:pPr>
      <w:r>
        <w:t>Purpose, scope, and established concepts</w:t>
      </w:r>
    </w:p>
    <w:p>
      <w:pPr>
        <w:widowControl/>
      </w:pPr>
      <w:r>
        <w:t>The research considered this source within the IEEE smart transducer / TEDS strand for its substantive contribution to the domain. Network Capable Application Processor objects and functions concern smart transducer processing/network access. The cited edition or artifact, rather than the broader family name, sets the boundary for comparing the source with MERLIN.</w:t>
      </w:r>
    </w:p>
    <w:p>
      <w:pPr>
        <w:pStyle w:val="Heading3"/>
        <w:keepNext/>
        <w:widowControl/>
      </w:pPr>
      <w:r>
        <w:t>Relationship to the proposed OGC profile</w:t>
      </w:r>
    </w:p>
    <w:p>
      <w:pPr>
        <w:widowControl/>
      </w:pPr>
      <w:r>
        <w:t>Relevant lower-layer native interface comparison and possible equipment-facing semantic donor. The corresponding MERLIN question is primarily a transducer-channel/functional description, which is narrower than the whole managed physical sensing-system model.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official catalogue scope and 2025 confirmation, full normative edition not inspected. Do not misstate it as a complete deployed-system information model or as mandating NCAP runtime for CSAPI.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IEEE transducer/channel semantic candidate; no universal IEEE interface requirement. A future SensorML/SWE crosswalk would be MERLIN-authored semantic translation; no IEEE 1451 conformance follows merely from using familiar field names.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 exact international 2010 edition is Emerging / IC-Emerging in the owner-supplied complete 10 October 2026 DISR export, as retained in the IEEE research package. The retired predecessor IEEE editions have separate records; this status does not carry forward to an IEEE 2024 revision. No independent current NATO adoption or ratification assertion for this exact artifact is added by this documentary reconciliation. IEEE/ISO licensing and full-text access remain material; public papers and examples do not convey the missing normative requirements. For edition-specific source requirements and field-level equivalence, return to the prioritized licensed IEEE/ISO verification backlog before a normative profile dependency is approved.</w:t>
      </w:r>
    </w:p>
    <w:p>
      <w:pPr>
        <w:pStyle w:val="Heading2"/>
        <w:keepNext/>
        <w:widowControl/>
      </w:pPr>
      <w:r>
        <w:t>S74  |  ISO/IEC/IEEE 21451-2:2010 digital transducer interface and TEDS</w:t>
      </w:r>
    </w:p>
    <w:p>
      <w:pPr>
        <w:pStyle w:val="Reference"/>
        <w:keepNext/>
        <w:widowControl/>
      </w:pPr>
      <w:r>
        <w:t>International Organization for Standardization, International Electrotechnical Commission, and IEEE. 2010. Information Technology—Smart Transducer Interface for Sensors and Actuators—Part 2: Transducer-to-Microprocessor Communication Protocols and TEDS Formats. ISO/IEC/IEEE 21451-2:2010.</w:t>
      </w:r>
    </w:p>
    <w:p>
      <w:pPr>
        <w:pStyle w:val="Metadata"/>
        <w:keepNext/>
        <w:widowControl/>
      </w:pPr>
      <w:r>
        <w:t>INSPECTION  Official catalogue scope; full normative tables and requirements not available  •  Access-limited, secondary/preview, or source-gated  •  added 14 October 2026</w:t>
      </w:r>
    </w:p>
    <w:p>
      <w:pPr>
        <w:pStyle w:val="SupplementNote"/>
        <w:keepNext/>
        <w:widowControl/>
      </w:pPr>
      <w:r>
        <w:t>PRIMARY LOCATOR  https://www.iso.org/standard/54367.html</w:t>
      </w:r>
    </w:p>
    <w:p>
      <w:pPr>
        <w:pStyle w:val="Heading3"/>
        <w:keepNext/>
        <w:widowControl/>
      </w:pPr>
      <w:r>
        <w:t>Purpose, scope, and established concepts</w:t>
      </w:r>
    </w:p>
    <w:p>
      <w:pPr>
        <w:widowControl/>
      </w:pPr>
      <w:r>
        <w:t>The research considered this source within the IEEE smart transducer / TEDS strand for its substantive contribution to the domain. Digital microprocessor/transducer communications and associated electronic data-sheet formats. The cited edition or artifact, rather than the broader family name, sets the boundary for comparing the source with MERLIN.</w:t>
      </w:r>
    </w:p>
    <w:p>
      <w:pPr>
        <w:pStyle w:val="Heading3"/>
        <w:keepNext/>
        <w:widowControl/>
      </w:pPr>
      <w:r>
        <w:t>Relationship to the proposed OGC profile</w:t>
      </w:r>
    </w:p>
    <w:p>
      <w:pPr>
        <w:widowControl/>
      </w:pPr>
      <w:r>
        <w:t>Useful detailed lineage when verifying 2024 channel-description continuity and transport-specific material. The corresponding MERLIN question is primarily a transducer-channel/functional description, which is narrower than the whole managed physical sensing-system model.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official catalogue scope; full normative tables and requirements not available. Published catalogue does not establish the mandatory field mapping or full current transducer-channel vocabulary.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IEEE transducer/channel semantic candidate; no universal IEEE interface requirement. A future SensorML/SWE crosswalk would be MERLIN-authored semantic translation; no IEEE 1451 conformance follows merely from using familiar field names.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 exact international 2010 edition is Emerging / IC-Emerging in the owner-supplied complete 10 October 2026 DISR export, as retained in the IEEE research package. The retired predecessor IEEE editions have separate records; this status does not carry forward to an IEEE 2024 revision. No independent current NATO adoption or ratification assertion for this exact artifact is added by this documentary reconciliation. IEEE/ISO licensing and full-text access remain material; public papers and examples do not convey the missing normative requirements. For edition-specific source requirements and field-level equivalence, return to the prioritized licensed IEEE/ISO verification backlog before a normative profile dependency is approved.</w:t>
      </w:r>
    </w:p>
    <w:p>
      <w:pPr>
        <w:pStyle w:val="Heading2"/>
        <w:keepNext/>
        <w:widowControl/>
      </w:pPr>
      <w:r>
        <w:t>S75  |  ISO/IEC/IEEE 21451-4:2010 mixed-mode interface and TEDS</w:t>
      </w:r>
    </w:p>
    <w:p>
      <w:pPr>
        <w:pStyle w:val="Reference"/>
        <w:keepNext/>
        <w:widowControl/>
      </w:pPr>
      <w:r>
        <w:t>International Organization for Standardization, International Electrotechnical Commission, and IEEE. 2010. Information Technology—Smart Transducer Interface for Sensors and Actuators—Part 4: Mixed-Mode Communication Protocols and TEDS Formats. ISO/IEC/IEEE 21451-4:2010.</w:t>
      </w:r>
    </w:p>
    <w:p>
      <w:pPr>
        <w:pStyle w:val="Metadata"/>
        <w:keepNext/>
        <w:widowControl/>
      </w:pPr>
      <w:r>
        <w:t>INSPECTION  Official catalogue scope; detailed mixed-mode normative text not available  •  Access-limited, secondary/preview, or source-gated  •  added 14 October 2026</w:t>
      </w:r>
    </w:p>
    <w:p>
      <w:pPr>
        <w:pStyle w:val="SupplementNote"/>
        <w:keepNext/>
        <w:widowControl/>
      </w:pPr>
      <w:r>
        <w:t>PRIMARY LOCATOR  https://www.iso.org/standard/54368.html</w:t>
      </w:r>
    </w:p>
    <w:p>
      <w:pPr>
        <w:pStyle w:val="Heading3"/>
        <w:keepNext/>
        <w:widowControl/>
      </w:pPr>
      <w:r>
        <w:t>Purpose, scope, and established concepts</w:t>
      </w:r>
    </w:p>
    <w:p>
      <w:pPr>
        <w:widowControl/>
      </w:pPr>
      <w:r>
        <w:t>The research considered this source within the IEEE smart transducer / TEDS strand for its substantive contribution to the domain. Mixed-mode/analog transducer interfaces and corresponding electronic data sheets. The cited edition or artifact, rather than the broader family name, sets the boundary for comparing the source with MERLIN.</w:t>
      </w:r>
    </w:p>
    <w:p>
      <w:pPr>
        <w:pStyle w:val="Heading3"/>
        <w:keepNext/>
        <w:widowControl/>
      </w:pPr>
      <w:r>
        <w:t>Relationship to the proposed OGC profile</w:t>
      </w:r>
    </w:p>
    <w:p>
      <w:pPr>
        <w:widowControl/>
      </w:pPr>
      <w:r>
        <w:t>Relevant when a native transducer integration uses that modality; not universal CSAPI content. The corresponding MERLIN question is primarily a transducer-channel/functional description, which is narrower than the whole managed physical sensing-system model.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official catalogue scope; detailed mixed-mode normative text not available. The applicability to a given MERLIN provider and precise TEDS field overlap requires explicit technical evidence.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IEEE transducer/channel semantic candidate; no universal IEEE interface requirement. A future SensorML/SWE crosswalk would be MERLIN-authored semantic translation; no IEEE 1451 conformance follows merely from using familiar field names.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 exact international 2010 edition is Emerging / IC-Emerging in the owner-supplied complete 10 October 2026 DISR export, as retained in the IEEE research package. The retired predecessor IEEE editions have separate records; this status does not carry forward to an IEEE 2024 revision. No independent current NATO adoption or ratification assertion for this exact artifact is added by this documentary reconciliation. IEEE/ISO licensing and full-text access remain material; public papers and examples do not convey the missing normative requirements. For edition-specific source requirements and field-level equivalence, return to the prioritized licensed IEEE/ISO verification backlog before a normative profile dependency is approved.</w:t>
      </w:r>
    </w:p>
    <w:p>
      <w:pPr>
        <w:pStyle w:val="Heading2"/>
        <w:keepNext/>
        <w:widowControl/>
      </w:pPr>
      <w:r>
        <w:t>S76  |  IEEE 1451.1.6 MQTT extension</w:t>
      </w:r>
    </w:p>
    <w:p>
      <w:pPr>
        <w:pStyle w:val="Reference"/>
        <w:keepNext/>
        <w:widowControl/>
      </w:pPr>
      <w:r>
        <w:t>Institute of Electrical and Electronics Engineers Standards Association. 2026. IEEE 1451.1.6-2025: MQTT for Networked Device Communication. Published February 6, 2026.</w:t>
      </w:r>
    </w:p>
    <w:p>
      <w:pPr>
        <w:pStyle w:val="Metadata"/>
        <w:keepNext/>
        <w:widowControl/>
      </w:pPr>
      <w:r>
        <w:t>INSPECTION  IEEE publication/status page inspected; full normative clauses not examined  •  Primary publication or selected artifact examined  •  added 14 October 2026</w:t>
      </w:r>
    </w:p>
    <w:p>
      <w:pPr>
        <w:pStyle w:val="SupplementNote"/>
        <w:keepNext/>
        <w:widowControl/>
      </w:pPr>
      <w:r>
        <w:t>PRIMARY LOCATOR  https://standards.ieee.org/ieee/1451.1.6/11619/</w:t>
      </w:r>
    </w:p>
    <w:p>
      <w:pPr>
        <w:pStyle w:val="Heading3"/>
        <w:keepNext/>
        <w:widowControl/>
      </w:pPr>
      <w:r>
        <w:t>Purpose, scope, and established concepts</w:t>
      </w:r>
    </w:p>
    <w:p>
      <w:pPr>
        <w:widowControl/>
      </w:pPr>
      <w:r>
        <w:t>The research considered this source within the IEEE smart transducer / TEDS strand for its substantive contribution to the domain. MQTT-oriented IEEE 1451 device/network integration is a current family development. The cited edition or artifact, rather than the broader family name, sets the boundary for comparing the source with MERLIN.</w:t>
      </w:r>
    </w:p>
    <w:p>
      <w:pPr>
        <w:pStyle w:val="Heading3"/>
        <w:keepNext/>
        <w:widowControl/>
      </w:pPr>
      <w:r>
        <w:t>Relationship to the proposed OGC profile</w:t>
      </w:r>
    </w:p>
    <w:p>
      <w:pPr>
        <w:widowControl/>
      </w:pPr>
      <w:r>
        <w:t>Informative adjacent protocol option if a native integration requires IEEE MQTT services. The corresponding MERLIN question is primarily a transducer-channel/functional description, which is narrower than the whole managed physical sensing-system model.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iEEE publication/status page inspected; full normative clauses not examined. It is not an edition replacement for 21451-1 or a reason to make MQTT mandatory in MERLIN.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IEEE transducer/channel semantic candidate; no universal IEEE interface requirement. A future SensorML/SWE crosswalk would be MERLIN-authored semantic translation; no IEEE 1451 conformance follows merely from using familiar field names.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matching 1451.1.6-2025 record was reported in the supplied complete DISR export; this is not a retirement or rejection finding. An actual program dependency and edition decision would precede any standards-adoption proposal. No independent current NATO adoption or ratification assertion for this exact artifact is added by this documentary reconciliation. IEEE/ISO licensing and full-text access remain material; public papers and examples do not convey the missing normative requirements. For edition-specific source requirements and field-level equivalence, return to the prioritized licensed IEEE/ISO verification backlog before a normative profile dependency is approved.</w:t>
      </w:r>
    </w:p>
    <w:p>
      <w:pPr>
        <w:pStyle w:val="Heading2"/>
        <w:keepNext/>
        <w:widowControl/>
      </w:pPr>
      <w:r>
        <w:t>S77  |  IEEE 1451 Playground Meta TEDS</w:t>
      </w:r>
    </w:p>
    <w:p>
      <w:pPr>
        <w:pStyle w:val="Reference"/>
        <w:keepNext/>
        <w:widowControl/>
      </w:pPr>
      <w:r>
        <w:t>IEEE 1451 Playground. n.d. “Meta TEDS.” Interactive IEEE 1451.0-2024-based documentation.</w:t>
      </w:r>
    </w:p>
    <w:p>
      <w:pPr>
        <w:pStyle w:val="Metadata"/>
        <w:keepNext/>
        <w:widowControl/>
      </w:pPr>
      <w:r>
        <w:t>INSPECTION  Public implementation-linked form, apparent §6.4 Table 13; NIST describes playground's validation purpose  •  Implementation-linked public evidence; normative verification pending  •  added 14 October 2026</w:t>
      </w:r>
    </w:p>
    <w:p>
      <w:pPr>
        <w:pStyle w:val="SupplementNote"/>
        <w:keepNext/>
        <w:widowControl/>
      </w:pPr>
      <w:r>
        <w:t>PRIMARY LOCATOR  https://iml.ubi.pt/playground/docs/ieee1451/teds/meta-teds/</w:t>
      </w:r>
    </w:p>
    <w:p>
      <w:pPr>
        <w:pStyle w:val="Heading3"/>
        <w:keepNext/>
        <w:widowControl/>
      </w:pPr>
      <w:r>
        <w:t>Purpose, scope, and established concepts</w:t>
      </w:r>
    </w:p>
    <w:p>
      <w:pPr>
        <w:widowControl/>
      </w:pPr>
      <w:r>
        <w:t>The research considered this source within the IEEE smart transducer / TEDS strand for its substantive contribution to the domain. TIM/channel UUID, channel count, self-test time, control/vector groups and proxy-related fields are visible candidates. The cited edition or artifact, rather than the broader family name, sets the boundary for comparing the source with MERLIN.</w:t>
      </w:r>
    </w:p>
    <w:p>
      <w:pPr>
        <w:pStyle w:val="Heading3"/>
        <w:keepNext/>
        <w:widowControl/>
      </w:pPr>
      <w:r>
        <w:t>Relationship to the proposed OGC profile</w:t>
      </w:r>
    </w:p>
    <w:p>
      <w:pPr>
        <w:widowControl/>
      </w:pPr>
      <w:r>
        <w:t>Informs transducer identity and meaningful multi-channel grouping without replacing equipment-role links. The corresponding MERLIN question is primarily a transducer-channel/functional description, which is narrower than the whole managed physical sensing-system model.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public implementation-linked form, apparent §6.4 Table 13; NIST describes playground's validation purpose. Playground interface is secondary to full normative text for exact field definitions, requirements and permitted structures.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IEEE transducer/channel semantic candidate; no universal IEEE interface requirement. A future SensorML/SWE crosswalk would be MERLIN-authored semantic translation; no IEEE 1451 conformance follows merely from using familiar field names.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IEEE/ISO licensing and full-text access remain material; public papers and examples do not convey the missing normative requirements. For edition-specific source requirements and field-level equivalence, return to the prioritized licensed IEEE/ISO verification backlog before a normative profile dependency is approved.</w:t>
      </w:r>
    </w:p>
    <w:p>
      <w:pPr>
        <w:pStyle w:val="Heading2"/>
        <w:keepNext/>
        <w:widowControl/>
      </w:pPr>
      <w:r>
        <w:t>S78  |  IEEE 1451 Playground TransducerChannel TEDS</w:t>
      </w:r>
    </w:p>
    <w:p>
      <w:pPr>
        <w:pStyle w:val="Reference"/>
        <w:keepNext/>
        <w:widowControl/>
      </w:pPr>
      <w:r>
        <w:t>IEEE 1451 Playground. n.d. “TransducerChannel TEDS.” Interactive IEEE 1451.0-2024-based documentation.</w:t>
      </w:r>
    </w:p>
    <w:p>
      <w:pPr>
        <w:pStyle w:val="Metadata"/>
        <w:keepNext/>
        <w:widowControl/>
      </w:pPr>
      <w:r>
        <w:t>INSPECTION  Public form with apparent §6.5/Table 19 and detailed candidate fields; full standard missing  •  Access-limited, secondary/preview, or source-gated  •  added 14 October 2026</w:t>
      </w:r>
    </w:p>
    <w:p>
      <w:pPr>
        <w:pStyle w:val="SupplementNote"/>
        <w:keepNext/>
        <w:widowControl/>
      </w:pPr>
      <w:r>
        <w:t>PRIMARY LOCATOR  https://iml.ubi.pt/playground/docs/ieee1451/teds/transducer-channel-teds/</w:t>
      </w:r>
    </w:p>
    <w:p>
      <w:pPr>
        <w:pStyle w:val="Heading3"/>
        <w:keepNext/>
        <w:widowControl/>
      </w:pPr>
      <w:r>
        <w:t>Purpose, scope, and established concepts</w:t>
      </w:r>
    </w:p>
    <w:p>
      <w:pPr>
        <w:widowControl/>
      </w:pPr>
      <w:r>
        <w:t>The research considered this source within the IEEE smart transducer / TEDS strand for its substantive contribution to the domain. Channel type, units, operational limits, worst-case uncertainty, calibration key, sampling, delays and self-test semantics. The cited edition or artifact, rather than the broader family name, sets the boundary for comparing the source with MERLIN.</w:t>
      </w:r>
    </w:p>
    <w:p>
      <w:pPr>
        <w:pStyle w:val="Heading3"/>
        <w:keepNext/>
        <w:widowControl/>
      </w:pPr>
      <w:r>
        <w:t>Relationship to the proposed OGC profile</w:t>
      </w:r>
    </w:p>
    <w:p>
      <w:pPr>
        <w:widowControl/>
      </w:pPr>
      <w:r>
        <w:t>Strongest provisional IEEE source for refining R04 quantitative capability and timing under OGC carriers. The corresponding MERLIN question is primarily a transducer-channel/functional description, which is narrower than the whole managed physical sensing-system model.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public form with apparent §6.5/Table 19 and detailed candidate fields; full standard missing. The form cannot resolve conditional requirements, cardinalities or 2010-to-2024 changes alone.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IEEE transducer/channel semantic candidate; no universal IEEE interface requirement. A future SensorML/SWE crosswalk would be MERLIN-authored semantic translation; no IEEE 1451 conformance follows merely from using familiar field names.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IEEE/ISO licensing and full-text access remain material; public papers and examples do not convey the missing normative requirements. For edition-specific source requirements and field-level equivalence, return to the prioritized licensed IEEE/ISO verification backlog before a normative profile dependency is approved.</w:t>
      </w:r>
    </w:p>
    <w:p>
      <w:pPr>
        <w:pStyle w:val="Heading2"/>
        <w:keepNext/>
        <w:widowControl/>
      </w:pPr>
      <w:r>
        <w:t>S79  |  IEEE 1451 Playground Optional TEDS</w:t>
      </w:r>
    </w:p>
    <w:p>
      <w:pPr>
        <w:pStyle w:val="Reference"/>
        <w:keepNext/>
        <w:widowControl/>
      </w:pPr>
      <w:r>
        <w:t>IEEE 1451 Playground. n.d. “Optional TEDS.” Interactive documentation of current optional TEDS sections.</w:t>
      </w:r>
    </w:p>
    <w:p>
      <w:pPr>
        <w:pStyle w:val="Metadata"/>
        <w:keepNext/>
        <w:widowControl/>
      </w:pPr>
      <w:r>
        <w:t>INSPECTION  Public descriptions of calibration, frequency response, identification, location, security and time-sync TEDS  •  Implementation-linked public evidence; normative verification pending  •  added 14 October 2026</w:t>
      </w:r>
    </w:p>
    <w:p>
      <w:pPr>
        <w:pStyle w:val="SupplementNote"/>
        <w:keepNext/>
        <w:widowControl/>
      </w:pPr>
      <w:r>
        <w:t>PRIMARY LOCATOR  https://iml.ubi.pt/playground/docs/ieee1451/teds/optional-teds/</w:t>
      </w:r>
    </w:p>
    <w:p>
      <w:pPr>
        <w:pStyle w:val="Heading3"/>
        <w:keepNext/>
        <w:widowControl/>
      </w:pPr>
      <w:r>
        <w:t>Purpose, scope, and established concepts</w:t>
      </w:r>
    </w:p>
    <w:p>
      <w:pPr>
        <w:widowControl/>
      </w:pPr>
      <w:r>
        <w:t>The research considered this source within the IEEE smart transducer / TEDS strand for its substantive contribution to the domain. Optional structures can express calibration coefficients, response curves and contextual channel properties. The cited edition or artifact, rather than the broader family name, sets the boundary for comparing the source with MERLIN.</w:t>
      </w:r>
    </w:p>
    <w:p>
      <w:pPr>
        <w:pStyle w:val="Heading3"/>
        <w:keepNext/>
        <w:widowControl/>
      </w:pPr>
      <w:r>
        <w:t>Relationship to the proposed OGC profile</w:t>
      </w:r>
    </w:p>
    <w:p>
      <w:pPr>
        <w:widowControl/>
      </w:pPr>
      <w:r>
        <w:t>Supports narrow selective descriptions where provider data exist, not a mandatory all-TEDS profile. The corresponding MERLIN question is primarily a transducer-channel/functional description, which is narrower than the whole managed physical sensing-system model.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public descriptions of calibration, frequency response, identification, location, security and time-sync TEDS. Transfer Function label and some mandatory-status descriptions require the licensed specification to resolve.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IEEE transducer/channel semantic candidate; no universal IEEE interface requirement. A future SensorML/SWE crosswalk would be MERLIN-authored semantic translation; no IEEE 1451 conformance follows merely from using familiar field names.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IEEE/ISO licensing and full-text access remain material; public papers and examples do not convey the missing normative requirements. For edition-specific source requirements and field-level equivalence, return to the prioritized licensed IEEE/ISO verification backlog before a normative profile dependency is approved.</w:t>
      </w:r>
    </w:p>
    <w:p>
      <w:pPr>
        <w:pStyle w:val="Heading2"/>
        <w:keepNext/>
        <w:widowControl/>
      </w:pPr>
      <w:r>
        <w:t>S80  |  IEEE 1451 Playground PHY TEDS</w:t>
      </w:r>
    </w:p>
    <w:p>
      <w:pPr>
        <w:pStyle w:val="Reference"/>
        <w:keepNext/>
        <w:widowControl/>
      </w:pPr>
      <w:r>
        <w:t>IEEE 1451 Playground. n.d. “PHY TEDS.” Interactive page referencing IEEE 1451.5-2007 §5.3.</w:t>
      </w:r>
    </w:p>
    <w:p>
      <w:pPr>
        <w:pStyle w:val="Metadata"/>
        <w:keepNext/>
        <w:widowControl/>
      </w:pPr>
      <w:r>
        <w:t>INSPECTION  Public page visibly cites a family-specific 1451.5-2007 clause  •  Implementation-linked public evidence; normative verification pending  •  added 14 October 2026</w:t>
      </w:r>
    </w:p>
    <w:p>
      <w:pPr>
        <w:pStyle w:val="SupplementNote"/>
        <w:keepNext/>
        <w:widowControl/>
      </w:pPr>
      <w:r>
        <w:t>PRIMARY LOCATOR  https://iml.ubi.pt/playground/docs/ieee1451/teds/phy-teds/</w:t>
      </w:r>
    </w:p>
    <w:p>
      <w:pPr>
        <w:pStyle w:val="Heading3"/>
        <w:keepNext/>
        <w:widowControl/>
      </w:pPr>
      <w:r>
        <w:t>Purpose, scope, and established concepts</w:t>
      </w:r>
    </w:p>
    <w:p>
      <w:pPr>
        <w:widowControl/>
      </w:pPr>
      <w:r>
        <w:t>The research considered this source within the IEEE smart transducer / TEDS strand for its substantive contribution to the domain. Radio/physical link, security and battery-supply characteristics are present as optional integration context. The cited edition or artifact, rather than the broader family name, sets the boundary for comparing the source with MERLIN.</w:t>
      </w:r>
    </w:p>
    <w:p>
      <w:pPr>
        <w:pStyle w:val="Heading3"/>
        <w:keepNext/>
        <w:widowControl/>
      </w:pPr>
      <w:r>
        <w:t>Relationship to the proposed OGC profile</w:t>
      </w:r>
    </w:p>
    <w:p>
      <w:pPr>
        <w:widowControl/>
      </w:pPr>
      <w:r>
        <w:t>Low-priority communications comparator, not a transducer-channel core semantic model. The corresponding MERLIN question is primarily a transducer-channel/functional description, which is narrower than the whole managed physical sensing-system model.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public page visibly cites a family-specific 1451.5-2007 clause. Do not claim PHY TEDS is universally mandatory in IEEE 1451.0-2024 based on a tutorial page.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IEEE transducer/channel semantic candidate; no universal IEEE interface requirement. A future SensorML/SWE crosswalk would be MERLIN-authored semantic translation; no IEEE 1451 conformance follows merely from using familiar field names.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IEEE/ISO licensing and full-text access remain material; public papers and examples do not convey the missing normative requirements. For edition-specific source requirements and field-level equivalence, return to the prioritized licensed IEEE/ISO verification backlog before a normative profile dependency is approved.</w:t>
      </w:r>
    </w:p>
    <w:p>
      <w:pPr>
        <w:pStyle w:val="Heading2"/>
        <w:keepNext/>
        <w:widowControl/>
      </w:pPr>
      <w:r>
        <w:t>S81  |  NIST announcement of IEEE 1451.0-2024</w:t>
      </w:r>
    </w:p>
    <w:p>
      <w:pPr>
        <w:pStyle w:val="Reference"/>
        <w:keepNext/>
        <w:widowControl/>
      </w:pPr>
      <w:r>
        <w:t>National Institute of Standards and Technology. 2024. “IEEE 1451.0-2024 Standard Published Under Leadership of NIST Researchers.” July 1.</w:t>
      </w:r>
    </w:p>
    <w:p>
      <w:pPr>
        <w:pStyle w:val="Metadata"/>
        <w:keepNext/>
        <w:widowControl/>
      </w:pPr>
      <w:r>
        <w:t>INSPECTION  First-party NIST publication reviewed for scope, leadership and edition significance  •  First-party research/report; informative  •  added 14 October 2026</w:t>
      </w:r>
    </w:p>
    <w:p>
      <w:pPr>
        <w:pStyle w:val="SupplementNote"/>
        <w:keepNext/>
        <w:widowControl/>
      </w:pPr>
      <w:r>
        <w:t>PRIMARY LOCATOR  https://www.nist.gov/news-events/news/2024/07/ieee-14510-2024-standard-published-under-leadership-nist-researchers</w:t>
      </w:r>
    </w:p>
    <w:p>
      <w:pPr>
        <w:pStyle w:val="Heading3"/>
        <w:keepNext/>
        <w:widowControl/>
      </w:pPr>
      <w:r>
        <w:t>Purpose, scope, and established concepts</w:t>
      </w:r>
    </w:p>
    <w:p>
      <w:pPr>
        <w:widowControl/>
      </w:pPr>
      <w:r>
        <w:t>The research considered this source within the IEEE smart transducer / TEDS strand for its substantive contribution to the domain. Describes a substantial revision led by NIST experts in transducer interoperability. The cited edition or artifact, rather than the broader family name, sets the boundary for comparing the source with MERLIN.</w:t>
      </w:r>
    </w:p>
    <w:p>
      <w:pPr>
        <w:pStyle w:val="Heading3"/>
        <w:keepNext/>
        <w:widowControl/>
      </w:pPr>
      <w:r>
        <w:t>Relationship to the proposed OGC profile</w:t>
      </w:r>
    </w:p>
    <w:p>
      <w:pPr>
        <w:widowControl/>
      </w:pPr>
      <w:r>
        <w:t>Supports why current edition merits priority technical attention beyond older DISR-listed lineages. The corresponding MERLIN question is primarily a transducer-channel/functional description, which is narrower than the whole managed physical sensing-system model.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first-party NIST publication reviewed for scope, leadership and edition significance. Public announcement does not reproduce a 400-page standard or establish field-level normative duties.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IEEE transducer/channel semantic candidate; no universal IEEE interface requirement. A future SensorML/SWE crosswalk would be MERLIN-authored semantic translation; no IEEE 1451 conformance follows merely from using familiar field names.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 IEEE assessment reports no exact IEEE 1451.0-2024 record in the authoritative supplied DISR export. Its current technical merit remains separate from the international 2010 editions listed as Emerging / IC-Emerging. No independent current NATO adoption or ratification assertion for this exact artifact is added by this documentary reconciliation. IEEE/ISO licensing and full-text access remain material; public papers and examples do not convey the missing normative requirements. For edition-specific source requirements and field-level equivalence, return to the prioritized licensed IEEE/ISO verification backlog before a normative profile dependency is approved.</w:t>
      </w:r>
    </w:p>
    <w:p>
      <w:pPr>
        <w:pStyle w:val="Heading2"/>
        <w:keepNext/>
        <w:widowControl/>
      </w:pPr>
      <w:r>
        <w:t>S82  |  NIST announcement of IEEE 1451 Playground</w:t>
      </w:r>
    </w:p>
    <w:p>
      <w:pPr>
        <w:pStyle w:val="Reference"/>
        <w:keepNext/>
        <w:widowControl/>
      </w:pPr>
      <w:r>
        <w:t>National Institute of Standards and Technology. 2024. “NIST and University Researchers Present Online Tool to Support IEEE Standards at 2024 IECON.” December 1.</w:t>
      </w:r>
    </w:p>
    <w:p>
      <w:pPr>
        <w:pStyle w:val="Metadata"/>
        <w:keepNext/>
        <w:widowControl/>
      </w:pPr>
      <w:r>
        <w:t>INSPECTION  First-party NIST publication explaining Playground and intended validation role  •  Implementation-linked public evidence; normative verification pending  •  added 14 October 2026</w:t>
      </w:r>
    </w:p>
    <w:p>
      <w:pPr>
        <w:pStyle w:val="SupplementNote"/>
        <w:keepNext/>
        <w:widowControl/>
      </w:pPr>
      <w:r>
        <w:t>PRIMARY LOCATOR  https://www.nist.gov/news-events/news/2024/12/nist-and-university-researchers-present-online-tool-support-ieee-standards</w:t>
      </w:r>
    </w:p>
    <w:p>
      <w:pPr>
        <w:pStyle w:val="Heading3"/>
        <w:keepNext/>
        <w:widowControl/>
      </w:pPr>
      <w:r>
        <w:t>Purpose, scope, and established concepts</w:t>
      </w:r>
    </w:p>
    <w:p>
      <w:pPr>
        <w:widowControl/>
      </w:pPr>
      <w:r>
        <w:t>The research considered this source within the IEEE smart transducer / TEDS strand for its substantive contribution to the domain. Documents that a contemporary educational/validation tool exists around the new IEEE 1451 standard. The cited edition or artifact, rather than the broader family name, sets the boundary for comparing the source with MERLIN.</w:t>
      </w:r>
    </w:p>
    <w:p>
      <w:pPr>
        <w:pStyle w:val="Heading3"/>
        <w:keepNext/>
        <w:widowControl/>
      </w:pPr>
      <w:r>
        <w:t>Relationship to the proposed OGC profile</w:t>
      </w:r>
    </w:p>
    <w:p>
      <w:pPr>
        <w:widowControl/>
      </w:pPr>
      <w:r>
        <w:t>Gives public-source engineering credibility to reconstructed field lists without granting normative authority to them. The corresponding MERLIN question is primarily a transducer-channel/functional description, which is narrower than the whole managed physical sensing-system model.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first-party NIST publication explaining Playground and intended validation role. It does not verify mandatory versus optional requirements hidden in the licensed standard.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IEEE transducer/channel semantic candidate; no universal IEEE interface requirement. A future SensorML/SWE crosswalk would be MERLIN-authored semantic translation; no IEEE 1451 conformance follows merely from using familiar field names.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IEEE/ISO licensing and full-text access remain material; public papers and examples do not convey the missing normative requirements. For edition-specific source requirements and field-level equivalence, return to the prioritized licensed IEEE/ISO verification backlog before a normative profile dependency is approved.</w:t>
      </w:r>
    </w:p>
    <w:p>
      <w:pPr>
        <w:pStyle w:val="Heading2"/>
        <w:keepNext/>
        <w:widowControl/>
      </w:pPr>
      <w:r>
        <w:t>S83  |  IEEE 1451.0-based WoT ontology paper</w:t>
      </w:r>
    </w:p>
    <w:p>
      <w:pPr>
        <w:pStyle w:val="Reference"/>
        <w:keepNext/>
        <w:widowControl/>
      </w:pPr>
      <w:r>
        <w:t>Song, Eugene Y., Helbert da Rocha, Antonio Espirito-Santo, and Riccardo Brama. 2025. “IEEE 1451.0-Based Web of Thing (WoT) Ontology.” IEEE IECON 2024 proceedings; published March 10, 2025.</w:t>
      </w:r>
    </w:p>
    <w:p>
      <w:pPr>
        <w:pStyle w:val="Metadata"/>
        <w:keepNext/>
        <w:widowControl/>
      </w:pPr>
      <w:r>
        <w:t>INSPECTION  Current technical paper directly assessed in IEEE public-source workstream  •  First-party research/report; informative  •  added 14 October 2026</w:t>
      </w:r>
    </w:p>
    <w:p>
      <w:pPr>
        <w:pStyle w:val="SupplementNote"/>
        <w:keepNext/>
        <w:widowControl/>
      </w:pPr>
      <w:r>
        <w:t>PRIMARY LOCATOR  https://www.nist.gov/publications/ieee-14510-based-web-thing-wot-ontology</w:t>
      </w:r>
    </w:p>
    <w:p>
      <w:pPr>
        <w:pStyle w:val="Heading3"/>
        <w:keepNext/>
        <w:widowControl/>
      </w:pPr>
      <w:r>
        <w:t>Purpose, scope, and established concepts</w:t>
      </w:r>
    </w:p>
    <w:p>
      <w:pPr>
        <w:widowControl/>
      </w:pPr>
      <w:r>
        <w:t>The research considered this source within the IEEE smart transducer / TEDS strand for its substantive contribution to the domain. Projects IEEE TEDS and service semantics into a JSON-LD Web of Things semantic description. The cited edition or artifact, rather than the broader family name, sets the boundary for comparing the source with MERLIN.</w:t>
      </w:r>
    </w:p>
    <w:p>
      <w:pPr>
        <w:pStyle w:val="Heading3"/>
        <w:keepNext/>
        <w:widowControl/>
      </w:pPr>
      <w:r>
        <w:t>Relationship to the proposed OGC profile</w:t>
      </w:r>
    </w:p>
    <w:p>
      <w:pPr>
        <w:widowControl/>
      </w:pPr>
      <w:r>
        <w:t>Strong modern precedent for describing IEEE-originated concepts in another Web information model. The corresponding MERLIN question is primarily a transducer-channel/functional description, which is narrower than the whole managed physical sensing-system model.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current technical paper directly assessed in IEEE public-source workstream. The result is not a published IEEE-to-SensorML or IEEE-to-CSAPI profile, nor IEEE implementation by MERLIN.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IEEE transducer/channel semantic candidate; no universal IEEE interface requirement. A future SensorML/SWE crosswalk would be MERLIN-authored semantic translation; no IEEE 1451 conformance follows merely from using familiar field names.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IEEE/ISO licensing and full-text access remain material; public papers and examples do not convey the missing normative requirements. For edition-specific source requirements and field-level equivalence, return to the prioritized licensed IEEE/ISO verification backlog before a normative profile dependency is approved.</w:t>
      </w:r>
    </w:p>
    <w:p>
      <w:pPr>
        <w:pStyle w:val="Heading2"/>
        <w:keepNext/>
        <w:widowControl/>
      </w:pPr>
      <w:r>
        <w:t>S84  |  A Unifying Standard for Interfacing Transducers to Networks</w:t>
      </w:r>
    </w:p>
    <w:p>
      <w:pPr>
        <w:pStyle w:val="Reference"/>
        <w:keepNext/>
        <w:widowControl/>
      </w:pPr>
      <w:r>
        <w:t>Wiczer, James, and Kang B. Lee. 2005. “A Unifying Standard for Interfacing Transducers to Networks—IEEE-1451.0.” ISA 2005 Expo/Conference.</w:t>
      </w:r>
    </w:p>
    <w:p>
      <w:pPr>
        <w:pStyle w:val="Metadata"/>
        <w:keepNext/>
        <w:widowControl/>
      </w:pPr>
      <w:r>
        <w:t>INSPECTION  NIST engineering literature assessed for historical 1451.0 design intent  •  First-party research/report; informative  •  added 14 October 2026</w:t>
      </w:r>
    </w:p>
    <w:p>
      <w:pPr>
        <w:pStyle w:val="SupplementNote"/>
        <w:keepNext/>
        <w:widowControl/>
      </w:pPr>
      <w:r>
        <w:t>PRIMARY LOCATOR  https://www.nist.gov/publications/unifying-standard-interfacing-transducers-networks-ieee-14510</w:t>
      </w:r>
    </w:p>
    <w:p>
      <w:pPr>
        <w:pStyle w:val="Heading3"/>
        <w:keepNext/>
        <w:widowControl/>
      </w:pPr>
      <w:r>
        <w:t>Purpose, scope, and established concepts</w:t>
      </w:r>
    </w:p>
    <w:p>
      <w:pPr>
        <w:widowControl/>
      </w:pPr>
      <w:r>
        <w:t>The research considered this source within the IEEE smart transducer / TEDS strand for its substantive contribution to the domain. TIM/NCAP boundary, channel TEDS content, range, units, timing and acquisition constraints are historically explained. The cited edition or artifact, rather than the broader family name, sets the boundary for comparing the source with MERLIN.</w:t>
      </w:r>
    </w:p>
    <w:p>
      <w:pPr>
        <w:pStyle w:val="Heading3"/>
        <w:keepNext/>
        <w:widowControl/>
      </w:pPr>
      <w:r>
        <w:t>Relationship to the proposed OGC profile</w:t>
      </w:r>
    </w:p>
    <w:p>
      <w:pPr>
        <w:widowControl/>
      </w:pPr>
      <w:r>
        <w:t>Useful continuity and intent record between early TEDS forms and 2024 public reconstruction. The corresponding MERLIN question is primarily a transducer-channel/functional description, which is narrower than the whole managed physical sensing-system model.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nIST engineering literature assessed for historical 1451.0 design intent. Historical terminology and optionality must not be presented as exact current 2024 normative clauses.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IEEE transducer/channel semantic candidate; no universal IEEE interface requirement. A future SensorML/SWE crosswalk would be MERLIN-authored semantic translation; no IEEE 1451 conformance follows merely from using familiar field names.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IEEE/ISO licensing and full-text access remain material; public papers and examples do not convey the missing normative requirements. For edition-specific source requirements and field-level equivalence, return to the prioritized licensed IEEE/ISO verification backlog before a normative profile dependency is approved.</w:t>
      </w:r>
    </w:p>
    <w:p>
      <w:pPr>
        <w:pStyle w:val="Heading2"/>
        <w:keepNext/>
        <w:widowControl/>
      </w:pPr>
      <w:r>
        <w:t>S85  |  ISA White Paper 6.0</w:t>
      </w:r>
    </w:p>
    <w:p>
      <w:pPr>
        <w:pStyle w:val="Reference"/>
        <w:keepNext/>
        <w:widowControl/>
      </w:pPr>
      <w:r>
        <w:t>U.S. Army PEO IEW&amp;S. 2023. Integrated Sensor Architecture: White Paper. Version 6.0, revision 2, October 31. Distribution Statement A.</w:t>
      </w:r>
    </w:p>
    <w:p>
      <w:pPr>
        <w:pStyle w:val="Metadata"/>
        <w:keepNext/>
        <w:widowControl/>
      </w:pPr>
      <w:r>
        <w:t>INSPECTION  Full user-supplied PDF read in ISA Phase 1/2; governance and design sections  •  User-supplied primary PDF; reviewed to stated scope  •  added 14 October 2026</w:t>
      </w:r>
    </w:p>
    <w:p>
      <w:pPr>
        <w:pStyle w:val="SupplementNote"/>
        <w:keepNext/>
        <w:widowControl/>
      </w:pPr>
      <w:r>
        <w:t>LOCAL SOURCE  local:ISA_White_Paper-6.0r2.pdf  •  supplied with MERLIN research packet</w:t>
      </w:r>
    </w:p>
    <w:p>
      <w:pPr>
        <w:pStyle w:val="Heading3"/>
        <w:keepNext/>
        <w:widowControl/>
      </w:pPr>
      <w:r>
        <w:t>Purpose, scope, and established concepts</w:t>
      </w:r>
    </w:p>
    <w:p>
      <w:pPr>
        <w:widowControl/>
      </w:pPr>
      <w:r>
        <w:t>The research considered this source within the ISA information model, architecture and ecosystem strand for its substantive contribution to the domain. Describes Army sensor-network interoperability goals, extension process and accepted/nominated/custom additions. The cited edition or artifact, rather than the broader family name, sets the boundary for comparing the source with MERLIN.</w:t>
      </w:r>
    </w:p>
    <w:p>
      <w:pPr>
        <w:pStyle w:val="Heading3"/>
        <w:keepNext/>
        <w:widowControl/>
      </w:pPr>
      <w:r>
        <w:t>Relationship to the proposed OGC profile</w:t>
      </w:r>
    </w:p>
    <w:p>
      <w:pPr>
        <w:widowControl/>
      </w:pPr>
      <w:r>
        <w:t>Strong governance precedent for differentiating MERLIN source provenance from acceptance/maturity status. For comparison, SensorML/CSAPI remains the application-level representation under consideration, and ISA is treated as a complete alternative architecture only when the study explicitly says so.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full user-supplied PDF read in ISA Phase 1/2; governance and design sections. Informative architecture document does not itself define OGC binding rules or prove ISA development lacked prior-art study.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ISA semantic precedent/alternative, not an ISA runtime selection. Reusing ISA terminology here would be an informative design precedent or an authored translation; native ISA conformance would additionally require its prescribed messages, services, dependencies, and assessment.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These ISA documents were not assigned a separate exact-edition DISR determination by this reconciliation; Army provenance is not equivalent to a DoD-wide Mandated DISR entry. No independent current NATO adoption or ratification assertion for this exact artifact is added by this documentary reconciliation. Distribution Statement A permits public release but does not automatically clear all reuse, recoding, trademark or derivative-work rights. Use the completed ISA Phase 2 crosswalk to adjudicate only the few identified MPSS review questions; do not restart a full ISA implementation or relabel existing OGC capabilities.</w:t>
      </w:r>
    </w:p>
    <w:p>
      <w:pPr>
        <w:pStyle w:val="Heading2"/>
        <w:keepNext/>
        <w:widowControl/>
      </w:pPr>
      <w:r>
        <w:t>S86  |  ISA Software Design Document 6.0</w:t>
      </w:r>
    </w:p>
    <w:p>
      <w:pPr>
        <w:pStyle w:val="Reference"/>
        <w:keepNext/>
        <w:widowControl/>
      </w:pPr>
      <w:r>
        <w:t>U.S. Army PEO IEW&amp;S. 2023. Integrated Sensor Architecture: Software Design Document. Version 6.0, revision 5, October 31. Distribution Statement A.</w:t>
      </w:r>
    </w:p>
    <w:p>
      <w:pPr>
        <w:pStyle w:val="Metadata"/>
        <w:keepNext/>
        <w:widowControl/>
      </w:pPr>
      <w:r>
        <w:t>INSPECTION  Full user-supplied PDF inspected, esp. §4.2.2 composition  •  User-supplied primary PDF; reviewed to stated scope  •  added 14 October 2026</w:t>
      </w:r>
    </w:p>
    <w:p>
      <w:pPr>
        <w:pStyle w:val="SupplementNote"/>
        <w:keepNext/>
        <w:widowControl/>
      </w:pPr>
      <w:r>
        <w:t>LOCAL SOURCE  local:ISA_Software_Design_Document-6.0r5.pdf  •  supplied with MERLIN research packet</w:t>
      </w:r>
    </w:p>
    <w:p>
      <w:pPr>
        <w:pStyle w:val="Heading3"/>
        <w:keepNext/>
        <w:widowControl/>
      </w:pPr>
      <w:r>
        <w:t>Purpose, scope, and established concepts</w:t>
      </w:r>
    </w:p>
    <w:p>
      <w:pPr>
        <w:widowControl/>
      </w:pPr>
      <w:r>
        <w:t>The research considered this source within the ISA information model, architecture and ecosystem strand for its substantive contribution to the domain. Composition Interface Components, virtual members, visible/translucent/opaque exposure and task mediation are described. The cited edition or artifact, rather than the broader family name, sets the boundary for comparing the source with MERLIN.</w:t>
      </w:r>
    </w:p>
    <w:p>
      <w:pPr>
        <w:pStyle w:val="Heading3"/>
        <w:keepNext/>
        <w:widowControl/>
      </w:pPr>
      <w:r>
        <w:t>Relationship to the proposed OGC profile</w:t>
      </w:r>
    </w:p>
    <w:p>
      <w:pPr>
        <w:widowControl/>
      </w:pPr>
      <w:r>
        <w:t>Informs potential adapter/representation provenance distinct from physical composition and communications access. For comparison, SensorML/CSAPI remains the application-level representation under consideration, and ISA is treated as a complete alternative architecture only when the study explicitly says so.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full user-supplied PDF inspected, esp. §4.2.2 composition. ISA composition requires its own native runtime; copying visibility labels into SensorML would be an authored adaptation.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ISA semantic precedent/alternative, not an ISA runtime selection. Reusing ISA terminology here would be an informative design precedent or an authored translation; native ISA conformance would additionally require its prescribed messages, services, dependencies, and assessment.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These ISA documents were not assigned a separate exact-edition DISR determination by this reconciliation; Army provenance is not equivalent to a DoD-wide Mandated DISR entry. No independent current NATO adoption or ratification assertion for this exact artifact is added by this documentary reconciliation. Distribution Statement A permits public release but does not automatically clear all reuse, recoding, trademark or derivative-work rights. Use the completed ISA Phase 2 crosswalk to adjudicate only the few identified MPSS review questions; do not restart a full ISA implementation or relabel existing OGC capabilities.</w:t>
      </w:r>
    </w:p>
    <w:p>
      <w:pPr>
        <w:pStyle w:val="Heading2"/>
        <w:keepNext/>
        <w:widowControl/>
      </w:pPr>
      <w:r>
        <w:t>S87  |  ISA Data Model Specification 6.0</w:t>
      </w:r>
    </w:p>
    <w:p>
      <w:pPr>
        <w:pStyle w:val="Reference"/>
        <w:keepNext/>
        <w:widowControl/>
      </w:pPr>
      <w:r>
        <w:t>U.S. Army PEO IEW&amp;S. 2023. Integrated Sensor Architecture: Data Model Specification. Version 6.0, revision 12, October 31. Distribution Statement A.</w:t>
      </w:r>
    </w:p>
    <w:p>
      <w:pPr>
        <w:pStyle w:val="Metadata"/>
        <w:keepNext/>
        <w:widowControl/>
      </w:pPr>
      <w:r>
        <w:t>INSPECTION  Full PDF assessed in Phase 1/2, including CCD, Config/Status, commands, observables, resource descriptor  •  User-supplied primary PDF; reviewed to stated scope  •  added 14 October 2026</w:t>
      </w:r>
    </w:p>
    <w:p>
      <w:pPr>
        <w:pStyle w:val="SupplementNote"/>
        <w:keepNext/>
        <w:widowControl/>
      </w:pPr>
      <w:r>
        <w:t>LOCAL SOURCE  local:ISA_Data_Model_Specification-6.0r12.pdf  •  supplied with MERLIN research packet</w:t>
      </w:r>
    </w:p>
    <w:p>
      <w:pPr>
        <w:pStyle w:val="Heading3"/>
        <w:keepNext/>
        <w:widowControl/>
      </w:pPr>
      <w:r>
        <w:t>Purpose, scope, and established concepts</w:t>
      </w:r>
    </w:p>
    <w:p>
      <w:pPr>
        <w:widowControl/>
      </w:pPr>
      <w:r>
        <w:t>The research considered this source within the ISA information model, architecture and ecosystem strand for its substantive contribution to the domain. The CCD declares component properties, observables, commands and custom types; command-ready and reporting are separately represented. The cited edition or artifact, rather than the broader family name, sets the boundary for comparing the source with MERLIN.</w:t>
      </w:r>
    </w:p>
    <w:p>
      <w:pPr>
        <w:pStyle w:val="Heading3"/>
        <w:keepNext/>
        <w:widowControl/>
      </w:pPr>
      <w:r>
        <w:t>Relationship to the proposed OGC profile</w:t>
      </w:r>
    </w:p>
    <w:p>
      <w:pPr>
        <w:widowControl/>
      </w:pPr>
      <w:r>
        <w:t>Useful conceptual check against current R04/R09–R12, not a function-level schema to copy into MERLIN. For comparison, SensorML/CSAPI remains the application-level representation under consideration, and ISA is treated as a complete alternative architecture only when the study explicitly says so.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full PDF assessed in Phase 1/2, including CCD, Config/Status, commands, observables, resource descriptor. A conformant ISA implementation needs exact ISA message/codec requirements beyond translating a set of labels.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ISA semantic precedent/alternative, not an ISA runtime selection. Reusing ISA terminology here would be an informative design precedent or an authored translation; native ISA conformance would additionally require its prescribed messages, services, dependencies, and assessment.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These ISA documents were not assigned a separate exact-edition DISR determination by this reconciliation; Army provenance is not equivalent to a DoD-wide Mandated DISR entry. No independent current NATO adoption or ratification assertion for this exact artifact is added by this documentary reconciliation. Distribution Statement A permits public release but does not automatically clear all reuse, recoding, trademark or derivative-work rights. Use the completed ISA Phase 2 crosswalk to adjudicate only the few identified MPSS review questions; do not restart a full ISA implementation or relabel existing OGC capabilities.</w:t>
      </w:r>
    </w:p>
    <w:p>
      <w:pPr>
        <w:pStyle w:val="Heading2"/>
        <w:keepNext/>
        <w:widowControl/>
      </w:pPr>
      <w:r>
        <w:t>S88  |  ISA Component Requirements 6.0</w:t>
      </w:r>
    </w:p>
    <w:p>
      <w:pPr>
        <w:pStyle w:val="Reference"/>
        <w:keepNext/>
        <w:widowControl/>
      </w:pPr>
      <w:r>
        <w:t>U.S. Army PEO IEW&amp;S. 2023. Integrated Sensor Architecture: Component Requirements. Version 6.0, revision 4, October 31. Distribution Statement A.</w:t>
      </w:r>
    </w:p>
    <w:p>
      <w:pPr>
        <w:pStyle w:val="Metadata"/>
        <w:keepNext/>
        <w:widowControl/>
      </w:pPr>
      <w:r>
        <w:t>INSPECTION  Full PDF checked for mandatory behavior and ready/reporting semantics in Phase 2  •  User-supplied primary PDF; reviewed to stated scope  •  added 14 October 2026</w:t>
      </w:r>
    </w:p>
    <w:p>
      <w:pPr>
        <w:pStyle w:val="SupplementNote"/>
        <w:keepNext/>
        <w:widowControl/>
      </w:pPr>
      <w:r>
        <w:t>LOCAL SOURCE  local:ISA_Component_Requirements-6.0r4.pdf  •  supplied with MERLIN research packet</w:t>
      </w:r>
    </w:p>
    <w:p>
      <w:pPr>
        <w:pStyle w:val="Heading3"/>
        <w:keepNext/>
        <w:widowControl/>
      </w:pPr>
      <w:r>
        <w:t>Purpose, scope, and established concepts</w:t>
      </w:r>
    </w:p>
    <w:p>
      <w:pPr>
        <w:widowControl/>
      </w:pPr>
      <w:r>
        <w:t>The research considered this source within the ISA information model, architecture and ecosystem strand for its substantive contribution to the domain. Component registration, state and command behaviors have requirements separate from data-model definitions. The cited edition or artifact, rather than the broader family name, sets the boundary for comparing the source with MERLIN.</w:t>
      </w:r>
    </w:p>
    <w:p>
      <w:pPr>
        <w:pStyle w:val="Heading3"/>
        <w:keepNext/>
        <w:widowControl/>
      </w:pPr>
      <w:r>
        <w:t>Relationship to the proposed OGC profile</w:t>
      </w:r>
    </w:p>
    <w:p>
      <w:pPr>
        <w:widowControl/>
      </w:pPr>
      <w:r>
        <w:t>Corrects misleading assumption that a command-ready indicator always means immediate execution. For comparison, SensorML/CSAPI remains the application-level representation under consideration, and ISA is treated as a complete alternative architecture only when the study explicitly says so.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full PDF checked for mandatory behavior and ready/reporting semantics in Phase 2. Applies only to native ISA component obligations; OGC streams expose different live/state semantics.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ISA semantic precedent/alternative, not an ISA runtime selection. Reusing ISA terminology here would be an informative design precedent or an authored translation; native ISA conformance would additionally require its prescribed messages, services, dependencies, and assessment.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These ISA documents were not assigned a separate exact-edition DISR determination by this reconciliation; Army provenance is not equivalent to a DoD-wide Mandated DISR entry. No independent current NATO adoption or ratification assertion for this exact artifact is added by this documentary reconciliation. Distribution Statement A permits public release but does not automatically clear all reuse, recoding, trademark or derivative-work rights. Use the completed ISA Phase 2 crosswalk to adjudicate only the few identified MPSS review questions; do not restart a full ISA implementation or relabel existing OGC capabilities.</w:t>
      </w:r>
    </w:p>
    <w:p>
      <w:pPr>
        <w:pStyle w:val="Heading2"/>
        <w:keepNext/>
        <w:widowControl/>
      </w:pPr>
      <w:r>
        <w:t>S89  |  ISA Interface Control Document 6.0</w:t>
      </w:r>
    </w:p>
    <w:p>
      <w:pPr>
        <w:pStyle w:val="Reference"/>
        <w:keepNext/>
        <w:widowControl/>
      </w:pPr>
      <w:r>
        <w:t>U.S. Army PEO IEW&amp;S. 2023. Integrated Sensor Architecture: Interface Control Document. Version 6.0, revision 5, October 31. Distribution Statement A.</w:t>
      </w:r>
    </w:p>
    <w:p>
      <w:pPr>
        <w:pStyle w:val="Metadata"/>
        <w:keepNext/>
        <w:widowControl/>
      </w:pPr>
      <w:r>
        <w:t>INSPECTION  User-supplied PDF examined for interface and wire-communication obligations  •  User-supplied primary PDF; reviewed to stated scope  •  added 14 October 2026</w:t>
      </w:r>
    </w:p>
    <w:p>
      <w:pPr>
        <w:pStyle w:val="SupplementNote"/>
        <w:keepNext/>
        <w:widowControl/>
      </w:pPr>
      <w:r>
        <w:t>LOCAL SOURCE  local:ISA_Interface_Control_Document-6.0r5.pdf  •  supplied with MERLIN research packet</w:t>
      </w:r>
    </w:p>
    <w:p>
      <w:pPr>
        <w:pStyle w:val="Heading3"/>
        <w:keepNext/>
        <w:widowControl/>
      </w:pPr>
      <w:r>
        <w:t>Purpose, scope, and established concepts</w:t>
      </w:r>
    </w:p>
    <w:p>
      <w:pPr>
        <w:widowControl/>
      </w:pPr>
      <w:r>
        <w:t>The research considered this source within the ISA information model, architecture and ecosystem strand for its substantive contribution to the domain. Defines native ISA interface protocol context around the Data Model Specification and requirements. The cited edition or artifact, rather than the broader family name, sets the boundary for comparing the source with MERLIN.</w:t>
      </w:r>
    </w:p>
    <w:p>
      <w:pPr>
        <w:pStyle w:val="Heading3"/>
        <w:keepNext/>
        <w:widowControl/>
      </w:pPr>
      <w:r>
        <w:t>Relationship to the proposed OGC profile</w:t>
      </w:r>
    </w:p>
    <w:p>
      <w:pPr>
        <w:widowControl/>
      </w:pPr>
      <w:r>
        <w:t>Provides conformance boundary for any claim of native ISA implementation or bridge. For comparison, SensorML/CSAPI remains the application-level representation under consideration, and ISA is treated as a complete alternative architecture only when the study explicitly says so.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user-supplied PDF examined for interface and wire-communication obligations. No ISA transport added to MERLIN merely because information semantics are useful.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ISA semantic precedent/alternative, not an ISA runtime selection. Reusing ISA terminology here would be an informative design precedent or an authored translation; native ISA conformance would additionally require its prescribed messages, services, dependencies, and assessment.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These ISA documents were not assigned a separate exact-edition DISR determination by this reconciliation; Army provenance is not equivalent to a DoD-wide Mandated DISR entry. No independent current NATO adoption or ratification assertion for this exact artifact is added by this documentary reconciliation. Distribution Statement A permits public release but does not automatically clear all reuse, recoding, trademark or derivative-work rights. Use the completed ISA Phase 2 crosswalk to adjudicate only the few identified MPSS review questions; do not restart a full ISA implementation or relabel existing OGC capabilities.</w:t>
      </w:r>
    </w:p>
    <w:p>
      <w:pPr>
        <w:pStyle w:val="Heading2"/>
        <w:keepNext/>
        <w:widowControl/>
      </w:pPr>
      <w:r>
        <w:t>S90  |  ISA Data Model Topics 6.0</w:t>
      </w:r>
    </w:p>
    <w:p>
      <w:pPr>
        <w:pStyle w:val="Reference"/>
        <w:keepNext/>
        <w:widowControl/>
      </w:pPr>
      <w:r>
        <w:t>U.S. Army PEO IEW&amp;S. 2023. Integrated Sensor Architecture: Data Model Topics. Version 6.0, revision 2, October 31. Distribution Statement A.</w:t>
      </w:r>
    </w:p>
    <w:p>
      <w:pPr>
        <w:pStyle w:val="Metadata"/>
        <w:keepNext/>
        <w:widowControl/>
      </w:pPr>
      <w:r>
        <w:t>INSPECTION  Full document reviewed for mutability, event updates and resource descriptors  •  User-supplied primary PDF; reviewed to stated scope  •  added 14 October 2026</w:t>
      </w:r>
    </w:p>
    <w:p>
      <w:pPr>
        <w:pStyle w:val="SupplementNote"/>
        <w:keepNext/>
        <w:widowControl/>
      </w:pPr>
      <w:r>
        <w:t>LOCAL SOURCE  local:ISA_Data_Model_Topics-6.0r2.pdf  •  supplied with MERLIN research packet</w:t>
      </w:r>
    </w:p>
    <w:p>
      <w:pPr>
        <w:pStyle w:val="Heading3"/>
        <w:keepNext/>
        <w:widowControl/>
      </w:pPr>
      <w:r>
        <w:t>Purpose, scope, and established concepts</w:t>
      </w:r>
    </w:p>
    <w:p>
      <w:pPr>
        <w:widowControl/>
      </w:pPr>
      <w:r>
        <w:t>The research considered this source within the ISA information model, architecture and ecosystem strand for its substantive contribution to the domain. Distinguishes informational property assignment from command-based state change; explains append-only event correction/recall/resolve. The cited edition or artifact, rather than the broader family name, sets the boundary for comparing the source with MERLIN.</w:t>
      </w:r>
    </w:p>
    <w:p>
      <w:pPr>
        <w:pStyle w:val="Heading3"/>
        <w:keepNext/>
        <w:widowControl/>
      </w:pPr>
      <w:r>
        <w:t>Relationship to the proposed OGC profile</w:t>
      </w:r>
    </w:p>
    <w:p>
      <w:pPr>
        <w:widowControl/>
      </w:pPr>
      <w:r>
        <w:t>Concrete conceptual source for profile rules on configuration, action and optional observation lineage. For comparison, SensorML/CSAPI remains the application-level representation under consideration, and ISA is treated as a complete alternative architecture only when the study explicitly says so.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full document reviewed for mutability, event updates and resource descriptors. Its concepts do not replace SensorML Settings, CSAPI Commands or the distinct SystemEvent lifecycle resource.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ISA semantic precedent/alternative, not an ISA runtime selection. Reusing ISA terminology here would be an informative design precedent or an authored translation; native ISA conformance would additionally require its prescribed messages, services, dependencies, and assessment.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These ISA documents were not assigned a separate exact-edition DISR determination by this reconciliation; Army provenance is not equivalent to a DoD-wide Mandated DISR entry. No independent current NATO adoption or ratification assertion for this exact artifact is added by this documentary reconciliation. Distribution Statement A permits public release but does not automatically clear all reuse, recoding, trademark or derivative-work rights. Use the completed ISA Phase 2 crosswalk to adjudicate only the few identified MPSS review questions; do not restart a full ISA implementation or relabel existing OGC capabilities.</w:t>
      </w:r>
    </w:p>
    <w:p>
      <w:pPr>
        <w:pStyle w:val="Heading3"/>
        <w:keepNext/>
        <w:widowControl/>
      </w:pPr>
      <w:r>
        <w:t>Reconciliation note — 17 October 2026</w:t>
      </w:r>
    </w:p>
    <w:p>
      <w:pPr>
        <w:widowControl/>
      </w:pPr>
      <w:r>
        <w:t>The ISA distinction among report correction, recall and resolution is retained in R11’s donor-preservation guidance. It is not flattened into a universal derivedFrom relation or mistaken for service-history events. A shared common-client navigation contract remains unresolved. The applied design therefore preserves source meaning without claiming native ISA behavior or complete cross-donor provenance compatibility (ISA Data Model Topics 6.0r2, §§2.2–2.5; MERLIN MPSS Profile 2026, R11).</w:t>
      </w:r>
    </w:p>
    <w:p>
      <w:pPr>
        <w:pStyle w:val="Heading2"/>
        <w:keepNext/>
        <w:widowControl/>
      </w:pPr>
      <w:r>
        <w:t>S91  |  ISA Controller Requirements 6.0</w:t>
      </w:r>
    </w:p>
    <w:p>
      <w:pPr>
        <w:pStyle w:val="Reference"/>
        <w:keepNext/>
        <w:widowControl/>
      </w:pPr>
      <w:r>
        <w:t>U.S. Army PEO IEW&amp;S. 2023. Integrated Sensor Architecture: Controller Requirements. Version 6.0, revision 4, October 31. Distribution Statement A.</w:t>
      </w:r>
    </w:p>
    <w:p>
      <w:pPr>
        <w:pStyle w:val="Metadata"/>
        <w:keepNext/>
        <w:widowControl/>
      </w:pPr>
      <w:r>
        <w:t>INSPECTION  Complete PDF supplied and reviewed in Phase 1; not re-audited clause-by-clause in Phase 2  •  User-supplied primary PDF; reviewed to stated scope  •  added 14 October 2026</w:t>
      </w:r>
    </w:p>
    <w:p>
      <w:pPr>
        <w:pStyle w:val="SupplementNote"/>
        <w:keepNext/>
        <w:widowControl/>
      </w:pPr>
      <w:r>
        <w:t>LOCAL SOURCE  local:ISA_Controller_Requirements-6.0r4.pdf  •  supplied with MERLIN research packet</w:t>
      </w:r>
    </w:p>
    <w:p>
      <w:pPr>
        <w:pStyle w:val="Heading3"/>
        <w:keepNext/>
        <w:widowControl/>
      </w:pPr>
      <w:r>
        <w:t>Purpose, scope, and established concepts</w:t>
      </w:r>
    </w:p>
    <w:p>
      <w:pPr>
        <w:widowControl/>
      </w:pPr>
      <w:r>
        <w:t>The research considered this source within the ISA information model, architecture and ecosystem strand for its substantive contribution to the domain. Controller services, service interface responsibilities and component networking obligations. The cited edition or artifact, rather than the broader family name, sets the boundary for comparing the source with MERLIN.</w:t>
      </w:r>
    </w:p>
    <w:p>
      <w:pPr>
        <w:pStyle w:val="Heading3"/>
        <w:keepNext/>
        <w:widowControl/>
      </w:pPr>
      <w:r>
        <w:t>Relationship to the proposed OGC profile</w:t>
      </w:r>
    </w:p>
    <w:p>
      <w:pPr>
        <w:widowControl/>
      </w:pPr>
      <w:r>
        <w:t>Relevant boundary condition if comparing a full ISA deployment against CSAPI servers and clients. For comparison, SensorML/CSAPI remains the application-level representation under consideration, and ISA is treated as a complete alternative architecture only when the study explicitly says so.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complete PDF supplied and reviewed in Phase 1; not re-audited clause-by-clause in Phase 2. Informative for architecture comparison; MERLIN neither deploys ISA Controller nor promises its requirements.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ISA semantic precedent/alternative, not an ISA runtime selection. Reusing ISA terminology here would be an informative design precedent or an authored translation; native ISA conformance would additionally require its prescribed messages, services, dependencies, and assessment.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These ISA documents were not assigned a separate exact-edition DISR determination by this reconciliation; Army provenance is not equivalent to a DoD-wide Mandated DISR entry. No independent current NATO adoption or ratification assertion for this exact artifact is added by this documentary reconciliation. Distribution Statement A permits public release but does not automatically clear all reuse, recoding, trademark or derivative-work rights. Use the completed ISA Phase 2 crosswalk to adjudicate only the few identified MPSS review questions; do not restart a full ISA implementation or relabel existing OGC capabilities.</w:t>
      </w:r>
    </w:p>
    <w:p>
      <w:pPr>
        <w:pStyle w:val="Heading2"/>
        <w:keepNext/>
        <w:widowControl/>
      </w:pPr>
      <w:r>
        <w:t>S92  |  ISA Introductory Guide 6.0</w:t>
      </w:r>
    </w:p>
    <w:p>
      <w:pPr>
        <w:pStyle w:val="Reference"/>
        <w:keepNext/>
        <w:widowControl/>
      </w:pPr>
      <w:r>
        <w:t>U.S. Army PEO IEW&amp;S. 2023. Integrated Sensor Architecture: Introductory Guide. Version 6.0, revision 2, October 31. Distribution Statement A.</w:t>
      </w:r>
    </w:p>
    <w:p>
      <w:pPr>
        <w:pStyle w:val="Metadata"/>
        <w:keepNext/>
        <w:widowControl/>
      </w:pPr>
      <w:r>
        <w:t>INSPECTION  Entire guide supplied and reviewed for terminology and introduction  •  User-supplied primary PDF; reviewed to stated scope  •  added 14 October 2026</w:t>
      </w:r>
    </w:p>
    <w:p>
      <w:pPr>
        <w:pStyle w:val="SupplementNote"/>
        <w:keepNext/>
        <w:widowControl/>
      </w:pPr>
      <w:r>
        <w:t>LOCAL SOURCE  local:ISA_Introductory_Guide-6.0r2.pdf  •  supplied with MERLIN research packet</w:t>
      </w:r>
    </w:p>
    <w:p>
      <w:pPr>
        <w:pStyle w:val="Heading3"/>
        <w:keepNext/>
        <w:widowControl/>
      </w:pPr>
      <w:r>
        <w:t>Purpose, scope, and established concepts</w:t>
      </w:r>
    </w:p>
    <w:p>
      <w:pPr>
        <w:widowControl/>
      </w:pPr>
      <w:r>
        <w:t>The research considered this source within the ISA information model, architecture and ecosystem strand for its substantive contribution to the domain. Summarizes ISA intended users, component architecture and introduction to the document family. The cited edition or artifact, rather than the broader family name, sets the boundary for comparing the source with MERLIN.</w:t>
      </w:r>
    </w:p>
    <w:p>
      <w:pPr>
        <w:pStyle w:val="Heading3"/>
        <w:keepNext/>
        <w:widowControl/>
      </w:pPr>
      <w:r>
        <w:t>Relationship to the proposed OGC profile</w:t>
      </w:r>
    </w:p>
    <w:p>
      <w:pPr>
        <w:widowControl/>
      </w:pPr>
      <w:r>
        <w:t>Supporting background when reading exact Data Model or software design provisions. For comparison, SensorML/CSAPI remains the application-level representation under consideration, and ISA is treated as a complete alternative architecture only when the study explicitly says so.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entire guide supplied and reviewed for terminology and introduction. Introductory prose does not override the normative requirements or demonstrate production deployment of any named vendor.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ISA semantic precedent/alternative, not an ISA runtime selection. Reusing ISA terminology here would be an informative design precedent or an authored translation; native ISA conformance would additionally require its prescribed messages, services, dependencies, and assessment.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These ISA documents were not assigned a separate exact-edition DISR determination by this reconciliation; Army provenance is not equivalent to a DoD-wide Mandated DISR entry. No independent current NATO adoption or ratification assertion for this exact artifact is added by this documentary reconciliation. Distribution Statement A permits public release but does not automatically clear all reuse, recoding, trademark or derivative-work rights. Use the completed ISA Phase 2 crosswalk to adjudicate only the few identified MPSS review questions; do not restart a full ISA implementation or relabel existing OGC capabilities.</w:t>
      </w:r>
    </w:p>
    <w:p>
      <w:pPr>
        <w:pStyle w:val="Heading2"/>
        <w:keepNext/>
        <w:widowControl/>
      </w:pPr>
      <w:r>
        <w:t>S93  |  ISA Data Query Language Users Guide 6.0</w:t>
      </w:r>
    </w:p>
    <w:p>
      <w:pPr>
        <w:pStyle w:val="Reference"/>
        <w:keepNext/>
        <w:widowControl/>
      </w:pPr>
      <w:r>
        <w:t>U.S. Army PEO IEW&amp;S. 2023. Integrated Sensor Architecture: Data Query Language Users Guide. Version 6.0, revision 4, October 31. Distribution Statement A.</w:t>
      </w:r>
    </w:p>
    <w:p>
      <w:pPr>
        <w:pStyle w:val="Metadata"/>
        <w:keepNext/>
        <w:widowControl/>
      </w:pPr>
      <w:r>
        <w:t>INSPECTION  Full guide supplied; examined primarily for data-discovery/query architecture  •  User-supplied primary PDF; reviewed to stated scope  •  added 14 October 2026</w:t>
      </w:r>
    </w:p>
    <w:p>
      <w:pPr>
        <w:pStyle w:val="SupplementNote"/>
        <w:keepNext/>
        <w:widowControl/>
      </w:pPr>
      <w:r>
        <w:t>LOCAL SOURCE  local:ISA_Data_Query_Language_Users_Guide-6.0r4.pdf  •  supplied with MERLIN research packet</w:t>
      </w:r>
    </w:p>
    <w:p>
      <w:pPr>
        <w:pStyle w:val="Heading3"/>
        <w:keepNext/>
        <w:widowControl/>
      </w:pPr>
      <w:r>
        <w:t>Purpose, scope, and established concepts</w:t>
      </w:r>
    </w:p>
    <w:p>
      <w:pPr>
        <w:widowControl/>
      </w:pPr>
      <w:r>
        <w:t>The research considered this source within the ISA information model, architecture and ecosystem strand for its substantive contribution to the domain. Defines the query-expression interface of native ISA discovery/subscriptions. The cited edition or artifact, rather than the broader family name, sets the boundary for comparing the source with MERLIN.</w:t>
      </w:r>
    </w:p>
    <w:p>
      <w:pPr>
        <w:pStyle w:val="Heading3"/>
        <w:keepNext/>
        <w:widowControl/>
      </w:pPr>
      <w:r>
        <w:t>Relationship to the proposed OGC profile</w:t>
      </w:r>
    </w:p>
    <w:p>
      <w:pPr>
        <w:widowControl/>
      </w:pPr>
      <w:r>
        <w:t>Useful full-stack comparator to the existing OGC query/collection API. For comparison, SensorML/CSAPI remains the application-level representation under consideration, and ISA is treated as a complete alternative architecture only when the study explicitly says so.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full guide supplied; examined primarily for data-discovery/query architecture. Not selected as an application-facing MERLIN query language and not a standard sensor-domain vocabulary.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ISA semantic precedent/alternative, not an ISA runtime selection. Reusing ISA terminology here would be an informative design precedent or an authored translation; native ISA conformance would additionally require its prescribed messages, services, dependencies, and assessment.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These ISA documents were not assigned a separate exact-edition DISR determination by this reconciliation; Army provenance is not equivalent to a DoD-wide Mandated DISR entry. No independent current NATO adoption or ratification assertion for this exact artifact is added by this documentary reconciliation. Distribution Statement A permits public release but does not automatically clear all reuse, recoding, trademark or derivative-work rights. Use the completed ISA Phase 2 crosswalk to adjudicate only the few identified MPSS review questions; do not restart a full ISA implementation or relabel existing OGC capabilities.</w:t>
      </w:r>
    </w:p>
    <w:p>
      <w:pPr>
        <w:pStyle w:val="Heading2"/>
        <w:keepNext/>
        <w:widowControl/>
      </w:pPr>
      <w:r>
        <w:t>S94  |  ISA IPL3 Usage Guide 6.0</w:t>
      </w:r>
    </w:p>
    <w:p>
      <w:pPr>
        <w:pStyle w:val="Reference"/>
        <w:keepNext/>
        <w:widowControl/>
      </w:pPr>
      <w:r>
        <w:t>U.S. Army PEO IEW&amp;S. 2023. Integrated Sensor Architecture: IPL3 Usage Guide. Version 6.0, revision 4, October 31. Distribution Statement A.</w:t>
      </w:r>
    </w:p>
    <w:p>
      <w:pPr>
        <w:pStyle w:val="Metadata"/>
        <w:keepNext/>
        <w:widowControl/>
      </w:pPr>
      <w:r>
        <w:t>INSPECTION  Complete guide supplied and included in assessment; targeted contextual review  •  User-supplied primary PDF; reviewed to stated scope  •  added 14 October 2026</w:t>
      </w:r>
    </w:p>
    <w:p>
      <w:pPr>
        <w:pStyle w:val="SupplementNote"/>
        <w:keepNext/>
        <w:widowControl/>
      </w:pPr>
      <w:r>
        <w:t>LOCAL SOURCE  local:ISA_IPL3_Usage_Guide-6.0r4.pdf  •  supplied with MERLIN research packet</w:t>
      </w:r>
    </w:p>
    <w:p>
      <w:pPr>
        <w:pStyle w:val="Heading3"/>
        <w:keepNext/>
        <w:widowControl/>
      </w:pPr>
      <w:r>
        <w:t>Purpose, scope, and established concepts</w:t>
      </w:r>
    </w:p>
    <w:p>
      <w:pPr>
        <w:widowControl/>
      </w:pPr>
      <w:r>
        <w:t>The research considered this source within the ISA information model, architecture and ecosystem strand for its substantive contribution to the domain. Describes ISA implementation/interface-layer use in its native ecosystem. The cited edition or artifact, rather than the broader family name, sets the boundary for comparing the source with MERLIN.</w:t>
      </w:r>
    </w:p>
    <w:p>
      <w:pPr>
        <w:pStyle w:val="Heading3"/>
        <w:keepNext/>
        <w:widowControl/>
      </w:pPr>
      <w:r>
        <w:t>Relationship to the proposed OGC profile</w:t>
      </w:r>
    </w:p>
    <w:p>
      <w:pPr>
        <w:widowControl/>
      </w:pPr>
      <w:r>
        <w:t>Retained to document native compliance and interoperability obligations, not selected MERLIN model content. For comparison, SensorML/CSAPI remains the application-level representation under consideration, and ISA is treated as a complete alternative architecture only when the study explicitly says so.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complete guide supplied and included in assessment; targeted contextual review. This study did not claim clause-level adoption or execution testing of native IPL3 obligations.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ISA semantic precedent/alternative, not an ISA runtime selection. Reusing ISA terminology here would be an informative design precedent or an authored translation; native ISA conformance would additionally require its prescribed messages, services, dependencies, and assessment.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These ISA documents were not assigned a separate exact-edition DISR determination by this reconciliation; Army provenance is not equivalent to a DoD-wide Mandated DISR entry. No independent current NATO adoption or ratification assertion for this exact artifact is added by this documentary reconciliation. Distribution Statement A permits public release but does not automatically clear all reuse, recoding, trademark or derivative-work rights. Use the completed ISA Phase 2 crosswalk to adjudicate only the few identified MPSS review questions; do not restart a full ISA implementation or relabel existing OGC capabilities.</w:t>
      </w:r>
    </w:p>
    <w:p>
      <w:pPr>
        <w:pStyle w:val="Heading2"/>
        <w:keepNext/>
        <w:widowControl/>
      </w:pPr>
      <w:r>
        <w:t>S95  |  ISA Certificate Usage Guide 6.0</w:t>
      </w:r>
    </w:p>
    <w:p>
      <w:pPr>
        <w:pStyle w:val="Reference"/>
        <w:keepNext/>
        <w:widowControl/>
      </w:pPr>
      <w:r>
        <w:t>U.S. Army PEO IEW&amp;S. 2023. Integrated Sensor Architecture: Certificate Usage Guide. Version 6.0, revision 2, October 31. Distribution Statement A.</w:t>
      </w:r>
    </w:p>
    <w:p>
      <w:pPr>
        <w:pStyle w:val="Metadata"/>
        <w:keepNext/>
        <w:widowControl/>
      </w:pPr>
      <w:r>
        <w:t>INSPECTION  Complete PDF supplied; reviewed for architecture/security context  •  User-supplied primary PDF; reviewed to stated scope  •  added 14 October 2026</w:t>
      </w:r>
    </w:p>
    <w:p>
      <w:pPr>
        <w:pStyle w:val="SupplementNote"/>
        <w:keepNext/>
        <w:widowControl/>
      </w:pPr>
      <w:r>
        <w:t>LOCAL SOURCE  local:ISA_Certificate_Usage_Guide-6.0r2.pdf  •  supplied with MERLIN research packet</w:t>
      </w:r>
    </w:p>
    <w:p>
      <w:pPr>
        <w:pStyle w:val="Heading3"/>
        <w:keepNext/>
        <w:widowControl/>
      </w:pPr>
      <w:r>
        <w:t>Purpose, scope, and established concepts</w:t>
      </w:r>
    </w:p>
    <w:p>
      <w:pPr>
        <w:widowControl/>
      </w:pPr>
      <w:r>
        <w:t>The research considered this source within the ISA information model, architecture and ecosystem strand for its substantive contribution to the domain. Certificate usage identifies security operations expected in native ISA environments. The cited edition or artifact, rather than the broader family name, sets the boundary for comparing the source with MERLIN.</w:t>
      </w:r>
    </w:p>
    <w:p>
      <w:pPr>
        <w:pStyle w:val="Heading3"/>
        <w:keepNext/>
        <w:widowControl/>
      </w:pPr>
      <w:r>
        <w:t>Relationship to the proposed OGC profile</w:t>
      </w:r>
    </w:p>
    <w:p>
      <w:pPr>
        <w:widowControl/>
      </w:pPr>
      <w:r>
        <w:t>Contextual source for a competing full stack's implementation cost and security boundary. For comparison, SensorML/CSAPI remains the application-level representation under consideration, and ISA is treated as a complete alternative architecture only when the study explicitly says so.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complete PDF supplied; reviewed for architecture/security context. Does not establish sensor-information semantics or a MERLIN authentication requirement.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ISA semantic precedent/alternative, not an ISA runtime selection. Reusing ISA terminology here would be an informative design precedent or an authored translation; native ISA conformance would additionally require its prescribed messages, services, dependencies, and assessment.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These ISA documents were not assigned a separate exact-edition DISR determination by this reconciliation; Army provenance is not equivalent to a DoD-wide Mandated DISR entry. No independent current NATO adoption or ratification assertion for this exact artifact is added by this documentary reconciliation. Distribution Statement A permits public release but does not automatically clear all reuse, recoding, trademark or derivative-work rights. Use the completed ISA Phase 2 crosswalk to adjudicate only the few identified MPSS review questions; do not restart a full ISA implementation or relabel existing OGC capabilities.</w:t>
      </w:r>
    </w:p>
    <w:p>
      <w:pPr>
        <w:pStyle w:val="Heading2"/>
        <w:keepNext/>
        <w:widowControl/>
      </w:pPr>
      <w:r>
        <w:t>S96  |  On the Difference between Information Models and Data Models</w:t>
      </w:r>
    </w:p>
    <w:p>
      <w:pPr>
        <w:pStyle w:val="Reference"/>
        <w:keepNext/>
        <w:widowControl/>
      </w:pPr>
      <w:r>
        <w:t>Pras, Aiko, and Jürgen Schönwälder. 2003. “On the Difference between Information Models and Data Models.” RFC 3444. January.</w:t>
      </w:r>
    </w:p>
    <w:p>
      <w:pPr>
        <w:pStyle w:val="Metadata"/>
        <w:keepNext/>
        <w:widowControl/>
      </w:pPr>
      <w:r>
        <w:t>INSPECTION  Published Informational RFC §§2–3 reviewed during ISA Phase 2  •  Primary publication or selected artifact examined  •  added 14 October 2026</w:t>
      </w:r>
    </w:p>
    <w:p>
      <w:pPr>
        <w:pStyle w:val="SupplementNote"/>
        <w:keepNext/>
        <w:widowControl/>
      </w:pPr>
      <w:r>
        <w:t>PRIMARY LOCATOR  https://www.rfc-editor.org/rfc/rfc3444.html</w:t>
      </w:r>
    </w:p>
    <w:p>
      <w:pPr>
        <w:pStyle w:val="Heading3"/>
        <w:keepNext/>
        <w:widowControl/>
      </w:pPr>
      <w:r>
        <w:t>Purpose, scope, and established concepts</w:t>
      </w:r>
    </w:p>
    <w:p>
      <w:pPr>
        <w:widowControl/>
      </w:pPr>
      <w:r>
        <w:t>The research considered this source within the Research methods and implementation boundaries strand for its substantive contribution to the domain. Protocol-neutral information models can inform more than one data representation and need not imply native runtime. The cited edition or artifact, rather than the broader family name, sets the boundary for comparing the source with MERLIN.</w:t>
      </w:r>
    </w:p>
    <w:p>
      <w:pPr>
        <w:pStyle w:val="Heading3"/>
        <w:keepNext/>
        <w:widowControl/>
      </w:pPr>
      <w:r>
        <w:t>Relationship to the proposed OGC profile</w:t>
      </w:r>
    </w:p>
    <w:p>
      <w:pPr>
        <w:widowControl/>
      </w:pPr>
      <w:r>
        <w:t>Methodological basis for the project's layered domain-information-model-to-OGC-profile approach. This source supports the distinction between organizing information and carrying it in an actual exchange encoding.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published Informational RFC §§2–3 reviewed during ISA Phase 2. Citing RFC 3444 does not turn borrowed ISA/EMAN terminology into native implementation of either stack.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Methodological precedent for information-model reuse. The chosen OGC binding, mappings and profile assertions would remain independently specified and subject to their own evidence.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Inspect the artifact-specific copying, redistribution and implementation terms before publishing derived machine-readable definitions. Preserve this source as examined even if not selected; reopen only if a concrete profile requirement or provider mapping could change its disposition.</w:t>
      </w:r>
    </w:p>
    <w:p>
      <w:pPr>
        <w:pStyle w:val="Heading2"/>
        <w:keepNext/>
        <w:widowControl/>
      </w:pPr>
      <w:r>
        <w:t>S97  |  OGC Observations Measurements and Samples 3.0</w:t>
      </w:r>
    </w:p>
    <w:p>
      <w:pPr>
        <w:pStyle w:val="Reference"/>
        <w:keepNext/>
        <w:widowControl/>
      </w:pPr>
      <w:r>
        <w:t>Open Geospatial Consortium. 2023. OGC Abstract Specification Topic 20: Observations, Measurements and Samples. OGC 20-082r4, version 3.0.0, May 26; equivalent ISO 19156:2023.</w:t>
      </w:r>
    </w:p>
    <w:p>
      <w:pPr>
        <w:pStyle w:val="Metadata"/>
        <w:keepNext/>
        <w:widowControl/>
      </w:pPr>
      <w:r>
        <w:t>INSPECTION  Full approved 198-page OGC 20-082r4 PDF examined by the completed OMS study on 15 October 2026, including §§4–13 and normative Annex A  •  access gate closed  •  reconciled 17 October 2026</w:t>
      </w:r>
    </w:p>
    <w:p>
      <w:pPr>
        <w:pStyle w:val="SupplementNote"/>
        <w:keepNext/>
        <w:widowControl/>
      </w:pPr>
      <w:r>
        <w:t>PRIMARY LOCATOR  https://docs.ogc.org/as/20-082r4/20-082r4.html</w:t>
      </w:r>
    </w:p>
    <w:p>
      <w:pPr>
        <w:pStyle w:val="Heading3"/>
        <w:keepNext/>
        <w:widowControl/>
      </w:pPr>
      <w:r>
        <w:t>Purpose, scope, and established concepts</w:t>
      </w:r>
    </w:p>
    <w:p>
      <w:pPr>
        <w:widowControl/>
      </w:pPr>
      <w:r>
        <w:t>The research considered this source within the Foundational observation and semantic models strand for its substantive contribution to the domain. Observer, observing procedure, host, deployment, observation characteristics, capability and sample distinctions. The cited edition or artifact, rather than the broader family name, sets the boundary for comparing the source with MERLIN.</w:t>
      </w:r>
    </w:p>
    <w:p>
      <w:pPr>
        <w:pStyle w:val="Heading3"/>
        <w:keepNext/>
        <w:widowControl/>
      </w:pPr>
      <w:r>
        <w:t>Relationship to the proposed OGC profile</w:t>
      </w:r>
    </w:p>
    <w:p>
      <w:pPr>
        <w:widowControl/>
      </w:pPr>
      <w:r>
        <w:t>Strong foundational model for avoiding confusion among produced data, process descriptions and deployment participation. This evidence concerns the meaning of observations, observing systems, their subjects, or observed variables; it does not independently define a new CSAPI endpoint.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finished focused study examined the approved full publication, including ObservingCapability §10.5, inherited ObservationCharacteristics §9.2 and the normative abstract test suite. Its supplied PDF is pinned in the artifact inventory by SHA-256 6eefa8dd843d5a8c2dc29e481bf693d1b6d83ee1f96e065db4c1eed204cabebf. The earlier full-text access limitation is closed; uncertainty about a separately authored MPSS binding is not uncertainty about access to this source (MERLIN OMS Assessment 2026).</w:t>
      </w:r>
    </w:p>
    <w:p>
      <w:pPr>
        <w:pStyle w:val="Heading3"/>
        <w:keepNext/>
        <w:widowControl/>
      </w:pPr>
      <w:r>
        <w:t>Intended use, specialized content, and implementation boundary</w:t>
      </w:r>
    </w:p>
    <w:p>
      <w:pPr>
        <w:widowControl/>
      </w:pPr>
      <w:r>
        <w:t>Selected meanings support R11/R17 subject and property precision and the R20 eligibility rule without adding another API. A specific OMS ObservingCapability conceptual-model claim would target /req/obs-basic/ObservingCapability, its imported ObservationCharacteristics and inherited NamedValue requirements, and applicable ISO 19103/19108 dependencies, assessed through Annex A.3.10 document inspection. CSAPI may package multiple observed properties in a resource, so its JSON is not automatically a conforming instance of every OMS conceptual Observation constraint. A future contextual prospective-capability convention remains an explicitly authored design choice, not an existing CSAPI endpoint (OGC 2023, §§4–5, 8–10, annex A; OGC 2025b, §9.7.1).</w:t>
      </w:r>
    </w:p>
    <w:p>
      <w:pPr>
        <w:pStyle w:val="Heading3"/>
        <w:keepNext/>
        <w:widowControl/>
      </w:pPr>
      <w:r>
        <w:t>Openness, adoption standing, and recommended action</w:t>
      </w:r>
    </w:p>
    <w:p>
      <w:pPr>
        <w:widowControl/>
      </w:pPr>
      <w:r>
        <w:t>The approved source and its open publisher location can now be used directly for the inspected requirements; S98 remains informative. The original v0.8 access statement is preserved in the archived baseline, while the current source record carries the dated correction. This consolidation makes no new exact NATO-adoption or DISR-status claim for the OMS publication and no technical profile change. Use of its conceptual meaning must be described separately from conformance to a deliberately selected requirements class.</w:t>
      </w:r>
    </w:p>
    <w:p>
      <w:pPr>
        <w:pStyle w:val="Heading2"/>
        <w:keepNext/>
        <w:widowControl/>
      </w:pPr>
      <w:r>
        <w:t>S98  |  Observation and Sampling of a Smiley Face</w:t>
      </w:r>
    </w:p>
    <w:p>
      <w:pPr>
        <w:pStyle w:val="Reference"/>
        <w:keepNext/>
        <w:widowControl/>
      </w:pPr>
      <w:r>
        <w:t>Schleidt, Kathi, ed. 2026. Observation and Sampling of a Smiley Face: Observations, Measurements and Samples 101. OGC Technical Paper 25-038, August 11.</w:t>
      </w:r>
    </w:p>
    <w:p>
      <w:pPr>
        <w:pStyle w:val="Metadata"/>
        <w:keepNext/>
        <w:widowControl/>
      </w:pPr>
      <w:r>
        <w:t>INSPECTION  Complete user-supplied 26-page OGC technical paper read, pp.8–22 especially  •  Published source reviewed selectively; exact scope stated  •  added 14 October 2026</w:t>
      </w:r>
    </w:p>
    <w:p>
      <w:pPr>
        <w:pStyle w:val="SupplementNote"/>
        <w:keepNext/>
        <w:widowControl/>
      </w:pPr>
      <w:r>
        <w:t>LOCAL SOURCE  local:25-038.pdf  •  supplied with MERLIN research packet</w:t>
      </w:r>
    </w:p>
    <w:p>
      <w:pPr>
        <w:pStyle w:val="Heading3"/>
        <w:keepNext/>
        <w:widowControl/>
      </w:pPr>
      <w:r>
        <w:t>Purpose, scope, and established concepts</w:t>
      </w:r>
    </w:p>
    <w:p>
      <w:pPr>
        <w:widowControl/>
      </w:pPr>
      <w:r>
        <w:t>The research considered this source within the Foundational observation and semantic models strand for its substantive contribution to the domain. Visual UML examples distinguish Observer, Host, Deployment, Procedure, FoI types and ObservingCapabilities. The cited edition or artifact, rather than the broader family name, sets the boundary for comparing the source with MERLIN.</w:t>
      </w:r>
    </w:p>
    <w:p>
      <w:pPr>
        <w:pStyle w:val="Heading3"/>
        <w:keepNext/>
        <w:widowControl/>
      </w:pPr>
      <w:r>
        <w:t>Relationship to the proposed OGC profile</w:t>
      </w:r>
    </w:p>
    <w:p>
      <w:pPr>
        <w:widowControl/>
      </w:pPr>
      <w:r>
        <w:t>Valuable informative explanation of what an OMS model might imply for R10–R11 and capabilities. This evidence concerns the meaning of observations, observing systems, their subjects, or observed variables; it does not independently define a new CSAPI endpoint.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complete user-supplied 26-page OGC technical paper read, pp.8–22 especially. Explicitly not an OGC Standard and cannot support normative conformance claims by itself.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Foundational semantic clarification or observed-variable terminology. A source ontology class or relation is not automatically an equivalent SensorML JSON member; an exact optional crosswalk would require a published or newly authored mapping.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 foundational review intentionally made no new exact DISR or NATO-adoption claim; publication approval and registry standing are separate questions. No independent current NATO adoption or ratification assertion for this exact artifact is added by this documentary reconciliation. Publisher document and ontology terms govern reuse; a public URL is not a blanket patent or code-redistribution clearance. Carry forward only the concrete distinctions supported at this inspection depth; resolve source-gated OMS requirements and any I-ADOPT/SSN draft adoption separately.</w:t>
      </w:r>
    </w:p>
    <w:p>
      <w:pPr>
        <w:pStyle w:val="Heading2"/>
        <w:keepNext/>
        <w:widowControl/>
      </w:pPr>
      <w:r>
        <w:t>S99  |  SOSA/SSN 2026 Working Draft</w:t>
      </w:r>
    </w:p>
    <w:p>
      <w:pPr>
        <w:pStyle w:val="Reference"/>
        <w:keepNext/>
        <w:widowControl/>
      </w:pPr>
      <w:r>
        <w:t>World Wide Web Consortium and Open Geospatial Consortium. 2026. “Semantic Sensor Network Ontology—2023 Edition.” W3C Working Draft, October 12; OGC 25-022.</w:t>
      </w:r>
    </w:p>
    <w:p>
      <w:pPr>
        <w:pStyle w:val="Metadata"/>
        <w:keepNext/>
        <w:widowControl/>
      </w:pPr>
      <w:r>
        <w:t>INSPECTION  Exact 12 October 2026 Working Draft: selected §§5–7, Appendix D and Annex E, with lineage/alignment reconciliation on 17 October 2026  •  unapproved draft; no new source ID</w:t>
      </w:r>
    </w:p>
    <w:p>
      <w:pPr>
        <w:pStyle w:val="SupplementNote"/>
        <w:keepNext/>
        <w:widowControl/>
      </w:pPr>
      <w:r>
        <w:t>PRIMARY LOCATOR  https://www.w3.org/TR/2026/WD-vocab-ssn-2023-20261012/</w:t>
      </w:r>
    </w:p>
    <w:p>
      <w:pPr>
        <w:pStyle w:val="Heading3"/>
        <w:keepNext/>
        <w:widowControl/>
      </w:pPr>
      <w:r>
        <w:t>Purpose, scope, and established concepts</w:t>
      </w:r>
    </w:p>
    <w:p>
      <w:pPr>
        <w:widowControl/>
      </w:pPr>
      <w:r>
        <w:t>The research considered this source within the Foundational observation and semantic models strand for its substantive contribution to the domain. Revised sosa:System roles and ontology relationships, OMS extension and explicit conceptual CSAPI alignment. The cited edition or artifact, rather than the broader family name, sets the boundary for comparing the source with MERLIN.</w:t>
      </w:r>
    </w:p>
    <w:p>
      <w:pPr>
        <w:pStyle w:val="Heading3"/>
        <w:keepNext/>
        <w:widowControl/>
      </w:pPr>
      <w:r>
        <w:t>Relationship to the proposed OGC profile</w:t>
      </w:r>
    </w:p>
    <w:p>
      <w:pPr>
        <w:widowControl/>
      </w:pPr>
      <w:r>
        <w:t>Best contemporary comparator for exact relationship meaning, without identifying ontology predicates as CSAPI fields. This evidence concerns the meaning of observations, observing systems, their subjects, or observed variables; it does not independently define a new CSAPI endpoint.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Selected sections were inspected in the foundational study and later integration review, including OMS alignment, ontology correspondence material, the CSAPI tables and historical explanations. Some ontology alignments express formal subclass/equivalence relationships, but the CSAPI resource correspondences are expressly conceptual rather than blanket OWL-equivalence axioms. The system-capabilities appendix is non-normative, and the entire October 12 publication remains a Working Draft. Its December release expectation is not a verified approval date (W3C and OGC 2026, §§6–7, app. D, annex E).</w:t>
      </w:r>
    </w:p>
    <w:p>
      <w:pPr>
        <w:pStyle w:val="Heading3"/>
        <w:keepNext/>
        <w:widowControl/>
      </w:pPr>
      <w:r>
        <w:t>Intended use, specialized content, and implementation boundary</w:t>
      </w:r>
    </w:p>
    <w:p>
      <w:pPr>
        <w:widowControl/>
      </w:pPr>
      <w:r>
        <w:t>The recommended reuse category is Foundational semantic clarification or observed-variable terminology. A source ontology class or relation is not automatically an equivalent SensorML JSON member; an exact optional crosswalk would require a published or newly authored mapping.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 draft’s existence does not create a new native donor implementation or exact-edition registry obligation. Preserve its selected source meanings and distinguish draft formal alignments from conceptual API mappings and historical influence. S99 remains the existing master identifier; this reconciliation records the expanded inspected scope without duplicating the publication. Its source standing does not reopen the already closed OMS access issue or imply that The Open Group SOSA Technical Standard is the same specification.</w:t>
      </w:r>
    </w:p>
    <w:p>
      <w:pPr>
        <w:pStyle w:val="Heading2"/>
        <w:keepNext/>
        <w:widowControl/>
      </w:pPr>
      <w:r>
        <w:t>S100  |  I-ADOPT WG Outputs and Recommendations</w:t>
      </w:r>
    </w:p>
    <w:p>
      <w:pPr>
        <w:pStyle w:val="Reference"/>
        <w:keepNext/>
        <w:widowControl/>
      </w:pPr>
      <w:r>
        <w:t>Magagna, Barbara, Gwenaëlle Moncoiffé, Anusuriya Devaraju, Maria Stoica, Sirko Schindler, Alison Pamment, and RDA I-ADOPT Working Group. 2022. InteroperAble Descriptions of Observable Property Terminologies (I-ADOPT) WG Outputs and Recommendations. Version 1.1.0. Research Data Alliance.</w:t>
      </w:r>
    </w:p>
    <w:p>
      <w:pPr>
        <w:pStyle w:val="Metadata"/>
        <w:keepNext/>
        <w:widowControl/>
      </w:pPr>
      <w:r>
        <w:t>INSPECTION  DOI/catalogue and bibliography verified in foundational review; full report not comprehensively inspected  •  Published source reviewed selectively; exact scope stated  •  added 14 October 2026</w:t>
      </w:r>
    </w:p>
    <w:p>
      <w:pPr>
        <w:pStyle w:val="SupplementNote"/>
        <w:keepNext/>
        <w:widowControl/>
      </w:pPr>
      <w:r>
        <w:t>PRIMARY LOCATOR  https://doi.org/10.15497/RDA00071</w:t>
      </w:r>
    </w:p>
    <w:p>
      <w:pPr>
        <w:pStyle w:val="Heading3"/>
        <w:keepNext/>
        <w:widowControl/>
      </w:pPr>
      <w:r>
        <w:t>Purpose, scope, and established concepts</w:t>
      </w:r>
    </w:p>
    <w:p>
      <w:pPr>
        <w:widowControl/>
      </w:pPr>
      <w:r>
        <w:t>The research considered this source within the Foundational observation and semantic models strand for its substantive contribution to the domain. Standardized compositional variable/observed-property descriptions support cross-vocabulary interoperability. The cited edition or artifact, rather than the broader family name, sets the boundary for comparing the source with MERLIN.</w:t>
      </w:r>
    </w:p>
    <w:p>
      <w:pPr>
        <w:pStyle w:val="Heading3"/>
        <w:keepNext/>
        <w:widowControl/>
      </w:pPr>
      <w:r>
        <w:t>Relationship to the proposed OGC profile</w:t>
      </w:r>
    </w:p>
    <w:p>
      <w:pPr>
        <w:widowControl/>
      </w:pPr>
      <w:r>
        <w:t>Relevant community precedent for disambiguating measurement meaning, especially matrix, statistic and object of interest. This evidence concerns the meaning of observations, observing systems, their subjects, or observed variables; it does not independently define a new CSAPI endpoint.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dOI/catalogue and bibliography verified in foundational review; full report not comprehensively inspected. Endorsed recommendation is not an OGC standard, required RDF runtime or complete normative mapping.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Foundational semantic clarification or observed-variable terminology. A source ontology class or relation is not automatically an equivalent SensorML JSON member; an exact optional crosswalk would require a published or newly authored mapping.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 foundational review intentionally made no new exact DISR or NATO-adoption claim; publication approval and registry standing are separate questions. No independent current NATO adoption or ratification assertion for this exact artifact is added by this documentary reconciliation. Inspect the artifact-specific copying, redistribution and implementation terms before publishing derived machine-readable definitions. Carry forward only the concrete distinctions supported at this inspection depth; resolve source-gated OMS requirements and any I-ADOPT/SSN draft adoption separately.</w:t>
      </w:r>
    </w:p>
    <w:p>
      <w:pPr>
        <w:pStyle w:val="Heading2"/>
        <w:keepNext/>
        <w:widowControl/>
      </w:pPr>
      <w:r>
        <w:t>S101  |  I-ADOPT Framework Ontology 1.1.0</w:t>
      </w:r>
    </w:p>
    <w:p>
      <w:pPr>
        <w:pStyle w:val="Reference"/>
        <w:keepNext/>
        <w:widowControl/>
      </w:pPr>
      <w:r>
        <w:t>I-ADOPT Community. 2025. “I-ADOPT Ontology Specification.” Version 1.1.0, May 28.</w:t>
      </w:r>
    </w:p>
    <w:p>
      <w:pPr>
        <w:pStyle w:val="Metadata"/>
        <w:keepNext/>
        <w:widowControl/>
      </w:pPr>
      <w:r>
        <w:t>INSPECTION  Published versioned HTML classes and properties inspected in foundational work  •  Published source reviewed selectively; exact scope stated  •  added 14 October 2026</w:t>
      </w:r>
    </w:p>
    <w:p>
      <w:pPr>
        <w:pStyle w:val="SupplementNote"/>
        <w:keepNext/>
        <w:widowControl/>
      </w:pPr>
      <w:r>
        <w:t>PRIMARY LOCATOR  https://i-adopt.github.io/ontology/</w:t>
      </w:r>
    </w:p>
    <w:p>
      <w:pPr>
        <w:pStyle w:val="Heading3"/>
        <w:keepNext/>
        <w:widowControl/>
      </w:pPr>
      <w:r>
        <w:t>Purpose, scope, and established concepts</w:t>
      </w:r>
    </w:p>
    <w:p>
      <w:pPr>
        <w:widowControl/>
      </w:pPr>
      <w:r>
        <w:t>The research considered this source within the Foundational observation and semantic models strand for its substantive contribution to the domain. Variable, Property, Entity, ObjectOfInterest, ContextObject, matrix, modifier and statistical specialization form a compositional variable model. The cited edition or artifact, rather than the broader family name, sets the boundary for comparing the source with MERLIN.</w:t>
      </w:r>
    </w:p>
    <w:p>
      <w:pPr>
        <w:pStyle w:val="Heading3"/>
        <w:keepNext/>
        <w:widowControl/>
      </w:pPr>
      <w:r>
        <w:t>Relationship to the proposed OGC profile</w:t>
      </w:r>
    </w:p>
    <w:p>
      <w:pPr>
        <w:widowControl/>
      </w:pPr>
      <w:r>
        <w:t>Candidate for curated definition of a sufficiently ambiguous observed variable, not a new managed sensing-system class. This evidence concerns the meaning of observations, observing systems, their subjects, or observed variables; it does not independently define a new CSAPI endpoint.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published versioned HTML classes and properties inspected in foundational work. Ontology's System means a compound entity and must not be equated with CSAPI System.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Foundational semantic clarification or observed-variable terminology. A source ontology class or relation is not automatically an equivalent SensorML JSON member; an exact optional crosswalk would require a published or newly authored mapping.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 foundational review intentionally made no new exact DISR or NATO-adoption claim; publication approval and registry standing are separate questions. No independent current NATO adoption or ratification assertion for this exact artifact is added by this documentary reconciliation. Inspect the artifact-specific copying, redistribution and implementation terms before publishing derived machine-readable definitions. Carry forward only the concrete distinctions supported at this inspection depth; resolve source-gated OMS requirements and any I-ADOPT/SSN draft adoption separately.</w:t>
      </w:r>
    </w:p>
    <w:p>
      <w:pPr>
        <w:pStyle w:val="Heading2"/>
        <w:keepNext/>
        <w:widowControl/>
      </w:pPr>
      <w:r>
        <w:t>S102  |  I-ADOPT 1.1.0 pinned Turtle ontology</w:t>
      </w:r>
    </w:p>
    <w:p>
      <w:pPr>
        <w:pStyle w:val="Reference"/>
        <w:keepNext/>
        <w:widowControl/>
      </w:pPr>
      <w:r>
        <w:t>I-ADOPT Community. 2025. “I-ADOPT Framework Ontology 1.1.0, Turtle Source.” Commit 604a560a5826d4c9102060a85eca00b15dc30ef9.</w:t>
      </w:r>
    </w:p>
    <w:p>
      <w:pPr>
        <w:pStyle w:val="Metadata"/>
        <w:keepNext/>
        <w:widowControl/>
      </w:pPr>
      <w:r>
        <w:t>INSPECTION  Exact versioned Turtle source inspected from repository snapshot, not executed as full reasoner  •  Published source reviewed selectively; exact scope stated  •  added 14 October 2026</w:t>
      </w:r>
    </w:p>
    <w:p>
      <w:pPr>
        <w:pStyle w:val="SupplementNote"/>
        <w:keepNext/>
        <w:widowControl/>
      </w:pPr>
      <w:r>
        <w:t>PRIMARY LOCATOR  https://github.com/i-adopt/ontology/blob/604a560a5826d4c9102060a85eca00b15dc30ef9/ontology/i-adopt_1_1_0.ttl</w:t>
      </w:r>
    </w:p>
    <w:p>
      <w:pPr>
        <w:pStyle w:val="Heading3"/>
        <w:keepNext/>
        <w:widowControl/>
      </w:pPr>
      <w:r>
        <w:t>Purpose, scope, and established concepts</w:t>
      </w:r>
    </w:p>
    <w:p>
      <w:pPr>
        <w:widowControl/>
      </w:pPr>
      <w:r>
        <w:t>The research considered this source within the Foundational observation and semantic models strand for its substantive contribution to the domain. Actual OWL/RDF classes, term IRIs and domain/range statements support interpreting the HTML specification correctly. The cited edition or artifact, rather than the broader family name, sets the boundary for comparing the source with MERLIN.</w:t>
      </w:r>
    </w:p>
    <w:p>
      <w:pPr>
        <w:pStyle w:val="Heading3"/>
        <w:keepNext/>
        <w:widowControl/>
      </w:pPr>
      <w:r>
        <w:t>Relationship to the proposed OGC profile</w:t>
      </w:r>
    </w:p>
    <w:p>
      <w:pPr>
        <w:widowControl/>
      </w:pPr>
      <w:r>
        <w:t>Prevents unversioned ontology drift in future profile definition discussions. This evidence concerns the meaning of observations, observing systems, their subjects, or observed variables; it does not independently define a new CSAPI endpoint.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exact versioned Turtle source inspected from repository snapshot, not executed as full reasoner. Do not copy the entire graph into MERLIN or claim SHACL validation by selecting a few term URIs.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Foundational semantic clarification or observed-variable terminology. A source ontology class or relation is not automatically an equivalent SensorML JSON member; an exact optional crosswalk would require a published or newly authored mapping.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 foundational review intentionally made no new exact DISR or NATO-adoption claim; publication approval and registry standing are separate questions. No independent current NATO adoption or ratification assertion for this exact artifact is added by this documentary reconciliation. Inspect the artifact-specific copying, redistribution and implementation terms before publishing derived machine-readable definitions. Carry forward only the concrete distinctions supported at this inspection depth; resolve source-gated OMS requirements and any I-ADOPT/SSN draft adoption separately.</w:t>
      </w:r>
    </w:p>
    <w:p>
      <w:pPr>
        <w:pStyle w:val="Heading2"/>
        <w:keepNext/>
        <w:widowControl/>
      </w:pPr>
      <w:r>
        <w:t>S103  |  I-ADOPT Variable Design Patterns</w:t>
      </w:r>
    </w:p>
    <w:p>
      <w:pPr>
        <w:pStyle w:val="Reference"/>
        <w:keepNext/>
        <w:widowControl/>
      </w:pPr>
      <w:r>
        <w:t>I-ADOPT Community. 2026. “I-ADOPT Variable Design Patterns.” Versioned GitHub patterns repository, master inspected October 14.</w:t>
      </w:r>
    </w:p>
    <w:p>
      <w:pPr>
        <w:pStyle w:val="Metadata"/>
        <w:keepNext/>
        <w:widowControl/>
      </w:pPr>
      <w:r>
        <w:t>INSPECTION  README, quantitative patterns and architecture-decision records identified and selectively reviewed  •  Published source reviewed selectively; exact scope stated  •  added 14 October 2026</w:t>
      </w:r>
    </w:p>
    <w:p>
      <w:pPr>
        <w:pStyle w:val="SupplementNote"/>
        <w:keepNext/>
        <w:widowControl/>
      </w:pPr>
      <w:r>
        <w:t>PRIMARY LOCATOR  https://github.com/i-adopt/patterns</w:t>
      </w:r>
    </w:p>
    <w:p>
      <w:pPr>
        <w:pStyle w:val="Heading3"/>
        <w:keepNext/>
        <w:widowControl/>
      </w:pPr>
      <w:r>
        <w:t>Purpose, scope, and established concepts</w:t>
      </w:r>
    </w:p>
    <w:p>
      <w:pPr>
        <w:widowControl/>
      </w:pPr>
      <w:r>
        <w:t>The research considered this source within the Foundational observation and semantic models strand for its substantive contribution to the domain. Patterns demonstrate how abstract variable components can combine for concentration or complex-property descriptions. The cited edition or artifact, rather than the broader family name, sets the boundary for comparing the source with MERLIN.</w:t>
      </w:r>
    </w:p>
    <w:p>
      <w:pPr>
        <w:pStyle w:val="Heading3"/>
        <w:keepNext/>
        <w:widowControl/>
      </w:pPr>
      <w:r>
        <w:t>Relationship to the proposed OGC profile</w:t>
      </w:r>
    </w:p>
    <w:p>
      <w:pPr>
        <w:widowControl/>
      </w:pPr>
      <w:r>
        <w:t>Optional practical authoring reference for future curated observed-property definition catalogue. This evidence concerns the meaning of observations, observing systems, their subjects, or observed variables; it does not independently define a new CSAPI endpoint.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rEADME, quantitative patterns and architecture-decision records identified and selectively reviewed. Working community examples may evolve; they are not inherently normative or required MERLIN schemas.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Foundational semantic clarification or observed-variable terminology. A source ontology class or relation is not automatically an equivalent SensorML JSON member; an exact optional crosswalk would require a published or newly authored mapping.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 foundational review intentionally made no new exact DISR or NATO-adoption claim; publication approval and registry standing are separate questions. No independent current NATO adoption or ratification assertion for this exact artifact is added by this documentary reconciliation. Inspect the artifact-specific copying, redistribution and implementation terms before publishing derived machine-readable definitions. Carry forward only the concrete distinctions supported at this inspection depth; resolve source-gated OMS requirements and any I-ADOPT/SSN draft adoption separately.</w:t>
      </w:r>
    </w:p>
    <w:p>
      <w:pPr>
        <w:pStyle w:val="Heading2"/>
        <w:keepNext/>
        <w:widowControl/>
      </w:pPr>
      <w:r>
        <w:t>S104  |  QUDT Catalog 3.5.2</w:t>
      </w:r>
    </w:p>
    <w:p>
      <w:pPr>
        <w:pStyle w:val="Reference"/>
        <w:keepNext/>
        <w:widowControl/>
      </w:pPr>
      <w:r>
        <w:t>QUDT Project. 2026. “QUDT Catalog: Quantities, Units, Dimensions and Data Types Ontologies.” Version 3.5.2 context, September 22.</w:t>
      </w:r>
    </w:p>
    <w:p>
      <w:pPr>
        <w:pStyle w:val="Metadata"/>
        <w:keepNext/>
        <w:widowControl/>
      </w:pPr>
      <w:r>
        <w:t>INSPECTION  Current official catalog plus selected quantity-kind term inspected  •  Published source reviewed selectively; exact scope stated  •  added 14 October 2026</w:t>
      </w:r>
    </w:p>
    <w:p>
      <w:pPr>
        <w:pStyle w:val="SupplementNote"/>
        <w:keepNext/>
        <w:widowControl/>
      </w:pPr>
      <w:r>
        <w:t>PRIMARY LOCATOR  https://www.qudt.org/catalog/qudt-catalog.html</w:t>
      </w:r>
    </w:p>
    <w:p>
      <w:pPr>
        <w:pStyle w:val="Heading3"/>
        <w:keepNext/>
        <w:widowControl/>
      </w:pPr>
      <w:r>
        <w:t>Purpose, scope, and established concepts</w:t>
      </w:r>
    </w:p>
    <w:p>
      <w:pPr>
        <w:widowControl/>
      </w:pPr>
      <w:r>
        <w:t>The research considered this source within the Quantity and unit vocabularies strand for its substantive contribution to the domain. Quantity kind definitions and unit identifiers add reusable vocabulary beyond a textual SWE label. The cited edition or artifact, rather than the broader family name, sets the boundary for comparing the source with MERLIN.</w:t>
      </w:r>
    </w:p>
    <w:p>
      <w:pPr>
        <w:pStyle w:val="Heading3"/>
        <w:keepNext/>
        <w:widowControl/>
      </w:pPr>
      <w:r>
        <w:t>Relationship to the proposed OGC profile</w:t>
      </w:r>
    </w:p>
    <w:p>
      <w:pPr>
        <w:widowControl/>
      </w:pPr>
      <w:r>
        <w:t>General meanings like Voltage may be referenced while the profile owns qualified battery-terminal or measurement-point semantics. A quantity-kind term or unit code cannot alone determine the measured object, reference point, operating condition, or method.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current official catalog plus selected quantity-kind term inspected. QUDT vocabulary reuse does not require a full QUDT reasoner or prove that equivalent-looking definitions match.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General meanings like Voltage may be referenced while the profile owns qualified battery-terminal or measurement-point semantics.. Preserve SWE Common’s native value structure and state exactly whether additional vocabulary content is referenced, copied, or transformed.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QUDT reuse is subject to its stated CC BY terms, while any external vocabulary artifacts should be attributed and versioned. Preserve this source as examined even if not selected; reopen only if a concrete profile requirement or provider mapping could change its disposition.</w:t>
      </w:r>
    </w:p>
    <w:p>
      <w:pPr>
        <w:pStyle w:val="Heading2"/>
        <w:keepNext/>
        <w:widowControl/>
      </w:pPr>
      <w:r>
        <w:t>S105  |  SWEET ontology repository</w:t>
      </w:r>
    </w:p>
    <w:p>
      <w:pPr>
        <w:pStyle w:val="Reference"/>
        <w:keepNext/>
        <w:widowControl/>
      </w:pPr>
      <w:r>
        <w:t>Earth Science Information Partners. n.d. “Semantic Web for Earth and Environmental Terminology (SWEET) Ontologies.” Public repository inspected October 14, 2026.</w:t>
      </w:r>
    </w:p>
    <w:p>
      <w:pPr>
        <w:pStyle w:val="Metadata"/>
        <w:keepNext/>
        <w:widowControl/>
      </w:pPr>
      <w:r>
        <w:t>INSPECTION  Official public ontology repository and selected module hierarchy inspected  •  Published source reviewed selectively; exact scope stated  •  added 14 October 2026</w:t>
      </w:r>
    </w:p>
    <w:p>
      <w:pPr>
        <w:pStyle w:val="SupplementNote"/>
        <w:keepNext/>
        <w:widowControl/>
      </w:pPr>
      <w:r>
        <w:t>PRIMARY LOCATOR  https://github.com/ESIPFed/sweet</w:t>
      </w:r>
    </w:p>
    <w:p>
      <w:pPr>
        <w:pStyle w:val="Heading3"/>
        <w:keepNext/>
        <w:widowControl/>
      </w:pPr>
      <w:r>
        <w:t>Purpose, scope, and established concepts</w:t>
      </w:r>
    </w:p>
    <w:p>
      <w:pPr>
        <w:widowControl/>
      </w:pPr>
      <w:r>
        <w:t>The research considered this source within the Environmental domain term vocabularies strand for its substantive contribution to the domain. Modular earth, meteorological, ocean, seismic and instrument vocabularies provide more precise domain terms. The cited edition or artifact, rather than the broader family name, sets the boundary for comparing the source with MERLIN.</w:t>
      </w:r>
    </w:p>
    <w:p>
      <w:pPr>
        <w:pStyle w:val="Heading3"/>
        <w:keepNext/>
        <w:widowControl/>
      </w:pPr>
      <w:r>
        <w:t>Relationship to the proposed OGC profile</w:t>
      </w:r>
    </w:p>
    <w:p>
      <w:pPr>
        <w:widowControl/>
      </w:pPr>
      <w:r>
        <w:t>Candidate selective vocabulary support for future environmental or geophysical sensing specializations. Scientific/environmental classification is a candidate lower-layer vocabulary, not a substitute for sensor identity, capability, or deployment representations.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official public ontology repository and selected module hierarchy inspected. Repository master is mutable and imports can be extensive; do not indiscriminately copy all modules into MERLIN.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Optional domain term vocabulary, not a general profile layer. Selecting a term IRI is content reuse; implementing complete ontology entailments or constraints would be a separate scope and dependency decision.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Use the source-reported CC0 terms of the inspected module where applicable, but pin commits and inspect imported dependencies before redistribution. Only adopt a pinned domain term when a named sensing family requires it and no existing approved vocabulary already supplies the same meaning.</w:t>
      </w:r>
    </w:p>
    <w:p>
      <w:pPr>
        <w:pStyle w:val="Heading2"/>
        <w:keepNext/>
        <w:widowControl/>
      </w:pPr>
      <w:r>
        <w:t>S106  |  SWEET material instrument ontology module</w:t>
      </w:r>
    </w:p>
    <w:p>
      <w:pPr>
        <w:pStyle w:val="Reference"/>
        <w:keepNext/>
        <w:widowControl/>
      </w:pPr>
      <w:r>
        <w:t>Earth Science Information Partners. 2026. “SWEET Material Instrument Ontology.” matrInstrument.ttl, module versionInfo 3.6.0.</w:t>
      </w:r>
    </w:p>
    <w:p>
      <w:pPr>
        <w:pStyle w:val="Metadata"/>
        <w:keepNext/>
        <w:widowControl/>
      </w:pPr>
      <w:r>
        <w:t>INSPECTION  Particular Turtle module inspected from ESIP repository, not all inter-module imports or axioms  •  Published source reviewed selectively; exact scope stated  •  added 14 October 2026</w:t>
      </w:r>
    </w:p>
    <w:p>
      <w:pPr>
        <w:pStyle w:val="SupplementNote"/>
        <w:keepNext/>
        <w:widowControl/>
      </w:pPr>
      <w:r>
        <w:t>PRIMARY LOCATOR  https://github.com/ESIPFed/sweet/blob/master/src/matrInstrument.ttl</w:t>
      </w:r>
    </w:p>
    <w:p>
      <w:pPr>
        <w:pStyle w:val="Heading3"/>
        <w:keepNext/>
        <w:widowControl/>
      </w:pPr>
      <w:r>
        <w:t>Purpose, scope, and established concepts</w:t>
      </w:r>
    </w:p>
    <w:p>
      <w:pPr>
        <w:widowControl/>
      </w:pPr>
      <w:r>
        <w:t>The research considered this source within the Environmental domain term vocabularies strand for its substantive contribution to the domain. Contains environmental/instrument vocabulary with potential applicability to scientific sensing descriptions. The cited edition or artifact, rather than the broader family name, sets the boundary for comparing the source with MERLIN.</w:t>
      </w:r>
    </w:p>
    <w:p>
      <w:pPr>
        <w:pStyle w:val="Heading3"/>
        <w:keepNext/>
        <w:widowControl/>
      </w:pPr>
      <w:r>
        <w:t>Relationship to the proposed OGC profile</w:t>
      </w:r>
    </w:p>
    <w:p>
      <w:pPr>
        <w:widowControl/>
      </w:pPr>
      <w:r>
        <w:t>Useful optional controlled terms for specific earth-science devices, not whole-system operational model. Scientific/environmental classification is a candidate lower-layer vocabulary, not a substitute for sensor identity, capability, or deployment representations.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particular Turtle module inspected from ESIP repository, not all inter-module imports or axioms. Pin adopted term IRIs and source revision before making them a dependency.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Optional domain term vocabulary, not a general profile layer. Selecting a term IRI is content reuse; implementing complete ontology entailments or constraints would be a separate scope and dependency decision.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Use the source-reported CC0 terms of the inspected module where applicable, but pin commits and inspect imported dependencies before redistribution. Only adopt a pinned domain term when a named sensing family requires it and no existing approved vocabulary already supplies the same meaning.</w:t>
      </w:r>
    </w:p>
    <w:p>
      <w:pPr>
        <w:pStyle w:val="Heading2"/>
        <w:keepNext/>
        <w:widowControl/>
      </w:pPr>
      <w:r>
        <w:t>S107  |  I-ADOPT OMS extension roadmap</w:t>
      </w:r>
    </w:p>
    <w:p>
      <w:pPr>
        <w:pStyle w:val="Reference"/>
        <w:keepNext/>
        <w:widowControl/>
      </w:pPr>
      <w:r>
        <w:t>I-ADOPT Community. 2026. “I-ADOPT Interoperability Framework Initiative: Roadmap and OMS ObservedProperty Extension Work.” Project update reported October 13.</w:t>
      </w:r>
    </w:p>
    <w:p>
      <w:pPr>
        <w:pStyle w:val="Metadata"/>
        <w:keepNext/>
        <w:widowControl/>
      </w:pPr>
      <w:r>
        <w:t>INSPECTION  URL attempted in foundational research but content inaccessible; secondary project report only  •  Access-limited, secondary/preview, or source-gated  •  added 14 October 2026</w:t>
      </w:r>
    </w:p>
    <w:p>
      <w:pPr>
        <w:pStyle w:val="SupplementNote"/>
        <w:keepNext/>
        <w:widowControl/>
      </w:pPr>
      <w:r>
        <w:t>PRIMARY LOCATOR  https://i-adopt.github.io/overview.html</w:t>
      </w:r>
    </w:p>
    <w:p>
      <w:pPr>
        <w:pStyle w:val="Heading3"/>
        <w:keepNext/>
        <w:widowControl/>
      </w:pPr>
      <w:r>
        <w:t>Purpose, scope, and established concepts</w:t>
      </w:r>
    </w:p>
    <w:p>
      <w:pPr>
        <w:widowControl/>
      </w:pPr>
      <w:r>
        <w:t>The research considered this source within the Foundational observation and semantic models strand for its substantive contribution to the domain. Proposed OMS/I-ADOPT linkage may eventually standardize a richer observedProperty description. The cited edition or artifact, rather than the broader family name, sets the boundary for comparing the source with MERLIN.</w:t>
      </w:r>
    </w:p>
    <w:p>
      <w:pPr>
        <w:pStyle w:val="Heading3"/>
        <w:keepNext/>
        <w:widowControl/>
      </w:pPr>
      <w:r>
        <w:t>Relationship to the proposed OGC profile</w:t>
      </w:r>
    </w:p>
    <w:p>
      <w:pPr>
        <w:widowControl/>
      </w:pPr>
      <w:r>
        <w:t>Retain as a research lead if OMS profiling later requires a new observed-property mechanism. This evidence concerns the meaning of observations, observing systems, their subjects, or observed variables; it does not independently define a new CSAPI endpoint.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uRL attempted in foundational research but content inaccessible; secondary project report only. No published approved extension or directly inspected normative text has been established.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Foundational semantic clarification or observed-variable terminology. A source ontology class or relation is not automatically an equivalent SensorML JSON member; an exact optional crosswalk would require a published or newly authored mapping.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 foundational review intentionally made no new exact DISR or NATO-adoption claim; publication approval and registry standing are separate questions. No independent current NATO adoption or ratification assertion for this exact artifact is added by this documentary reconciliation. Inspect the artifact-specific copying, redistribution and implementation terms before publishing derived machine-readable definitions. Carry forward only the concrete distinctions supported at this inspection depth; resolve source-gated OMS requirements and any I-ADOPT/SSN draft adoption separately.</w:t>
      </w:r>
    </w:p>
    <w:p>
      <w:pPr>
        <w:pStyle w:val="Heading2"/>
        <w:keepNext/>
        <w:widowControl/>
      </w:pPr>
      <w:r>
        <w:t>S108  |  I-ADOPT patterns playground</w:t>
      </w:r>
    </w:p>
    <w:p>
      <w:pPr>
        <w:pStyle w:val="Reference"/>
        <w:keepNext/>
        <w:widowControl/>
      </w:pPr>
      <w:r>
        <w:t>Magagna, Barbara. 2026. “I-ADOPT Patterns Playground: Variable Design Patterns, Mapping Rules and Decision Trees.” GitHub working repository.</w:t>
      </w:r>
    </w:p>
    <w:p>
      <w:pPr>
        <w:pStyle w:val="Metadata"/>
        <w:keepNext/>
        <w:widowControl/>
      </w:pPr>
      <w:r>
        <w:t>INSPECTION  Repository README and directory organization verified as current community experiment  •  Published source reviewed selectively; exact scope stated  •  added 14 October 2026</w:t>
      </w:r>
    </w:p>
    <w:p>
      <w:pPr>
        <w:pStyle w:val="SupplementNote"/>
        <w:keepNext/>
        <w:widowControl/>
      </w:pPr>
      <w:r>
        <w:t>PRIMARY LOCATOR  https://github.com/mabablue/I-ADOPT-patterns-playground</w:t>
      </w:r>
    </w:p>
    <w:p>
      <w:pPr>
        <w:pStyle w:val="Heading3"/>
        <w:keepNext/>
        <w:widowControl/>
      </w:pPr>
      <w:r>
        <w:t>Purpose, scope, and established concepts</w:t>
      </w:r>
    </w:p>
    <w:p>
      <w:pPr>
        <w:widowControl/>
      </w:pPr>
      <w:r>
        <w:t>The research considered this source within the Foundational observation and semantic models strand for its substantive contribution to the domain. Provides mapping rules, decision trees and worked patterns for consistent compositional variable descriptions. The cited edition or artifact, rather than the broader family name, sets the boundary for comparing the source with MERLIN.</w:t>
      </w:r>
    </w:p>
    <w:p>
      <w:pPr>
        <w:pStyle w:val="Heading3"/>
        <w:keepNext/>
        <w:widowControl/>
      </w:pPr>
      <w:r>
        <w:t>Relationship to the proposed OGC profile</w:t>
      </w:r>
    </w:p>
    <w:p>
      <w:pPr>
        <w:widowControl/>
      </w:pPr>
      <w:r>
        <w:t>Potential implementation-practice resource when profile term catalogue needs operator-readable variable definitions. This evidence concerns the meaning of observations, observing systems, their subjects, or observed variables; it does not independently define a new CSAPI endpoint.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repository README and directory organization verified as current community experiment. A contributor's working repository is not an approved RDA recommendation or a standardized CSAPI mapping.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Foundational semantic clarification or observed-variable terminology. A source ontology class or relation is not automatically an equivalent SensorML JSON member; an exact optional crosswalk would require a published or newly authored mapping.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The foundational review intentionally made no new exact DISR or NATO-adoption claim; publication approval and registry standing are separate questions. No independent current NATO adoption or ratification assertion for this exact artifact is added by this documentary reconciliation. Inspect the artifact-specific copying, redistribution and implementation terms before publishing derived machine-readable definitions. Carry forward only the concrete distinctions supported at this inspection depth; resolve source-gated OMS requirements and any I-ADOPT/SSN draft adoption separately.</w:t>
      </w:r>
    </w:p>
    <w:p>
      <w:pPr>
        <w:pStyle w:val="Heading2"/>
        <w:keepNext/>
        <w:widowControl/>
      </w:pPr>
      <w:r>
        <w:t>S109  |  QUDT quantity kind Concentration</w:t>
      </w:r>
    </w:p>
    <w:p>
      <w:pPr>
        <w:pStyle w:val="Reference"/>
        <w:keepNext/>
        <w:widowControl/>
      </w:pPr>
      <w:r>
        <w:t>QUDT Project. 2026. “Concentration.” QUDT quantity-kind record; record isDefinedBy 3.5.1, generated August 29, 2026.</w:t>
      </w:r>
    </w:p>
    <w:p>
      <w:pPr>
        <w:pStyle w:val="Metadata"/>
        <w:keepNext/>
        <w:widowControl/>
      </w:pPr>
      <w:r>
        <w:t>INSPECTION  Official term page directly inspected in foundational review; term record edition not silently equated with current v3.5.2 catalog  •  Published source reviewed selectively; exact scope stated  •  added 14 October 2026</w:t>
      </w:r>
    </w:p>
    <w:p>
      <w:pPr>
        <w:pStyle w:val="SupplementNote"/>
        <w:keepNext/>
        <w:widowControl/>
      </w:pPr>
      <w:r>
        <w:t>PRIMARY LOCATOR  http://qudt.org/vocab/quantitykind/Concentration</w:t>
      </w:r>
    </w:p>
    <w:p>
      <w:pPr>
        <w:pStyle w:val="Heading3"/>
        <w:keepNext/>
        <w:widowControl/>
      </w:pPr>
      <w:r>
        <w:t>Purpose, scope, and established concepts</w:t>
      </w:r>
    </w:p>
    <w:p>
      <w:pPr>
        <w:widowControl/>
      </w:pPr>
      <w:r>
        <w:t>The research considered this source within the Quantity and unit vocabularies strand for its substantive contribution to the domain. General concentration includes mass, amount-of-substance, number or volume subtypes without itself naming the measured substance or sample matrix. The cited edition or artifact, rather than the broader family name, sets the boundary for comparing the source with MERLIN.</w:t>
      </w:r>
    </w:p>
    <w:p>
      <w:pPr>
        <w:pStyle w:val="Heading3"/>
        <w:keepNext/>
        <w:widowControl/>
      </w:pPr>
      <w:r>
        <w:t>Relationship to the proposed OGC profile</w:t>
      </w:r>
    </w:p>
    <w:p>
      <w:pPr>
        <w:widowControl/>
      </w:pPr>
      <w:r>
        <w:t>Valuable negative and qualified-definition case for I-ADOPT composition and specific observedProperty semantics. A quantity-kind term or unit code cannot alone determine the measured object, reference point, operating condition, or method. The source therefore informs a selected content or comparison decision, not the replacement of CSAPI, SensorML or SWE Common by implication.</w:t>
      </w:r>
    </w:p>
    <w:p>
      <w:pPr>
        <w:pStyle w:val="Heading3"/>
        <w:keepNext/>
        <w:widowControl/>
      </w:pPr>
      <w:r>
        <w:t>Evidence actually examined and remaining limits</w:t>
      </w:r>
    </w:p>
    <w:p>
      <w:pPr>
        <w:widowControl/>
      </w:pPr>
      <w:r>
        <w:t>The documented source inspection covered official term page directly inspected in foundational review; term record edition not silently equated with current v3.5.2 catalog. Do not use the broad term to assert analyte identity, measurement medium, concentration basis or sampling situation. These limits are material: stronger edition-specific requirements or equivalences must be demonstrated from the applicable primary clauses or machine-readable artifacts before adoption.</w:t>
      </w:r>
    </w:p>
    <w:p>
      <w:pPr>
        <w:pStyle w:val="Heading3"/>
        <w:keepNext/>
        <w:widowControl/>
      </w:pPr>
      <w:r>
        <w:t>Intended use, specialized content, and implementation boundary</w:t>
      </w:r>
    </w:p>
    <w:p>
      <w:pPr>
        <w:widowControl/>
      </w:pPr>
      <w:r>
        <w:t>The recommended reuse category is Valuable negative and qualified-definition case for I-ADOPT composition and specific observedProperty semantics.. Preserve SWE Common’s native value structure and state exactly whether additional vocabulary content is referenced, copied, or transformed. An actual implementation would need an identified producing/consuming resource, declared relevant meaning and dependencies, and the assessments appropriate to whichever OGC or native standard is claimed; no such interoperability result is established by this bibliography.</w:t>
      </w:r>
    </w:p>
    <w:p>
      <w:pPr>
        <w:pStyle w:val="Heading3"/>
        <w:keepNext/>
        <w:widowControl/>
      </w:pPr>
      <w:r>
        <w:t>Openness, adoption standing, and recommended action</w:t>
      </w:r>
    </w:p>
    <w:p>
      <w:pPr>
        <w:widowControl/>
      </w:pPr>
      <w:r>
        <w:t>No new exact-edition DISR entry was established here beyond the prior register and the documented sibling-study checks. No independent current NATO adoption or ratification assertion for this exact artifact is added by this documentary reconciliation. QUDT reuse is subject to its stated CC BY terms, while any external vocabulary artifacts should be attributed and versioned. Preserve this source as examined even if not selected; reopen only if a concrete profile requirement or provider mapping could change its disposition.</w:t>
      </w:r>
    </w:p>
    <w:p>
      <w:pPr>
        <w:pStyle w:val="Heading1"/>
        <w:keepNext/>
        <w:pageBreakBefore/>
        <w:widowControl/>
      </w:pPr>
      <w:r>
        <w:t>3.1 Additional reconciled sources — S110–S124</w:t>
      </w:r>
    </w:p>
    <w:p>
      <w:pPr>
        <w:widowControl/>
      </w:pPr>
      <w:r>
        <w:t>Fifteen source identities are added below. They are distinct by publication, edition, artifact collection or dated content, not merely by URL. S118–S120 intentionally remain metadata or contextual evidence; implementation documents do not imply that their software was executed. Sources S97 and S99 were already present and are updated in place.</w:t>
      </w:r>
    </w:p>
    <w:p>
      <w:pPr>
        <w:pStyle w:val="Heading2"/>
        <w:keepNext/>
        <w:widowControl/>
      </w:pPr>
      <w:r>
        <w:t>S110  |  SAPIENT Network of Autonomous Sensors and Effectors—Interface Control Document—Specification</w:t>
      </w:r>
    </w:p>
    <w:p>
      <w:pPr>
        <w:pStyle w:val="Reference"/>
        <w:keepNext/>
        <w:widowControl/>
      </w:pPr>
      <w:r>
        <w:t>British Standards Institution. 2024. SAPIENT Network of Autonomous Sensors and Effectors—Interface Control Document—Specification. BSI Flex 335 v2.0:2024-03. London: BSI Standards Limited.</w:t>
      </w:r>
    </w:p>
    <w:p>
      <w:pPr>
        <w:pStyle w:val="Metadata"/>
        <w:keepNext/>
        <w:widowControl/>
      </w:pPr>
      <w:r>
        <w:t>INSPECTION  Full primary specification reviewed in completed SAPIENT study; this consolidation inherits that inspected evidence.  •  §§0–7; especially §§4.10–4.11, 5.5, 6.2–6.5; Tables 13–15, 27, 32, 60, 69, 77, 86–87.  •  reconciled 17 October 2026</w:t>
      </w:r>
    </w:p>
    <w:p>
      <w:pPr>
        <w:pStyle w:val="SupplementNote"/>
        <w:keepNext/>
        <w:widowControl/>
      </w:pPr>
      <w:r>
        <w:t>PRIMARY LOCATOR  https://www.bsigroup.com/siteassets/pdf/en/insights-and-media/insights/brochures/bsi-flex-335.pdf</w:t>
      </w:r>
    </w:p>
    <w:p>
      <w:pPr>
        <w:pStyle w:val="Heading3"/>
        <w:keepNext/>
        <w:widowControl/>
      </w:pPr>
      <w:r>
        <w:t>Purpose, scope, and established concepts</w:t>
      </w:r>
    </w:p>
    <w:p>
      <w:pPr>
        <w:widowControl/>
      </w:pPr>
      <w:r>
        <w:t>The specification addresses autonomous sensor, effector and fusion participants exchanging registration, status, detection, task and related messages. Registration describes what a participant supports, whereas reported state and task acknowledgements concern later operation. Those distinctions help MERLIN integrate available source information without treating a sender identifier as physical equipment identity (BSI 2024, §§4–6).</w:t>
      </w:r>
    </w:p>
    <w:p>
      <w:pPr>
        <w:pStyle w:val="Heading3"/>
        <w:keepNext/>
        <w:widowControl/>
      </w:pPr>
      <w:r>
        <w:t>Relationship to the OGC profile</w:t>
      </w:r>
    </w:p>
    <w:p>
      <w:pPr>
        <w:widowControl/>
      </w:pPr>
      <w:r>
        <w:t>The completed study supplied clause-based comparisons against all twenty MERLIN relationships. Its proposed identity, mode and command distinctions informed accepted profile increments; its fusion and report-identity findings informed preservation guidance rather than a universal lineage model. The study also rejects the SAPIENT power-status subset as a replacement for the broader energy-arrangement model (MERLIN SAPIENT Assessment 2026, §§5–11).</w:t>
      </w:r>
    </w:p>
    <w:p>
      <w:pPr>
        <w:pStyle w:val="Heading3"/>
        <w:keepNext/>
        <w:widowControl/>
      </w:pPr>
      <w:r>
        <w:t>Evidence actually examined and remaining limits</w:t>
      </w:r>
    </w:p>
    <w:p>
      <w:pPr>
        <w:widowControl/>
      </w:pPr>
      <w:r>
        <w:t>The 116-page publisher PDF was available to the source study, which compared selected requirements with pinned Dstl protobuf files. The study documents printed-table and schema discrepancies; a preserved field name alone does not resolve those differences. This consolidation indexes that completed evidence and does not claim to have rerun a native protocol implementation.</w:t>
      </w:r>
    </w:p>
    <w:p>
      <w:pPr>
        <w:pStyle w:val="Heading3"/>
        <w:keepNext/>
        <w:widowControl/>
      </w:pPr>
      <w:r>
        <w:t>Implementation boundary and assessment</w:t>
      </w:r>
    </w:p>
    <w:p>
      <w:pPr>
        <w:widowControl/>
      </w:pPr>
      <w:r>
        <w:t>MERLIN uses selected meanings through CSAPI, SensorML and SWE Common plus explicitly authored mapping rules. Native SAPIENT conformance would instead require the selected participant role, applicable §§4–7 message and behavior requirements, and edition-consistent protobuf interpretation. The source study identifies a v2 test harness, but no execution or certification result was produced (BSI 2024; Dstl n.d.-b).</w:t>
      </w:r>
    </w:p>
    <w:p>
      <w:pPr>
        <w:pStyle w:val="Heading3"/>
        <w:keepNext/>
        <w:widowControl/>
      </w:pPr>
      <w:r>
        <w:t>Adoption standing and recommended action</w:t>
      </w:r>
    </w:p>
    <w:p>
      <w:pPr>
        <w:widowControl/>
      </w:pPr>
      <w:r>
        <w:t>The complete supplied DISR baseline contains no SAPIENT or BSI Flex 335 name match in the completed targeted screen. That recorded absence does not erase its value as a donor, and research inclusion is not a registry action. Publisher rights and the unexamined v3 boundary remain visible; the new source record supplements rather than replaces historical guidance source S51.</w:t>
      </w:r>
    </w:p>
    <w:p>
      <w:pPr>
        <w:pStyle w:val="Heading2"/>
        <w:keepNext/>
        <w:widowControl/>
      </w:pPr>
      <w:r>
        <w:t>S111  |  SAPIENT-Proto-Files: bsi_flex_335_v2_0</w:t>
      </w:r>
    </w:p>
    <w:p>
      <w:pPr>
        <w:pStyle w:val="Reference"/>
        <w:keepNext/>
        <w:widowControl/>
      </w:pPr>
      <w:r>
        <w:t>Defence Science and Technology Laboratory. n.d.-a. SAPIENT-Proto-Files, bsi_flex_335_v2_0. Commit 244a741c13bcee628f84944aef91e4a66854bd7d. Inspected October 15, 2026.</w:t>
      </w:r>
    </w:p>
    <w:p>
      <w:pPr>
        <w:pStyle w:val="Metadata"/>
        <w:keepNext/>
        <w:widowControl/>
      </w:pPr>
      <w:r>
        <w:t>INSPECTION  Primary implementation schema inspected in completed study; commit and blob register retained.  •  16 .proto artifacts; registration, detection_report, status_report, task, task_ack, associated_detection, follow and proto_options.  •  reconciled 17 October 2026</w:t>
      </w:r>
    </w:p>
    <w:p>
      <w:pPr>
        <w:pStyle w:val="SupplementNote"/>
        <w:keepNext/>
        <w:widowControl/>
      </w:pPr>
      <w:r>
        <w:t>PRIMARY LOCATOR  https://github.com/dstl/SAPIENT-Proto-Files/tree/244a741c13bcee628f84944aef91e4a66854bd7d/bsi_flex_335_v2_0</w:t>
      </w:r>
    </w:p>
    <w:p>
      <w:pPr>
        <w:pStyle w:val="Heading3"/>
        <w:keepNext/>
        <w:widowControl/>
      </w:pPr>
      <w:r>
        <w:t>Purpose, scope, and established concepts</w:t>
      </w:r>
    </w:p>
    <w:p>
      <w:pPr>
        <w:widowControl/>
      </w:pPr>
      <w:r>
        <w:t>This version-pinned source tree gives machine-readable declarations for SAPIENT v2 messages. It complements the prose specification by exposing field numbers, types, repeated elements and custom annotations. Its immediate research value is specificity, not proof that every deployed participant uses the same build (Dstl n.d.-a).</w:t>
      </w:r>
    </w:p>
    <w:p>
      <w:pPr>
        <w:pStyle w:val="Heading3"/>
        <w:keepNext/>
        <w:widowControl/>
      </w:pPr>
      <w:r>
        <w:t>Relationship to the OGC profile</w:t>
      </w:r>
    </w:p>
    <w:p>
      <w:pPr>
        <w:widowControl/>
      </w:pPr>
      <w:r>
        <w:t>The SAPIENT assessment used the tree to check registration, tasking, detection and state representations. It found consequential differences from selected printed BSI tables, including field tags and requiredness annotations. MERLIN should preserve that evidence instead of silently choosing whichever artifact is more convenient (MERLIN SAPIENT Assessment 2026, §9).</w:t>
      </w:r>
    </w:p>
    <w:p>
      <w:pPr>
        <w:pStyle w:val="Heading3"/>
        <w:keepNext/>
        <w:widowControl/>
      </w:pPr>
      <w:r>
        <w:t>Evidence actually examined and remaining limits</w:t>
      </w:r>
    </w:p>
    <w:p>
      <w:pPr>
        <w:widowControl/>
      </w:pPr>
      <w:r>
        <w:t>The study records the repository commit and a per-blob locator register for the examined subset. Those pins are reproduced as source metadata in this consolidation; the repository is not recompiled or executed. A source file remains implementation-linked evidence rather than an independent certification report.</w:t>
      </w:r>
    </w:p>
    <w:p>
      <w:pPr>
        <w:pStyle w:val="Heading3"/>
        <w:keepNext/>
        <w:widowControl/>
      </w:pPr>
      <w:r>
        <w:t>Implementation boundary and assessment</w:t>
      </w:r>
    </w:p>
    <w:p>
      <w:pPr>
        <w:widowControl/>
      </w:pPr>
      <w:r>
        <w:t>An OGC adapter may translate the documented source fields into the selected representations while retaining native identifiers and unmapped content. A native protobuf producer or parser would also need exact message framing, field semantics and role behavior from BSI v2. Wire-level conformance is therefore a separate implementation claim, with the documented variances still requiring resolution.</w:t>
      </w:r>
    </w:p>
    <w:p>
      <w:pPr>
        <w:pStyle w:val="Heading3"/>
        <w:keepNext/>
        <w:widowControl/>
      </w:pPr>
      <w:r>
        <w:t>Adoption standing and recommended action</w:t>
      </w:r>
    </w:p>
    <w:p>
      <w:pPr>
        <w:widowControl/>
      </w:pPr>
      <w:r>
        <w:t>The source study reports public repository licensing while retaining per-artifact exceptions. This bibliography does not redistribute the source tree or grant patent or native-implementation clearance. Its inclusion supplies an inspectable companion to S110, not a new mandatory MERLIN dependency.</w:t>
      </w:r>
    </w:p>
    <w:p>
      <w:pPr>
        <w:pStyle w:val="Heading2"/>
        <w:keepNext/>
        <w:widowControl/>
      </w:pPr>
      <w:r>
        <w:t>S112  |  BSI-Flex-335-v2-Test-Harness</w:t>
      </w:r>
    </w:p>
    <w:p>
      <w:pPr>
        <w:pStyle w:val="Reference"/>
        <w:keepNext/>
        <w:widowControl/>
      </w:pPr>
      <w:r>
        <w:t>Defence Science and Technology Laboratory. n.d.-b. BSI-Flex-335-v2-Test-Harness. Commit 6a2999d70d761d224914ddd8fa3f663af5005be0. Inspected October 15, 2026.</w:t>
      </w:r>
    </w:p>
    <w:p>
      <w:pPr>
        <w:pStyle w:val="Metadata"/>
        <w:keepNext/>
        <w:widowControl/>
      </w:pPr>
      <w:r>
        <w:t>INSPECTION  Developer documentation inspected; tool not run.  •  README: supported version, environment and known issues.  •  reconciled 17 October 2026</w:t>
      </w:r>
    </w:p>
    <w:p>
      <w:pPr>
        <w:pStyle w:val="SupplementNote"/>
        <w:keepNext/>
        <w:widowControl/>
      </w:pPr>
      <w:r>
        <w:t>PRIMARY LOCATOR  https://github.com/dstl/BSI-Flex-335-v2-Test-Harness/tree/6a2999d70d761d224914ddd8fa3f663af5005be0</w:t>
      </w:r>
    </w:p>
    <w:p>
      <w:pPr>
        <w:pStyle w:val="Heading3"/>
        <w:keepNext/>
        <w:widowControl/>
      </w:pPr>
      <w:r>
        <w:t>Purpose and evidence actually examined</w:t>
      </w:r>
    </w:p>
    <w:p>
      <w:pPr>
        <w:widowControl/>
      </w:pPr>
      <w:r>
        <w:t>The harness is an implementation aid for developers of SAPIENT v2 participants. Its documentation describes the supported version, prerequisites and known limitations. It is useful because a conformance discussion should identify practical assessment mechanisms rather than cite a standard name alone (Dstl n.d.-b).</w:t>
      </w:r>
    </w:p>
    <w:p>
      <w:pPr>
        <w:pStyle w:val="Heading3"/>
        <w:keepNext/>
        <w:widowControl/>
      </w:pPr>
      <w:r>
        <w:t>Relationship to the OGC profile</w:t>
      </w:r>
    </w:p>
    <w:p>
      <w:pPr>
        <w:widowControl/>
      </w:pPr>
      <w:r>
        <w:t>The completed SAPIENT study inspected documentation but did not execute the harness. That distinction prevents the existence of a test tool from becoming an invented passing test result. It also limits claims about compatibility with any particular deployed sensor or middleware installation.</w:t>
      </w:r>
    </w:p>
    <w:p>
      <w:pPr>
        <w:pStyle w:val="Heading3"/>
        <w:keepNext/>
        <w:widowControl/>
      </w:pPr>
      <w:r>
        <w:t>Implementation and evidence limits</w:t>
      </w:r>
    </w:p>
    <w:p>
      <w:pPr>
        <w:widowControl/>
      </w:pPr>
      <w:r>
        <w:t>For MERLIN, the harness concerns a possible source-side participant, not the CSAPI-facing profile or its authored relationships. Native SAPIENT behavior would require role-specific tests alongside resolution of the specification/schema variances. OGC resource and semantic checks would remain separate from those native checks.</w:t>
      </w:r>
    </w:p>
    <w:p>
      <w:pPr>
        <w:pStyle w:val="Heading3"/>
        <w:keepNext/>
        <w:widowControl/>
      </w:pPr>
      <w:r>
        <w:t>Adoption standing and recommended action</w:t>
      </w:r>
    </w:p>
    <w:p>
      <w:pPr>
        <w:widowControl/>
      </w:pPr>
      <w:r>
        <w:t>The source is not recommended as another runtime dependency of every integration. It should be retained as an evidence and future-assessment locator when a real v2 source warrants it. Repository licensing and supported-version restrictions remain those recorded by the source study, without a new software or certification commitment.</w:t>
      </w:r>
    </w:p>
    <w:p>
      <w:pPr>
        <w:pStyle w:val="Heading2"/>
        <w:keepNext/>
        <w:widowControl/>
      </w:pPr>
      <w:r>
        <w:t>S113  |  Apex-SAPIENT-Middleware</w:t>
      </w:r>
    </w:p>
    <w:p>
      <w:pPr>
        <w:pStyle w:val="Reference"/>
        <w:keepNext/>
        <w:widowControl/>
      </w:pPr>
      <w:r>
        <w:t>Defence Science and Technology Laboratory. n.d.-c. Apex-SAPIENT-Middleware. Commit 0c8591ae97f2dc336eff299845880d5c73ee75b7. Inspected October 15, 2026.</w:t>
      </w:r>
    </w:p>
    <w:p>
      <w:pPr>
        <w:pStyle w:val="Metadata"/>
        <w:keepNext/>
        <w:widowControl/>
      </w:pPr>
      <w:r>
        <w:t>INSPECTION  Implementation documentation and selected server source inspected; not run.  •  README; sapient_apex_api/server.py.  •  reconciled 17 October 2026</w:t>
      </w:r>
    </w:p>
    <w:p>
      <w:pPr>
        <w:pStyle w:val="SupplementNote"/>
        <w:keepNext/>
        <w:widowControl/>
      </w:pPr>
      <w:r>
        <w:t>PRIMARY LOCATOR  https://github.com/dstl/Apex-SAPIENT-Middleware/tree/0c8591ae97f2dc336eff299845880d5c73ee75b7</w:t>
      </w:r>
    </w:p>
    <w:p>
      <w:pPr>
        <w:pStyle w:val="Heading3"/>
        <w:keepNext/>
        <w:widowControl/>
      </w:pPr>
      <w:r>
        <w:t>Purpose and evidence actually examined</w:t>
      </w:r>
    </w:p>
    <w:p>
      <w:pPr>
        <w:widowControl/>
      </w:pPr>
      <w:r>
        <w:t>Apex supplies an implementation example of routing, persistence, validation and access around SAPIENT information. It demonstrates that middleware can mediate a source independently of the physical equipment producing information. That distinction supports MERLIN’s separate treatment of physical gateway access and representation provenance (Dstl n.d.-c; MERLIN SAPIENT Assessment 2026).</w:t>
      </w:r>
    </w:p>
    <w:p>
      <w:pPr>
        <w:pStyle w:val="Heading3"/>
        <w:keepNext/>
        <w:widowControl/>
      </w:pPr>
      <w:r>
        <w:t>Relationship to the OGC profile</w:t>
      </w:r>
    </w:p>
    <w:p>
      <w:pPr>
        <w:widowControl/>
      </w:pPr>
      <w:r>
        <w:t>The completed study inspected the README and selected API implementation source. It did not run Apex, inspect a live deployment or establish that the exposed REST interface was a BSI-defined external interface. The present record therefore identifies implementation evidence rather than an additional normative API.</w:t>
      </w:r>
    </w:p>
    <w:p>
      <w:pPr>
        <w:pStyle w:val="Heading3"/>
        <w:keepNext/>
        <w:widowControl/>
      </w:pPr>
      <w:r>
        <w:t>Implementation and evidence limits</w:t>
      </w:r>
    </w:p>
    <w:p>
      <w:pPr>
        <w:widowControl/>
      </w:pPr>
      <w:r>
        <w:t>Translating data through such middleware can use the optional MERLIN representation-source convention accepted in v0.3.3. The mapping must retain the source sender, physical subject and translating software as different roles when the source warrants that distinction. Naming Apex does not establish that any one-to-one physical identity or live adapter has been verified.</w:t>
      </w:r>
    </w:p>
    <w:p>
      <w:pPr>
        <w:pStyle w:val="Heading3"/>
        <w:keepNext/>
        <w:widowControl/>
      </w:pPr>
      <w:r>
        <w:t>Adoption standing and recommended action</w:t>
      </w:r>
    </w:p>
    <w:p>
      <w:pPr>
        <w:widowControl/>
      </w:pPr>
      <w:r>
        <w:t>Any future deployment would need its own version, configuration, permissions and operational checks. Native-source behavior and OGC-facing behavior require separate assessments. The current research does not select Apex as mandatory software, change its licensing, or claim a completed SAPIENT-to-CSAPI integration.</w:t>
      </w:r>
    </w:p>
    <w:p>
      <w:pPr>
        <w:pStyle w:val="Heading2"/>
        <w:keepNext/>
        <w:widowControl/>
      </w:pPr>
      <w:r>
        <w:t>S114  |  Technical Standard for SOSA Reference Architecture, Edition 1.1</w:t>
      </w:r>
    </w:p>
    <w:p>
      <w:pPr>
        <w:pStyle w:val="Reference"/>
        <w:keepNext/>
        <w:widowControl/>
      </w:pPr>
      <w:r>
        <w:t>The Open Group. 2023. Technical Standard for SOSA Reference Architecture, Edition 1.1. C239. June, with September erratum.</w:t>
      </w:r>
    </w:p>
    <w:p>
      <w:pPr>
        <w:pStyle w:val="Metadata"/>
        <w:keepNext/>
        <w:widowControl/>
      </w:pPr>
      <w:r>
        <w:t>INSPECTION  Full publisher PDF reviewed in completed SOSA study; inherited clause evidence.  •  403-page c239_5.pdf; §§1.2–1.3, 3.2, 6.2.1, 12.11; Appendix B.  •  reconciled 17 October 2026</w:t>
      </w:r>
    </w:p>
    <w:p>
      <w:pPr>
        <w:pStyle w:val="SupplementNote"/>
        <w:keepNext/>
        <w:widowControl/>
      </w:pPr>
      <w:r>
        <w:t>PRIMARY LOCATOR  https://publications.opengroup.org/c239</w:t>
      </w:r>
    </w:p>
    <w:p>
      <w:pPr>
        <w:pStyle w:val="Heading3"/>
        <w:keepNext/>
        <w:widowControl/>
      </w:pPr>
      <w:r>
        <w:t>Purpose, scope, and established concepts</w:t>
      </w:r>
    </w:p>
    <w:p>
      <w:pPr>
        <w:widowControl/>
      </w:pPr>
      <w:r>
        <w:t>C239 describes modular sensor architecture spanning software, hardware, electrical and mechanical concerns. Its identified module functions and interfaces provide useful source-specific equipment and management context. That scope is different from a universal enterprise profile for existing heterogeneous sensing systems (The Open Group 2023, §§1.2–1.3).</w:t>
      </w:r>
    </w:p>
    <w:p>
      <w:pPr>
        <w:pStyle w:val="Heading3"/>
        <w:keepNext/>
        <w:widowControl/>
      </w:pPr>
      <w:r>
        <w:t>Relationship to the OGC profile</w:t>
      </w:r>
    </w:p>
    <w:p>
      <w:pPr>
        <w:widowControl/>
      </w:pPr>
      <w:r>
        <w:t>The completed SOSA assessment inspected the 403-page source and its named companions. It found reusable distinctions between logical function and physical realization, housekeeping management and mission activity, and fault evidence and service action. It did not identify grounds for imposing the whole SOSA architecture on every MERLIN system (MERLIN SOSA Assessment 2026, §§4–8).</w:t>
      </w:r>
    </w:p>
    <w:p>
      <w:pPr>
        <w:pStyle w:val="Heading3"/>
        <w:keepNext/>
        <w:widowControl/>
      </w:pPr>
      <w:r>
        <w:t>Evidence actually examined and remaining limits</w:t>
      </w:r>
    </w:p>
    <w:p>
      <w:pPr>
        <w:widowControl/>
      </w:pPr>
      <w:r>
        <w:t>Appendix B establishes the authority of the separate DSDM and management API companions catalogued here as S115 and S116. Their older v1.0 filenames do not change C239’s Edition 1.1 identity. This consolidation preserves the source study’s exact artifact hashes and does not present a fresh full-normative audit.</w:t>
      </w:r>
    </w:p>
    <w:p>
      <w:pPr>
        <w:pStyle w:val="Heading3"/>
        <w:keepNext/>
        <w:widowControl/>
      </w:pPr>
      <w:r>
        <w:t>Implementation boundary and assessment</w:t>
      </w:r>
    </w:p>
    <w:p>
      <w:pPr>
        <w:widowControl/>
      </w:pPr>
      <w:r>
        <w:t>MERLIN’s intended use is selected semantic reuse and a conditional source-to-OGC mapping. Native SOSA conformance would require the actual applicable module, interface, role and adopted-edition requirements, including the referenced companions. The current conceptual crosswalk, static schema checks and fictional examples are not product certification.</w:t>
      </w:r>
    </w:p>
    <w:p>
      <w:pPr>
        <w:pStyle w:val="Heading3"/>
        <w:keepNext/>
        <w:widowControl/>
      </w:pPr>
      <w:r>
        <w:t>Adoption standing and recommended action</w:t>
      </w:r>
    </w:p>
    <w:p>
      <w:pPr>
        <w:widowControl/>
      </w:pPr>
      <w:r>
        <w:t>The complete supplied DISR export contains one SOSA entry marked Mandated and IC-Mandated without an edition number. That row is retained as edition-unspecified evidence, not reassigned to every C239 companion or the S251 snapshot. Publisher rights, normative-source identity and program-specific applicability remain separate from the decision to include SOSA in the research.</w:t>
      </w:r>
    </w:p>
    <w:p>
      <w:pPr>
        <w:pStyle w:val="Heading2"/>
        <w:keepNext/>
        <w:widowControl/>
      </w:pPr>
      <w:r>
        <w:t>S115  |  SOSA Domain-Specific Data Model, Edition 1.0, and IDL companion</w:t>
      </w:r>
    </w:p>
    <w:p>
      <w:pPr>
        <w:pStyle w:val="Reference"/>
        <w:keepNext/>
        <w:widowControl/>
      </w:pPr>
      <w:r>
        <w:t>The Open Group. 2022. Technical Standard for SOSA Reference Architecture, Edition 1.0: SOSA Domain-Specific Data Model. April. PDF and IDL companion named by C239 Appendix B.1.</w:t>
      </w:r>
    </w:p>
    <w:p>
      <w:pPr>
        <w:pStyle w:val="Metadata"/>
        <w:keepNext/>
        <w:widowControl/>
      </w:pPr>
      <w:r>
        <w:t>INSPECTION  152-page PDF and 227 IDL files reviewed in SOSA study; inherited evidence.  •  DSDM conceptual/logical/physical model; §§1.1.3.80–81 PowerBus/PowerPort; Appendix B.1 authority.  •  reconciled 17 October 2026</w:t>
      </w:r>
    </w:p>
    <w:p>
      <w:pPr>
        <w:pStyle w:val="SupplementNote"/>
        <w:keepNext/>
        <w:widowControl/>
      </w:pPr>
      <w:r>
        <w:t>PRIMARY LOCATOR  https://publications.opengroup.org/c239</w:t>
      </w:r>
    </w:p>
    <w:p>
      <w:pPr>
        <w:pStyle w:val="Heading3"/>
        <w:keepNext/>
        <w:widowControl/>
      </w:pPr>
      <w:r>
        <w:t>Purpose, scope, and established concepts</w:t>
      </w:r>
    </w:p>
    <w:p>
      <w:pPr>
        <w:widowControl/>
      </w:pPr>
      <w:r>
        <w:t>The DSDM presents conceptual, logical and physical model material with a machine-readable IDL companion. Its Edition 1.0 cover is retained because that is the actual artifact identified by the source study. C239 Appendix B.1 gives the companion its normative relationship to Edition 1.1 (The Open Group 2022; 2023, app. B.1).</w:t>
      </w:r>
    </w:p>
    <w:p>
      <w:pPr>
        <w:pStyle w:val="Heading3"/>
        <w:keepNext/>
        <w:widowControl/>
      </w:pPr>
      <w:r>
        <w:t>Relationship to the OGC profile</w:t>
      </w:r>
    </w:p>
    <w:p>
      <w:pPr>
        <w:widowControl/>
      </w:pPr>
      <w:r>
        <w:t>The assessment records a 152-page PDF and 227 IDL files, with hashes for the received artifacts. It examined source entities and relationships rather than assuming the model from an architecture diagram. Those counts establish inspected artifact scope, not cross-vendor interoperability or complete target coverage.</w:t>
      </w:r>
    </w:p>
    <w:p>
      <w:pPr>
        <w:pStyle w:val="Heading3"/>
        <w:keepNext/>
        <w:widowControl/>
      </w:pPr>
      <w:r>
        <w:t>Evidence actually examined and remaining limits</w:t>
      </w:r>
    </w:p>
    <w:p>
      <w:pPr>
        <w:widowControl/>
      </w:pPr>
      <w:r>
        <w:t>Its PowerBus and PowerPort concepts can inform a source-specific electrical interface mapping. They do not replace the broader source, store, metering, consumption and service arrangement already selected from IETF research. Likewise, model-specific message relationships must be interpreted at their actual functional or physical subject (MERLIN SOSA Assessment 2026).</w:t>
      </w:r>
    </w:p>
    <w:p>
      <w:pPr>
        <w:pStyle w:val="Heading3"/>
        <w:keepNext/>
        <w:widowControl/>
      </w:pPr>
      <w:r>
        <w:t>Implementation boundary and assessment</w:t>
      </w:r>
    </w:p>
    <w:p>
      <w:pPr>
        <w:widowControl/>
      </w:pPr>
      <w:r>
        <w:t>An OGC mapping should retain the native concept identity and explicitly document translations and omissions. A native SOSA message implementation would instead need the selected IDL structures, dependencies and applicable C239 requirements. No common MERLIN class is made normative by adding this bibliographic record.</w:t>
      </w:r>
    </w:p>
    <w:p>
      <w:pPr>
        <w:pStyle w:val="Heading3"/>
        <w:keepNext/>
        <w:widowControl/>
      </w:pPr>
      <w:r>
        <w:t>Adoption standing and recommended action</w:t>
      </w:r>
    </w:p>
    <w:p>
      <w:pPr>
        <w:widowControl/>
      </w:pPr>
      <w:r>
        <w:t>This record is separate from S114 because a separately titled data-model publication and its schema artifacts can be used or inspected at a different depth. It is not an additional DISR entry, and the edition-unspecified SOSA registry row is not evidence of separate adoption. The raw publisher model and IDL are not redistributed in this consolidation.</w:t>
      </w:r>
    </w:p>
    <w:p>
      <w:pPr>
        <w:pStyle w:val="Heading2"/>
        <w:keepNext/>
        <w:widowControl/>
      </w:pPr>
      <w:r>
        <w:t>S116  |  SOSA in-band management OpenAPI definitions</w:t>
      </w:r>
    </w:p>
    <w:p>
      <w:pPr>
        <w:pStyle w:val="Reference"/>
        <w:keepNext/>
        <w:widowControl/>
      </w:pPr>
      <w:r>
        <w:t>The Open Group. n.d. SOSA In-band Management OpenAPI Definitions. Six JSON documents named in C239 Appendix B.2–B.7, distributed as v1.0_json_files.zip. Inspected October 15, 2026.</w:t>
      </w:r>
    </w:p>
    <w:p>
      <w:pPr>
        <w:pStyle w:val="Metadata"/>
        <w:keepNext/>
        <w:widowControl/>
      </w:pPr>
      <w:r>
        <w:t>INSPECTION  Six JSON API documents parsed and compared by SOSA study; no endpoint executed.  •  Chassis Manager, Module, PIC, Security Services, Software RTE, System Manager; C239 Rule 6.2.1-2.  •  reconciled 17 October 2026</w:t>
      </w:r>
    </w:p>
    <w:p>
      <w:pPr>
        <w:pStyle w:val="SupplementNote"/>
        <w:keepNext/>
        <w:widowControl/>
      </w:pPr>
      <w:r>
        <w:t>PRIMARY LOCATOR  https://publications.opengroup.org/c239</w:t>
      </w:r>
    </w:p>
    <w:p>
      <w:pPr>
        <w:pStyle w:val="Heading3"/>
        <w:keepNext/>
        <w:widowControl/>
      </w:pPr>
      <w:r>
        <w:t>Purpose, scope, and established concepts</w:t>
      </w:r>
    </w:p>
    <w:p>
      <w:pPr>
        <w:widowControl/>
      </w:pPr>
      <w:r>
        <w:t>The six management API documents provide source-specific path and schema definitions for identified SOSA management roles. They are normative companions through C239 Appendix B.2–B.7, not independent MERLIN interfaces. Their inclusion allows source-level comparisons to be distinguished from broad architectural resemblance (The Open Group 2023, app. B).</w:t>
      </w:r>
    </w:p>
    <w:p>
      <w:pPr>
        <w:pStyle w:val="Heading3"/>
        <w:keepNext/>
        <w:widowControl/>
      </w:pPr>
      <w:r>
        <w:t>Relationship to the OGC profile</w:t>
      </w:r>
    </w:p>
    <w:p>
      <w:pPr>
        <w:widowControl/>
      </w:pPr>
      <w:r>
        <w:t>The completed study parsed all six files and counted each API separately. It also distinguishes the JSON documents’ OpenAPI 3.0.0 metadata from C239 Rule 6.2.1-2’s reference to the OpenAPI 3.0.3 specification. These version numbers describe different artifacts and should not be silently treated as a source contradiction.</w:t>
      </w:r>
    </w:p>
    <w:p>
      <w:pPr>
        <w:pStyle w:val="Heading3"/>
        <w:keepNext/>
        <w:widowControl/>
      </w:pPr>
      <w:r>
        <w:t>Evidence actually examined and remaining limits</w:t>
      </w:r>
    </w:p>
    <w:p>
      <w:pPr>
        <w:widowControl/>
      </w:pPr>
      <w:r>
        <w:t>The source interfaces offer documented state, configuration and management information potentially usable by an adapter. MERLIN may map appropriate content into existing descriptions, observations and commands while retaining source-specific behavior. Neither a familiar HTTP method nor an OpenAPI document makes that interface a CSAPI service.</w:t>
      </w:r>
    </w:p>
    <w:p>
      <w:pPr>
        <w:pStyle w:val="Heading3"/>
        <w:keepNext/>
        <w:widowControl/>
      </w:pPr>
      <w:r>
        <w:t>Implementation boundary and assessment</w:t>
      </w:r>
    </w:p>
    <w:p>
      <w:pPr>
        <w:widowControl/>
      </w:pPr>
      <w:r>
        <w:t>Native implementation would require the particular management role, matching schemas and the governing C239 behavior. A future OGC adapter also needs explicit effects, permissions, state interpretation and fidelity checks. Static parsing in the research is not endpoint testing, and the source API is not required for non-SOSA equipment.</w:t>
      </w:r>
    </w:p>
    <w:p>
      <w:pPr>
        <w:pStyle w:val="Heading3"/>
        <w:keepNext/>
        <w:widowControl/>
      </w:pPr>
      <w:r>
        <w:t>Adoption standing and recommended action</w:t>
      </w:r>
    </w:p>
    <w:p>
      <w:pPr>
        <w:widowControl/>
      </w:pPr>
      <w:r>
        <w:t>The six-file set is indexed as one companion collection rather than six inflated standard counts. Per-artifact provenance is retained in the accompanying inventory. No independent DISR or NATO status, code license clearance or implemented adapter is inferred.</w:t>
      </w:r>
    </w:p>
    <w:p>
      <w:pPr>
        <w:pStyle w:val="Heading2"/>
        <w:keepNext/>
        <w:widowControl/>
      </w:pPr>
      <w:r>
        <w:t>S117  |  Technical Standard for SOSA Reference Architecture, Edition 2.0 (Snapshot 3)</w:t>
      </w:r>
    </w:p>
    <w:p>
      <w:pPr>
        <w:pStyle w:val="Reference"/>
        <w:keepNext/>
        <w:widowControl/>
      </w:pPr>
      <w:r>
        <w:t>The Open Group. 2025. Technical Standard for SOSA Reference Architecture, Edition 2.0 (Snapshot 3). S251. June. Publisher bundle.</w:t>
      </w:r>
    </w:p>
    <w:p>
      <w:pPr>
        <w:pStyle w:val="Metadata"/>
        <w:keepNext/>
        <w:widowControl/>
      </w:pPr>
      <w:r>
        <w:t>INSPECTION  Publisher snapshot and companion inventory reviewed in SOSA study; developmental evidence.  •  592-page primary PDF; DSDM ICD, FACE3.1 model, IDL, six APIs and specialized appendices.  •  reconciled 17 October 2026</w:t>
      </w:r>
    </w:p>
    <w:p>
      <w:pPr>
        <w:pStyle w:val="SupplementNote"/>
        <w:keepNext/>
        <w:widowControl/>
      </w:pPr>
      <w:r>
        <w:t>PRIMARY LOCATOR  https://publications.opengroup.org/standards/s251</w:t>
      </w:r>
    </w:p>
    <w:p>
      <w:pPr>
        <w:pStyle w:val="Heading3"/>
        <w:keepNext/>
        <w:widowControl/>
      </w:pPr>
      <w:r>
        <w:t>Purpose, scope, and established concepts</w:t>
      </w:r>
    </w:p>
    <w:p>
      <w:pPr>
        <w:widowControl/>
      </w:pPr>
      <w:r>
        <w:t>The S251 bundle documents a later development snapshot and accompanying model artifacts. The study identifies a larger model ICD, FACE3.1 material, IDL and revised management APIs. Those artifacts are separately traceable from C239 even where filenames or concepts resemble adopted companions (The Open Group 2025).</w:t>
      </w:r>
    </w:p>
    <w:p>
      <w:pPr>
        <w:pStyle w:val="Heading3"/>
        <w:keepNext/>
        <w:widowControl/>
      </w:pPr>
      <w:r>
        <w:t>Relationship to the OGC profile</w:t>
      </w:r>
    </w:p>
    <w:p>
      <w:pPr>
        <w:widowControl/>
      </w:pPr>
      <w:r>
        <w:t>The completed assessment compared selected structures and recorded artifact and API inventories. Its evidence of changed paths, schemas and model-generation material supports a version-aware comparison. It does not make the snapshot an adopted substitute for C239 or demonstrate that any MERLIN provider implements it.</w:t>
      </w:r>
    </w:p>
    <w:p>
      <w:pPr>
        <w:pStyle w:val="Heading3"/>
        <w:keepNext/>
        <w:widowControl/>
      </w:pPr>
      <w:r>
        <w:t>Evidence actually examined and remaining limits</w:t>
      </w:r>
    </w:p>
    <w:p>
      <w:pPr>
        <w:widowControl/>
      </w:pPr>
      <w:r>
        <w:t>The FACE3.1 artifact is a useful documented model relationship, but it cannot be equated to the separate DISR entry for FACE Edition 3.0. The same edition caution applies to the VICTORY appendix identified by the study. These are specific examples of why source lineage must preserve versions and authority boundaries (MERLIN SOSA Assessment 2026, §§5–6).</w:t>
      </w:r>
    </w:p>
    <w:p>
      <w:pPr>
        <w:pStyle w:val="Heading3"/>
        <w:keepNext/>
        <w:widowControl/>
      </w:pPr>
      <w:r>
        <w:t>Implementation boundary and assessment</w:t>
      </w:r>
    </w:p>
    <w:p>
      <w:pPr>
        <w:widowControl/>
      </w:pPr>
      <w:r>
        <w:t>MERLIN retains the snapshot as a comparison source, not a mandatory dependency. Any future translation must declare whether its source device uses adopted C239 content, this snapshot, or another documented edition. Native implementation and certification would need independent applicable requirements and evidence.</w:t>
      </w:r>
    </w:p>
    <w:p>
      <w:pPr>
        <w:pStyle w:val="Heading3"/>
        <w:keepNext/>
        <w:widowControl/>
      </w:pPr>
      <w:r>
        <w:t>Adoption standing and recommended action</w:t>
      </w:r>
    </w:p>
    <w:p>
      <w:pPr>
        <w:widowControl/>
      </w:pPr>
      <w:r>
        <w:t>The edition-unspecified SOSA DISR record is not automatically assigned to S251. The study’s developmental standing is preserved without asserting a later publication outcome. No new snapshot rule, hardware requirement or endpoint is introduced by this bibliography.</w:t>
      </w:r>
    </w:p>
    <w:p>
      <w:pPr>
        <w:pStyle w:val="Heading2"/>
        <w:keepNext/>
        <w:widowControl/>
      </w:pPr>
      <w:r>
        <w:t>S118  |  Standardization Decisions for a Modular Open Systems Approach (MOSA)</w:t>
      </w:r>
    </w:p>
    <w:p>
      <w:pPr>
        <w:pStyle w:val="Reference"/>
        <w:keepNext/>
        <w:widowControl/>
      </w:pPr>
      <w:r>
        <w:t>Defense Logistics Agency. 2026a. Standardization Decisions for a Modular Open Systems Approach (MOSA). SD-28, March 12. ASSIST publication record.</w:t>
      </w:r>
    </w:p>
    <w:p>
      <w:pPr>
        <w:pStyle w:val="Metadata"/>
        <w:keepNext/>
        <w:widowControl/>
      </w:pPr>
      <w:r>
        <w:t>INSPECTION  Official catalog metadata; full guidance not inspected in completed SOSA study.  •  ASSIST title, date and non-prescriptive scope; record rechecked 17 October.  •  reconciled 17 October 2026</w:t>
      </w:r>
    </w:p>
    <w:p>
      <w:pPr>
        <w:pStyle w:val="SupplementNote"/>
        <w:keepNext/>
        <w:widowControl/>
      </w:pPr>
      <w:r>
        <w:t>PRIMARY LOCATOR  https://quicksearch.dla.mil/qsDocDetails.aspx?ident_number=286891</w:t>
      </w:r>
    </w:p>
    <w:p>
      <w:pPr>
        <w:pStyle w:val="Heading3"/>
        <w:keepNext/>
        <w:widowControl/>
      </w:pPr>
      <w:r>
        <w:t>Purpose and evidence actually examined</w:t>
      </w:r>
    </w:p>
    <w:p>
      <w:pPr>
        <w:widowControl/>
      </w:pPr>
      <w:r>
        <w:t>The official record identifies non-prescriptive guidance for making standardization choices. This is relevant to the project’s documented need to justify both selecting and excluding candidate sources. The completed SOSA assessment cited the record without inspecting the full guidance (DLA 2026a).</w:t>
      </w:r>
    </w:p>
    <w:p>
      <w:pPr>
        <w:pStyle w:val="Heading3"/>
        <w:keepNext/>
        <w:widowControl/>
      </w:pPr>
      <w:r>
        <w:t>Relationship to the OGC profile</w:t>
      </w:r>
    </w:p>
    <w:p>
      <w:pPr>
        <w:widowControl/>
      </w:pPr>
      <w:r>
        <w:t>This consolidation retains the publication at that catalog-level depth. The official title, date and scope were rechecked, but the contents are not expanded into an invented methodology. A bibliographic entry therefore records a legitimate lead rather than a completed normative assessment.</w:t>
      </w:r>
    </w:p>
    <w:p>
      <w:pPr>
        <w:pStyle w:val="Heading3"/>
        <w:keepNext/>
        <w:widowControl/>
      </w:pPr>
      <w:r>
        <w:t>Implementation and evidence limits</w:t>
      </w:r>
    </w:p>
    <w:p>
      <w:pPr>
        <w:widowControl/>
      </w:pPr>
      <w:r>
        <w:t>The source does not provide a sensor information model or a CSAPI binding in the evidence reviewed here. It creates no new software implementation target or profile conformance class. Any later substantive use would require the actual guidance and an explicitly bounded methodological question.</w:t>
      </w:r>
    </w:p>
    <w:p>
      <w:pPr>
        <w:pStyle w:val="Heading3"/>
        <w:keepNext/>
        <w:widowControl/>
      </w:pPr>
      <w:r>
        <w:t>Adoption standing and recommended action</w:t>
      </w:r>
    </w:p>
    <w:p>
      <w:pPr>
        <w:widowControl/>
      </w:pPr>
      <w:r>
        <w:t>The record belongs in the literature inventory because it was substantively cited during the corrective review. It must not be counted among fully inspected technical standards or used to delay unrelated design work. No new DISR action or program-specific legal conclusion follows from its inclusion.</w:t>
      </w:r>
    </w:p>
    <w:p>
      <w:pPr>
        <w:pStyle w:val="Heading2"/>
        <w:keepNext/>
        <w:widowControl/>
      </w:pPr>
      <w:r>
        <w:t>S119  |  Modular Open Systems Approach Portfolio: HOST, FACE, SOSA, UCS, and Open Mission Systems</w:t>
      </w:r>
    </w:p>
    <w:p>
      <w:pPr>
        <w:pStyle w:val="Reference"/>
        <w:keepNext/>
        <w:widowControl/>
      </w:pPr>
      <w:r>
        <w:t>Defense Logistics Agency. 2026b. Modular Open Systems Approach Portfolio: HOST, FACE, SOSA, UCS, and Open Mission Systems. JOINT-UXS-002, Notice 2, August 26. ASSIST record.</w:t>
      </w:r>
    </w:p>
    <w:p>
      <w:pPr>
        <w:pStyle w:val="Metadata"/>
        <w:keepNext/>
        <w:widowControl/>
      </w:pPr>
      <w:r>
        <w:t>INSPECTION  Official notice metadata; no full notice review claimed.  •  ASSIST title, notice identity and date; metadata rechecked 17 October.  •  reconciled 17 October 2026</w:t>
      </w:r>
    </w:p>
    <w:p>
      <w:pPr>
        <w:pStyle w:val="SupplementNote"/>
        <w:keepNext/>
        <w:widowControl/>
      </w:pPr>
      <w:r>
        <w:t>PRIMARY LOCATOR  https://quicksearch.dla.mil/qsDocDetails.aspx?ident_number=284706</w:t>
      </w:r>
    </w:p>
    <w:p>
      <w:pPr>
        <w:pStyle w:val="Heading3"/>
        <w:keepNext/>
        <w:widowControl/>
      </w:pPr>
      <w:r>
        <w:t>Purpose and evidence actually examined</w:t>
      </w:r>
    </w:p>
    <w:p>
      <w:pPr>
        <w:widowControl/>
      </w:pPr>
      <w:r>
        <w:t>The publication record groups several modular-system approaches in an implementation-guidance portfolio. Its inclusion in the SOSA study is contextual rather than proof that every named approach has the same data model. The catalog identifies Notice 2 as administrative material (DLA 2026b).</w:t>
      </w:r>
    </w:p>
    <w:p>
      <w:pPr>
        <w:pStyle w:val="Heading3"/>
        <w:keepNext/>
        <w:widowControl/>
      </w:pPr>
      <w:r>
        <w:t>Relationship to the OGC profile</w:t>
      </w:r>
    </w:p>
    <w:p>
      <w:pPr>
        <w:widowControl/>
      </w:pPr>
      <w:r>
        <w:t>The term Open Mission Systems in this title is not OGC Observations, Measurements and Samples. That distinction prevents a misleading acronym-based connection to source S97. No direct mapping between the portfolio participants is established by the catalog record.</w:t>
      </w:r>
    </w:p>
    <w:p>
      <w:pPr>
        <w:pStyle w:val="Heading3"/>
        <w:keepNext/>
        <w:widowControl/>
      </w:pPr>
      <w:r>
        <w:t>Implementation and evidence limits</w:t>
      </w:r>
    </w:p>
    <w:p>
      <w:pPr>
        <w:widowControl/>
      </w:pPr>
      <w:r>
        <w:t>This entry preserves the study’s metadata-level evidence and does not import unseen notice requirements. It has no selected MERLIN software target, application-profile class or native conformance claim. The actual notice would need review before it could support a substantive implementation recommendation.</w:t>
      </w:r>
    </w:p>
    <w:p>
      <w:pPr>
        <w:pStyle w:val="Heading3"/>
        <w:keepNext/>
        <w:widowControl/>
      </w:pPr>
      <w:r>
        <w:t>Adoption standing and recommended action</w:t>
      </w:r>
    </w:p>
    <w:p>
      <w:pPr>
        <w:widowControl/>
      </w:pPr>
      <w:r>
        <w:t>No additional donor research is commissioned by recording the portfolio. The entry supports transparent source accounting and prevents contextual citations from being mistaken for technical results. Its publication identity is retained independently of DISR and NATO adoption.</w:t>
      </w:r>
    </w:p>
    <w:p>
      <w:pPr>
        <w:pStyle w:val="Heading2"/>
        <w:keepNext/>
        <w:widowControl/>
      </w:pPr>
      <w:r>
        <w:t>S120  |  United States Code, title 10, §§4401–4403</w:t>
      </w:r>
    </w:p>
    <w:p>
      <w:pPr>
        <w:pStyle w:val="Reference"/>
        <w:keepNext/>
        <w:widowControl/>
      </w:pPr>
      <w:r>
        <w:t>United States. 2026. United States Code, title 10, §§4401–4403. Cited in MERLIN SOSA Technical Assessment v1.0, October 15. Current public text locator retained; no new legal interpretation.</w:t>
      </w:r>
    </w:p>
    <w:p>
      <w:pPr>
        <w:pStyle w:val="Metadata"/>
        <w:keepNext/>
        <w:widowControl/>
      </w:pPr>
      <w:r>
        <w:t>INSPECTION  Contextual source citation inherited from SOSA assessment; no fresh legal review.  •  Title 10 §§4401–4403, as cited by the study.  •  reconciled 17 October 2026</w:t>
      </w:r>
    </w:p>
    <w:p>
      <w:pPr>
        <w:pStyle w:val="SupplementNote"/>
        <w:keepNext/>
        <w:widowControl/>
      </w:pPr>
      <w:r>
        <w:t>PRIMARY LOCATOR  https://uscode.house.gov/view.xhtml?edition=prelim&amp;f=treesort&amp;req=(title:10%20section:4401%20edition:prelim)</w:t>
      </w:r>
    </w:p>
    <w:p>
      <w:pPr>
        <w:pStyle w:val="Heading3"/>
        <w:keepNext/>
        <w:widowControl/>
      </w:pPr>
      <w:r>
        <w:t>Purpose and evidence actually examined</w:t>
      </w:r>
    </w:p>
    <w:p>
      <w:pPr>
        <w:widowControl/>
      </w:pPr>
      <w:r>
        <w:t>The completed SOSA study uses these provisions to place modular-system discussion in its statutory context. That role is separate from the technical content of a particular architecture or API. This bibliography records the cited source without independently determining applicability to a program (MERLIN SOSA Assessment 2026, references).</w:t>
      </w:r>
    </w:p>
    <w:p>
      <w:pPr>
        <w:pStyle w:val="Heading3"/>
        <w:keepNext/>
        <w:widowControl/>
      </w:pPr>
      <w:r>
        <w:t>Relationship to the OGC profile</w:t>
      </w:r>
    </w:p>
    <w:p>
      <w:pPr>
        <w:widowControl/>
      </w:pPr>
      <w:r>
        <w:t>The retained public locator is mutable and is not an immutable copy of the text used by the study. No exact 2026 amendment history or fresh clause-level legal analysis is asserted here. The earlier study’s contextual citation is the evidence boundary for this entry.</w:t>
      </w:r>
    </w:p>
    <w:p>
      <w:pPr>
        <w:pStyle w:val="Heading3"/>
        <w:keepNext/>
        <w:widowControl/>
      </w:pPr>
      <w:r>
        <w:t>Implementation and evidence limits</w:t>
      </w:r>
    </w:p>
    <w:p>
      <w:pPr>
        <w:widowControl/>
      </w:pPr>
      <w:r>
        <w:t>The source supplies no MERLIN equipment class, observation schema or donor-to-OGC transformation in the inspected research. It therefore has no selected technical implementation target. Statutory compliance and acquisition advice would require a separate authorized analysis of the applicable current text and program facts.</w:t>
      </w:r>
    </w:p>
    <w:p>
      <w:pPr>
        <w:pStyle w:val="Heading3"/>
        <w:keepNext/>
        <w:widowControl/>
      </w:pPr>
      <w:r>
        <w:t>Adoption standing and recommended action</w:t>
      </w:r>
    </w:p>
    <w:p>
      <w:pPr>
        <w:widowControl/>
      </w:pPr>
      <w:r>
        <w:t>Recording the citation avoids omitting an actual source used by the corrective study. It does not enlarge the profile’s conformance claims, establish SOSA implementation for all systems or initiate a standards submission. No legal conclusion is added by the present documentary reconciliation.</w:t>
      </w:r>
    </w:p>
    <w:p>
      <w:pPr>
        <w:pStyle w:val="Heading2"/>
        <w:keepNext/>
        <w:widowControl/>
      </w:pPr>
      <w:r>
        <w:t>S121  |  CSAPI Part 1 v1.0 property-definition JSON schema subset</w:t>
      </w:r>
    </w:p>
    <w:p>
      <w:pPr>
        <w:pStyle w:val="Reference"/>
        <w:keepNext/>
        <w:widowControl/>
      </w:pPr>
      <w:r>
        <w:t>Open Geospatial Consortium. n.d. CSAPI Part 1 v1.0 property-definition JSON schema subset. Publisher schema collection. Selected artifacts inspected in approved MERLIN increments, October 17, 2026.</w:t>
      </w:r>
    </w:p>
    <w:p>
      <w:pPr>
        <w:pStyle w:val="Metadata"/>
        <w:keepNext/>
        <w:widowControl/>
      </w:pPr>
      <w:r>
        <w:t>INSPECTION  Selected public schemas inspected in approved increment; raw publisher bytes/dependency closure not fully recovered.  •  property.json; OGC 23-001 §§15.2 and 19.2.8  •  reconciled 17 October 2026</w:t>
      </w:r>
    </w:p>
    <w:p>
      <w:pPr>
        <w:pStyle w:val="SupplementNote"/>
        <w:keepNext/>
        <w:widowControl/>
      </w:pPr>
      <w:r>
        <w:t>PRIMARY LOCATOR  https://schemas.opengis.net/ogcapi/connected-systems/part1/1.0/openapi/schemas/sensorml/property.json</w:t>
      </w:r>
    </w:p>
    <w:p>
      <w:pPr>
        <w:pStyle w:val="Heading3"/>
        <w:keepNext/>
        <w:widowControl/>
      </w:pPr>
      <w:r>
        <w:t>Purpose, scope, and established concepts</w:t>
      </w:r>
    </w:p>
    <w:p>
      <w:pPr>
        <w:widowControl/>
      </w:pPr>
      <w:r>
        <w:t>This record identifies selected encoding artifacts supporting qualified property descriptions. It is not an additional OGC standard or a new profile definition. SensorML DerivedProperty.json stays within existing collection S59.</w:t>
      </w:r>
    </w:p>
    <w:p>
      <w:pPr>
        <w:pStyle w:val="Heading3"/>
        <w:keepNext/>
        <w:widowControl/>
      </w:pPr>
      <w:r>
        <w:t>Relationship to the OGC profile</w:t>
      </w:r>
    </w:p>
    <w:p>
      <w:pPr>
        <w:widowControl/>
      </w:pPr>
      <w:r>
        <w:t>The v0.3.4 and v0.3.5 evidence notes identify the precise files and their use in the approved design. Those checks established relevant native fields and constraints without claiming full official schema validation. This consolidation retains the documented source depth rather than presenting a fresh implementation test (MERLIN Increment Evidence 2026).</w:t>
      </w:r>
    </w:p>
    <w:p>
      <w:pPr>
        <w:pStyle w:val="Heading3"/>
        <w:keepNext/>
        <w:widowControl/>
      </w:pPr>
      <w:r>
        <w:t>Evidence actually examined and remaining limits</w:t>
      </w:r>
    </w:p>
    <w:p>
      <w:pPr>
        <w:widowControl/>
      </w:pPr>
      <w:r>
        <w:t>The current implementation target remains production and consumption of the selected OGC representations with the approved MERLIN interpretation rules. Any served optional resource still requires its applicable base-standard classes and encodings. A schema fragment or a parsed JSON file does not independently establish that those obligations are satisfied.</w:t>
      </w:r>
    </w:p>
    <w:p>
      <w:pPr>
        <w:pStyle w:val="Heading3"/>
        <w:keepNext/>
        <w:widowControl/>
      </w:pPr>
      <w:r>
        <w:t>Implementation boundary and assessment</w:t>
      </w:r>
    </w:p>
    <w:p>
      <w:pPr>
        <w:widowControl/>
      </w:pPr>
      <w:r>
        <w:t>The increment notes report incomplete retrieval of the full schema dependency closure and unsuccessful raw-byte downloads. Consequently, these are version-labeled publisher locators with documented inspections, not newly fabricated checksum-pinned source snapshots. The unresolved validation boundary is retained without reopening approved semantics.</w:t>
      </w:r>
    </w:p>
    <w:p>
      <w:pPr>
        <w:pStyle w:val="Heading3"/>
        <w:keepNext/>
        <w:widowControl/>
      </w:pPr>
      <w:r>
        <w:t>Adoption standing and recommended action</w:t>
      </w:r>
    </w:p>
    <w:p>
      <w:pPr>
        <w:widowControl/>
      </w:pPr>
      <w:r>
        <w:t>No separate DISR record is assigned to the selected schema subset, and base-standard status does not automatically confer profile approval. Publisher rights continue to govern reuse. The record makes previously inspected support artifacts visible in the master inventory while preserving their distinction from normative prose.</w:t>
      </w:r>
    </w:p>
    <w:p>
      <w:pPr>
        <w:pStyle w:val="Heading2"/>
        <w:keepNext/>
        <w:widowControl/>
      </w:pPr>
      <w:r>
        <w:t>S122  |  CSAPI Part 2 v1.0 DataStream and Observation JSON schema subset</w:t>
      </w:r>
    </w:p>
    <w:p>
      <w:pPr>
        <w:pStyle w:val="Reference"/>
        <w:keepNext/>
        <w:widowControl/>
      </w:pPr>
      <w:r>
        <w:t>Open Geospatial Consortium. n.d. CSAPI Part 2 v1.0 DataStream and Observation JSON schema subset. Publisher schema collection. Selected artifacts inspected in approved MERLIN increments, October 17, 2026.</w:t>
      </w:r>
    </w:p>
    <w:p>
      <w:pPr>
        <w:pStyle w:val="Metadata"/>
        <w:keepNext/>
        <w:widowControl/>
      </w:pPr>
      <w:r>
        <w:t>INSPECTION  Selected public schemas inspected in approved increment; raw publisher bytes/dependency closure not fully recovered.  •  dataStream.json and observation.json; OGC 23-002 §§9.2 and 9.7.2  •  reconciled 17 October 2026</w:t>
      </w:r>
    </w:p>
    <w:p>
      <w:pPr>
        <w:pStyle w:val="SupplementNote"/>
        <w:keepNext/>
        <w:widowControl/>
      </w:pPr>
      <w:r>
        <w:t>PRIMARY LOCATOR  https://schemas.opengis.net/ogcapi/connected-systems/part2/1.0/openapi/schemas/json/dataStream.json</w:t>
      </w:r>
    </w:p>
    <w:p>
      <w:pPr>
        <w:pStyle w:val="Heading3"/>
        <w:keepNext/>
        <w:widowControl/>
      </w:pPr>
      <w:r>
        <w:t>Purpose, scope, and established concepts</w:t>
      </w:r>
    </w:p>
    <w:p>
      <w:pPr>
        <w:widowControl/>
      </w:pPr>
      <w:r>
        <w:t>This record identifies selected encoding artifacts supporting native shared context and historical observation attribution. It is not an additional OGC standard or a new profile definition. SystemEvent.json remains existing S60; it is not renumbered.</w:t>
      </w:r>
    </w:p>
    <w:p>
      <w:pPr>
        <w:pStyle w:val="Heading3"/>
        <w:keepNext/>
        <w:widowControl/>
      </w:pPr>
      <w:r>
        <w:t>Relationship to the OGC profile</w:t>
      </w:r>
    </w:p>
    <w:p>
      <w:pPr>
        <w:widowControl/>
      </w:pPr>
      <w:r>
        <w:t>The v0.3.4 and v0.3.5 evidence notes identify the precise files and their use in the approved design. Those checks established relevant native fields and constraints without claiming full official schema validation. This consolidation retains the documented source depth rather than presenting a fresh implementation test (MERLIN Increment Evidence 2026).</w:t>
      </w:r>
    </w:p>
    <w:p>
      <w:pPr>
        <w:pStyle w:val="Heading3"/>
        <w:keepNext/>
        <w:widowControl/>
      </w:pPr>
      <w:r>
        <w:t>Evidence actually examined and remaining limits</w:t>
      </w:r>
    </w:p>
    <w:p>
      <w:pPr>
        <w:widowControl/>
      </w:pPr>
      <w:r>
        <w:t>The current implementation target remains production and consumption of the selected OGC representations with the approved MERLIN interpretation rules. Any served optional resource still requires its applicable base-standard classes and encodings. A schema fragment or a parsed JSON file does not independently establish that those obligations are satisfied.</w:t>
      </w:r>
    </w:p>
    <w:p>
      <w:pPr>
        <w:pStyle w:val="Heading3"/>
        <w:keepNext/>
        <w:widowControl/>
      </w:pPr>
      <w:r>
        <w:t>Implementation boundary and assessment</w:t>
      </w:r>
    </w:p>
    <w:p>
      <w:pPr>
        <w:widowControl/>
      </w:pPr>
      <w:r>
        <w:t>The increment notes report incomplete retrieval of the full schema dependency closure and unsuccessful raw-byte downloads. Consequently, these are version-labeled publisher locators with documented inspections, not newly fabricated checksum-pinned source snapshots. The unresolved validation boundary is retained without reopening approved semantics.</w:t>
      </w:r>
    </w:p>
    <w:p>
      <w:pPr>
        <w:pStyle w:val="Heading3"/>
        <w:keepNext/>
        <w:widowControl/>
      </w:pPr>
      <w:r>
        <w:t>Adoption standing and recommended action</w:t>
      </w:r>
    </w:p>
    <w:p>
      <w:pPr>
        <w:widowControl/>
      </w:pPr>
      <w:r>
        <w:t>No separate DISR record is assigned to the selected schema subset, and base-standard status does not automatically confer profile approval. Publisher rights continue to govern reuse. The record makes previously inspected support artifacts visible in the master inventory while preserving their distinction from normative prose.</w:t>
      </w:r>
    </w:p>
    <w:p>
      <w:pPr>
        <w:pStyle w:val="Heading2"/>
        <w:keepNext/>
        <w:widowControl/>
      </w:pPr>
      <w:r>
        <w:t>S123  |  SWE Common 3.0 Quantity and basic-types JSON schema subset</w:t>
      </w:r>
    </w:p>
    <w:p>
      <w:pPr>
        <w:pStyle w:val="Reference"/>
        <w:keepNext/>
        <w:widowControl/>
      </w:pPr>
      <w:r>
        <w:t>Open Geospatial Consortium. n.d. SWE Common 3.0 Quantity and basic-types JSON schema subset. Publisher schema collection. Selected artifacts inspected in approved MERLIN increments, October 17, 2026.</w:t>
      </w:r>
    </w:p>
    <w:p>
      <w:pPr>
        <w:pStyle w:val="Metadata"/>
        <w:keepNext/>
        <w:widowControl/>
      </w:pPr>
      <w:r>
        <w:t>INSPECTION  Selected public schemas inspected in approved increment; raw publisher bytes/dependency closure not fully recovered.  •  Quantity.json and basicTypes.json; OGC 24-014 §§8.2.16 and 9.1.15  •  reconciled 17 October 2026</w:t>
      </w:r>
    </w:p>
    <w:p>
      <w:pPr>
        <w:pStyle w:val="SupplementNote"/>
        <w:keepNext/>
        <w:widowControl/>
      </w:pPr>
      <w:r>
        <w:t>PRIMARY LOCATOR  https://schemas.opengis.net/sweCommon/3.0/json/Quantity.json</w:t>
      </w:r>
    </w:p>
    <w:p>
      <w:pPr>
        <w:pStyle w:val="Heading3"/>
        <w:keepNext/>
        <w:widowControl/>
      </w:pPr>
      <w:r>
        <w:t>Purpose, scope, and established concepts</w:t>
      </w:r>
    </w:p>
    <w:p>
      <w:pPr>
        <w:widowControl/>
      </w:pPr>
      <w:r>
        <w:t>This record identifies selected encoding artifacts supporting typed values, units, constraints and declared nil semantics. It is not an additional OGC standard or a new profile definition. The source is a schema subset accompanying existing normative source S02.</w:t>
      </w:r>
    </w:p>
    <w:p>
      <w:pPr>
        <w:pStyle w:val="Heading3"/>
        <w:keepNext/>
        <w:widowControl/>
      </w:pPr>
      <w:r>
        <w:t>Relationship to the OGC profile</w:t>
      </w:r>
    </w:p>
    <w:p>
      <w:pPr>
        <w:widowControl/>
      </w:pPr>
      <w:r>
        <w:t>The v0.3.4 and v0.3.5 evidence notes identify the precise files and their use in the approved design. Those checks established relevant native fields and constraints without claiming full official schema validation. This consolidation retains the documented source depth rather than presenting a fresh implementation test (MERLIN Increment Evidence 2026).</w:t>
      </w:r>
    </w:p>
    <w:p>
      <w:pPr>
        <w:pStyle w:val="Heading3"/>
        <w:keepNext/>
        <w:widowControl/>
      </w:pPr>
      <w:r>
        <w:t>Evidence actually examined and remaining limits</w:t>
      </w:r>
    </w:p>
    <w:p>
      <w:pPr>
        <w:widowControl/>
      </w:pPr>
      <w:r>
        <w:t>The current implementation target remains production and consumption of the selected OGC representations with the approved MERLIN interpretation rules. Any served optional resource still requires its applicable base-standard classes and encodings. A schema fragment or a parsed JSON file does not independently establish that those obligations are satisfied.</w:t>
      </w:r>
    </w:p>
    <w:p>
      <w:pPr>
        <w:pStyle w:val="Heading3"/>
        <w:keepNext/>
        <w:widowControl/>
      </w:pPr>
      <w:r>
        <w:t>Implementation boundary and assessment</w:t>
      </w:r>
    </w:p>
    <w:p>
      <w:pPr>
        <w:widowControl/>
      </w:pPr>
      <w:r>
        <w:t>The increment notes report incomplete retrieval of the full schema dependency closure and unsuccessful raw-byte downloads. Consequently, these are version-labeled publisher locators with documented inspections, not newly fabricated checksum-pinned source snapshots. The unresolved validation boundary is retained without reopening approved semantics.</w:t>
      </w:r>
    </w:p>
    <w:p>
      <w:pPr>
        <w:pStyle w:val="Heading3"/>
        <w:keepNext/>
        <w:widowControl/>
      </w:pPr>
      <w:r>
        <w:t>Adoption standing and recommended action</w:t>
      </w:r>
    </w:p>
    <w:p>
      <w:pPr>
        <w:widowControl/>
      </w:pPr>
      <w:r>
        <w:t>No separate DISR record is assigned to the selected schema subset, and base-standard status does not automatically confer profile approval. Publisher rights continue to govern reuse. The record makes previously inspected support artifacts visible in the master inventory while preserving their distinction from normative prose.</w:t>
      </w:r>
    </w:p>
    <w:p>
      <w:pPr>
        <w:pStyle w:val="Heading2"/>
        <w:keepNext/>
        <w:widowControl/>
      </w:pPr>
      <w:r>
        <w:t>S124  |  SAPIENT networked autonomous sensing</w:t>
      </w:r>
    </w:p>
    <w:p>
      <w:pPr>
        <w:pStyle w:val="Reference"/>
        <w:keepNext/>
        <w:widowControl/>
      </w:pPr>
      <w:r>
        <w:t>Defence Science and Technology Laboratory. 2026. “SAPIENT Networked Autonomous Sensing.” GOV.UK guidance. Updated October 14, 2026. Metadata checked October 17.</w:t>
      </w:r>
    </w:p>
    <w:p>
      <w:pPr>
        <w:pStyle w:val="Metadata"/>
        <w:keepNext/>
        <w:widowControl/>
      </w:pPr>
      <w:r>
        <w:t>INSPECTION  Official guidance version/date rechecked; technical claims remain grounded in BSI v2 study.  •  Guidance title and update history; source study references.  •  reconciled 17 October 2026</w:t>
      </w:r>
    </w:p>
    <w:p>
      <w:pPr>
        <w:pStyle w:val="SupplementNote"/>
        <w:keepNext/>
        <w:widowControl/>
      </w:pPr>
      <w:r>
        <w:t>PRIMARY LOCATOR  https://www.gov.uk/guidance/sapient-autonomous-sensor-system</w:t>
      </w:r>
    </w:p>
    <w:p>
      <w:pPr>
        <w:pStyle w:val="Heading3"/>
        <w:keepNext/>
        <w:widowControl/>
      </w:pPr>
      <w:r>
        <w:t>Purpose and evidence actually examined</w:t>
      </w:r>
    </w:p>
    <w:p>
      <w:pPr>
        <w:widowControl/>
      </w:pPr>
      <w:r>
        <w:t>The live guidance has a different title and a later dated revision than the 2024 edition recorded as S51. Its public update history identifies the October 14 revision and earlier changes. This entry preserves that edition distinction without rewriting the identity of the historical source (Dstl 2026).</w:t>
      </w:r>
    </w:p>
    <w:p>
      <w:pPr>
        <w:pStyle w:val="Heading3"/>
        <w:keepNext/>
        <w:widowControl/>
      </w:pPr>
      <w:r>
        <w:t>Relationship to the OGC profile</w:t>
      </w:r>
    </w:p>
    <w:p>
      <w:pPr>
        <w:widowControl/>
      </w:pPr>
      <w:r>
        <w:t>The completed SAPIENT study cites the later guidance alongside its full BSI v2 and pinned implementation sources. Guidance provides program context, not the complete interface obligations used for the technical comparison. No conclusion about unpublished v3 content is adopted from this record.</w:t>
      </w:r>
    </w:p>
    <w:p>
      <w:pPr>
        <w:pStyle w:val="Heading3"/>
        <w:keepNext/>
        <w:widowControl/>
      </w:pPr>
      <w:r>
        <w:t>Implementation and evidence limits</w:t>
      </w:r>
    </w:p>
    <w:p>
      <w:pPr>
        <w:widowControl/>
      </w:pPr>
      <w:r>
        <w:t>The current retrieved page did not contain the historical OSUS coexistence wording previously recorded under S51. The earlier experiment claim therefore remains attributed to the historical source inspection, not presented as a freshly verified statement on this revision. This is a source-version limitation rather than a reason to infer that the earlier experiment did not occur.</w:t>
      </w:r>
    </w:p>
    <w:p>
      <w:pPr>
        <w:pStyle w:val="Heading3"/>
        <w:keepNext/>
        <w:widowControl/>
      </w:pPr>
      <w:r>
        <w:t>Adoption standing and recommended action</w:t>
      </w:r>
    </w:p>
    <w:p>
      <w:pPr>
        <w:widowControl/>
      </w:pPr>
      <w:r>
        <w:t>The record imposes no implementation target or additional API. It is maintained so future readers can distinguish historical experimentation, current guidance and the exact technical source examined. No native compatibility, certification or NATO adoption follows from the guidance update.</w:t>
      </w:r>
    </w:p>
    <w:p>
      <w:pPr>
        <w:pStyle w:val="Heading1"/>
      </w:pPr>
      <w:r>
        <w:t>3.2 OSCAR mapping and residual standards — S125–S140</w:t>
      </w:r>
    </w:p>
    <w:p>
      <w:pPr/>
      <w:r>
        <w:t>These additions have different evidence roles. Published standards are distinguished from official examples, indexes, draft alignments and implementation code. Exact use and assessment targets are recorded rather than treating every reference as a required runtime dependency.</w:t>
      </w:r>
    </w:p>
    <w:p>
      <w:pPr>
        <w:pStyle w:val="Heading2"/>
      </w:pPr>
      <w:r>
        <w:t>S125  |  N42-2011 Radiation Portal Monitor example</w:t>
      </w:r>
    </w:p>
    <w:p>
      <w:pPr>
        <w:pStyle w:val="Small"/>
      </w:pPr>
      <w:r>
        <w:t>NIST. N42-2011 example / Annex D; 2011 example series; page updated 2025. Checked22 October 2026.</w:t>
      </w:r>
    </w:p>
    <w:p>
      <w:pPr>
        <w:pStyle w:val="Small"/>
      </w:pPr>
      <w:r>
        <w:t>https://www.nist.gov/pml/radiation-physics/n42-2011/n42-2011-radiation-portal-monitor</w:t>
      </w:r>
    </w:p>
    <w:p>
      <w:pPr>
        <w:pStyle w:val="Heading3"/>
      </w:pPr>
      <w:r>
        <w:t>Purpose, source meaning and applicability</w:t>
      </w:r>
    </w:p>
    <w:p>
      <w:pPr/>
      <w:r>
        <w:t>The example distinguishes time slices, detector-specific counts, occupancy indicators and a measurement group. It includes pre- and post-occupancy readings rather than equating every related reading with occupied time. Reuse grouping and acquisition-context distinctions as radiation mapping evidence; retain native identifiers and references. The selected role is reuse as mapping precedent.</w:t>
      </w:r>
    </w:p>
    <w:p>
      <w:pPr>
        <w:pStyle w:val="Heading3"/>
      </w:pPr>
      <w:r>
        <w:t>Evidence examined and source boundary</w:t>
      </w:r>
    </w:p>
    <w:p>
      <w:pPr/>
      <w:r>
        <w:t>Portal-monitor scenario narrative; linked historical Annex D additionally inspected as pinned OSCAR repository copy, S139. Example, not full normative text. The repository copy is not asserted byte-identical to the linked NIST file. No 2020 conformance is inferred. This record does not imply a complete implementation or an exhaustive review of the source family.</w:t>
      </w:r>
    </w:p>
    <w:p>
      <w:pPr>
        <w:pStyle w:val="Heading3"/>
      </w:pPr>
      <w:r>
        <w:t>Implementation target and assessment</w:t>
      </w:r>
    </w:p>
    <w:p>
      <w:pPr/>
      <w:r>
        <w:t>Future edition-pinned N42-to-OGC adapter; current research extraction only. Before native conformance claims, obtain the chosen N42 edition, matching XSD and Schematron; preserve detector, window, time, occupancy and reference semantics. Check references, count-vector/window cardinality, zero counts, occupied versus background membership and document-scoped identifiers.</w:t>
      </w:r>
    </w:p>
    <w:p>
      <w:pPr>
        <w:pStyle w:val="Heading3"/>
      </w:pPr>
      <w:r>
        <w:t>Openness and adoption standing</w:t>
      </w:r>
    </w:p>
    <w:p>
      <w:pPr/>
      <w:r>
        <w:t>The primary publication or repository was publicly readable at the stated inspection depth. Applicable source licenses and notices still govern reuse, and no patent or redistribution clearance is inferred. This increment does not assign a new DISR, DoD, IC or NATO adoption status; the authoritative export and prior evidence remain unchanged.</w:t>
      </w:r>
    </w:p>
    <w:p>
      <w:pPr>
        <w:pStyle w:val="Heading2"/>
      </w:pPr>
      <w:r>
        <w:t>S126  |  N42-2011 Spectroscopic Radiation Portal Monitor example</w:t>
      </w:r>
    </w:p>
    <w:p>
      <w:pPr>
        <w:pStyle w:val="Small"/>
      </w:pPr>
      <w:r>
        <w:t>NIST. N42-2011 example / Annex E; 2011 example series; page updated 2025. Checked22 October 2026.</w:t>
      </w:r>
    </w:p>
    <w:p>
      <w:pPr>
        <w:pStyle w:val="Small"/>
      </w:pPr>
      <w:r>
        <w:t>https://www.nist.gov/pml/radiation-physics/n42-2011/n42-2011-spectroscopic-radiation-portal-monitor</w:t>
      </w:r>
    </w:p>
    <w:p>
      <w:pPr>
        <w:pStyle w:val="Heading3"/>
      </w:pPr>
      <w:r>
        <w:t>Purpose, source meaning and applicability</w:t>
      </w:r>
    </w:p>
    <w:p>
      <w:pPr/>
      <w:r>
        <w:t>The example separates raw spectra, summed DerivedData and analysis results. Its analysis identifies an algorithm and settings, providing more than a file-access convention. Use explicit raw-spectrum and derived-data references as provenance evidence, without assuming every same-passage record was an input. The selected role is reuse as mapping precedent.</w:t>
      </w:r>
    </w:p>
    <w:p>
      <w:pPr>
        <w:pStyle w:val="Heading3"/>
      </w:pPr>
      <w:r>
        <w:t>Evidence examined and source boundary</w:t>
      </w:r>
    </w:p>
    <w:p>
      <w:pPr/>
      <w:r>
        <w:t>Spectroscopic scenario narrative; selected Annex E metadata and dependency references in pinned repository copy, S139. Only selected fields and references inspected; no spectrum decompression, arithmetic verification or complete normative N42 assessment. This record does not imply a complete implementation or an exhaustive review of the source family.</w:t>
      </w:r>
    </w:p>
    <w:p>
      <w:pPr>
        <w:pStyle w:val="Heading3"/>
      </w:pPr>
      <w:r>
        <w:t>Implementation target and assessment</w:t>
      </w:r>
    </w:p>
    <w:p>
      <w:pPr/>
      <w:r>
        <w:t>Selected lineage mapping to existing MPSS output context and a candidate PROV document. Keep N42 2011 namespace and element identity; exact target encoding must preserve acquisition/calibration qualifications. Negative check: unrelated or background-associated records must not become derivation inputs solely through collection membership.</w:t>
      </w:r>
    </w:p>
    <w:p>
      <w:pPr>
        <w:pStyle w:val="Heading3"/>
      </w:pPr>
      <w:r>
        <w:t>Openness and adoption standing</w:t>
      </w:r>
    </w:p>
    <w:p>
      <w:pPr/>
      <w:r>
        <w:t>The primary publication or repository was publicly readable at the stated inspection depth. Applicable source licenses and notices still govern reuse, and no patent or redistribution clearance is inferred. This increment does not assign a new DISR, DoD, IC or NATO adoption status; the authoritative export and prior evidence remain unchanged.</w:t>
      </w:r>
    </w:p>
    <w:p>
      <w:pPr>
        <w:pStyle w:val="Heading2"/>
      </w:pPr>
      <w:r>
        <w:t>S127  |  ANSI/IEEE N42.42-2020 Version: schema and example distribution index</w:t>
      </w:r>
    </w:p>
    <w:p>
      <w:pPr>
        <w:pStyle w:val="Small"/>
      </w:pPr>
      <w:r>
        <w:t>NIST / IEEE. 2020; 2020; index updated 2025-12-05. Checked22 October 2026.</w:t>
      </w:r>
    </w:p>
    <w:p>
      <w:pPr>
        <w:pStyle w:val="Small"/>
      </w:pPr>
      <w:r>
        <w:t>https://www.nist.gov/pml/radiation-physics/ansiieee-n4242-2020-version</w:t>
      </w:r>
    </w:p>
    <w:p>
      <w:pPr>
        <w:pStyle w:val="Heading3"/>
      </w:pPr>
      <w:r>
        <w:t>Purpose, source meaning and applicability</w:t>
      </w:r>
    </w:p>
    <w:p>
      <w:pPr/>
      <w:r>
        <w:t>The official distribution identifies the current-edition artifacts relevant to a future native radiation mapping. Pin the required native edition rather than relabeling an inspected 2011 example as 2020. The selected role is gated for normative mapping.</w:t>
      </w:r>
    </w:p>
    <w:p>
      <w:pPr>
        <w:pStyle w:val="Heading3"/>
      </w:pPr>
      <w:r>
        <w:t>Evidence examined and source boundary</w:t>
      </w:r>
    </w:p>
    <w:p>
      <w:pPr/>
      <w:r>
        <w:t>2020 resource index and available schema/example/Schematron links; linked artifact retrieval failed in this session. No 2020 XSD bytes, Schematron execution or full IEEE normative text was examined in this increment. Index visibility is not schema validation. This record does not imply a complete implementation or an exhaustive review of the source family.</w:t>
      </w:r>
    </w:p>
    <w:p>
      <w:pPr>
        <w:pStyle w:val="Heading3"/>
      </w:pPr>
      <w:r>
        <w:t>Implementation target and assessment</w:t>
      </w:r>
    </w:p>
    <w:p>
      <w:pPr/>
      <w:r>
        <w:t>Edition-specific N42 import/export only after normative and artifact access. Exact IEEE clauses and dependencies remain an explicit access gate; do not claim compliance from XML syntax alone. Future positive/negative N42 validation plus semantic-reference checks against the chosen edition.</w:t>
      </w:r>
    </w:p>
    <w:p>
      <w:pPr>
        <w:pStyle w:val="Heading3"/>
      </w:pPr>
      <w:r>
        <w:t>Openness and adoption standing</w:t>
      </w:r>
    </w:p>
    <w:p>
      <w:pPr/>
      <w:r>
        <w:t>The primary publication or repository was publicly readable at the stated inspection depth. Applicable source licenses and notices still govern reuse, and no patent or redistribution clearance is inferred. This increment does not assign a new DISR, DoD, IC or NATO adoption status; the authoritative export and prior evidence remain unchanged.</w:t>
      </w:r>
    </w:p>
    <w:p>
      <w:pPr>
        <w:pStyle w:val="Heading2"/>
      </w:pPr>
      <w:r>
        <w:t>S128  |  PROV-DM: The PROV Data Model</w:t>
      </w:r>
    </w:p>
    <w:p>
      <w:pPr>
        <w:pStyle w:val="Small"/>
      </w:pPr>
      <w:r>
        <w:t>W3C. Recommendation; 2013-04-30. Checked22 October 2026.</w:t>
      </w:r>
    </w:p>
    <w:p>
      <w:pPr>
        <w:pStyle w:val="Small"/>
      </w:pPr>
      <w:r>
        <w:t>https://www.w3.org/TR/2013/REC-prov-dm-20130430/</w:t>
      </w:r>
    </w:p>
    <w:p>
      <w:pPr>
        <w:pStyle w:val="Heading3"/>
      </w:pPr>
      <w:r>
        <w:t>Purpose, source meaning and applicability</w:t>
      </w:r>
    </w:p>
    <w:p>
      <w:pPr/>
      <w:r>
        <w:t>PROV distinguishes produced information from the activity producing it. Collection membership does not establish that a member was used in an analysis. Select as the principal residual-lineage donor; compare to R11 rather than replacing the whole physical-system model. The selected role is select for bounded follow-on binding.</w:t>
      </w:r>
    </w:p>
    <w:p>
      <w:pPr>
        <w:pStyle w:val="Heading3"/>
      </w:pPr>
      <w:r>
        <w:t>Evidence examined and source boundary</w:t>
      </w:r>
    </w:p>
    <w:p>
      <w:pPr/>
      <w:r>
        <w:t>§§1.1, 5.1–5.3, 5.5–5.6 and 7; entity/activity, use, generation, derivation, revision, responsibility and membership. PROV does not define radiation truth, evidence sufficiency, passage identity or a case-management workflow. This record does not imply a complete implementation or an exhaustive review of the source family.</w:t>
      </w:r>
    </w:p>
    <w:p>
      <w:pPr>
        <w:pStyle w:val="Heading3"/>
      </w:pPr>
      <w:r>
        <w:t>Implementation target and assessment</w:t>
      </w:r>
    </w:p>
    <w:p>
      <w:pPr/>
      <w:r>
        <w:t>A small, separately identified provenance representation for source-supported dependencies. Apply the selected relation definitions and PROV-CONSTRAINTS; mappings into non-PROV JSON remain authored translations. Test direction, entity/activity typing, stable version targets, unsupported inferences and generation/use consistency.</w:t>
      </w:r>
    </w:p>
    <w:p>
      <w:pPr>
        <w:pStyle w:val="Heading3"/>
      </w:pPr>
      <w:r>
        <w:t>Openness and adoption standing</w:t>
      </w:r>
    </w:p>
    <w:p>
      <w:pPr/>
      <w:r>
        <w:t>The primary publication or repository was publicly readable at the stated inspection depth. Applicable source licenses and notices still govern reuse, and no patent or redistribution clearance is inferred. This increment does not assign a new DISR, DoD, IC or NATO adoption status; the authoritative export and prior evidence remain unchanged.</w:t>
      </w:r>
    </w:p>
    <w:p>
      <w:pPr>
        <w:pStyle w:val="Heading2"/>
      </w:pPr>
      <w:r>
        <w:t>S129  |  PROV-O: The PROV Ontology</w:t>
      </w:r>
    </w:p>
    <w:p>
      <w:pPr>
        <w:pStyle w:val="Small"/>
      </w:pPr>
      <w:r>
        <w:t>W3C. Recommendation; 2013-04-30. Checked22 October 2026.</w:t>
      </w:r>
    </w:p>
    <w:p>
      <w:pPr>
        <w:pStyle w:val="Small"/>
      </w:pPr>
      <w:r>
        <w:t>https://www.w3.org/TR/2013/REC-prov-o-20130430/</w:t>
      </w:r>
    </w:p>
    <w:p>
      <w:pPr>
        <w:pStyle w:val="Heading3"/>
      </w:pPr>
      <w:r>
        <w:t>Purpose, source meaning and applicability</w:t>
      </w:r>
    </w:p>
    <w:p>
      <w:pPr/>
      <w:r>
        <w:t>PROV-O gives a standard representation for selected provenance statements rather than a newly authored MERLIN relation vocabulary. Use a small optional RDF design specimen to test the relationship distinctions; no triple store or SPARQL endpoint is required by this proposal. The selected role is candidate native encoding.</w:t>
      </w:r>
    </w:p>
    <w:p>
      <w:pPr>
        <w:pStyle w:val="Heading3"/>
      </w:pPr>
      <w:r>
        <w:t>Evidence examined and source boundary</w:t>
      </w:r>
    </w:p>
    <w:p>
      <w:pPr/>
      <w:r>
        <w:t>§1.1, §§3–4; Entity, Activity, Collection, Plan, used, wasGeneratedBy, wasDerivedFrom, wasRevisionOf, qualifiedAssociation and hadPlan. Turtle parsing and the local assertions in this package do not constitute complete OWL or PROV constraint validation. This record does not imply a complete implementation or an exhaustive review of the source family.</w:t>
      </w:r>
    </w:p>
    <w:p>
      <w:pPr>
        <w:pStyle w:val="Heading3"/>
      </w:pPr>
      <w:r>
        <w:t>Implementation target and assessment</w:t>
      </w:r>
    </w:p>
    <w:p>
      <w:pPr/>
      <w:r>
        <w:t>Candidate provenance document, not a new CSAPI endpoint or mandatory MPSS component. Normative PROV-O §§1.1–1.2, 3–4 and Appendix B; PROV-DM semantics; assess relevant PROV-CONSTRAINTS separately. Parse selected triples and check types/directions; later validate formal constraints before claiming full PROV conformance.</w:t>
      </w:r>
    </w:p>
    <w:p>
      <w:pPr>
        <w:pStyle w:val="Heading3"/>
      </w:pPr>
      <w:r>
        <w:t>Openness and adoption standing</w:t>
      </w:r>
    </w:p>
    <w:p>
      <w:pPr/>
      <w:r>
        <w:t>The primary publication or repository was publicly readable at the stated inspection depth. Applicable source licenses and notices still govern reuse, and no patent or redistribution clearance is inferred. This increment does not assign a new DISR, DoD, IC or NATO adoption status; the authoritative export and prior evidence remain unchanged.</w:t>
      </w:r>
    </w:p>
    <w:p>
      <w:pPr>
        <w:pStyle w:val="Heading2"/>
      </w:pPr>
      <w:r>
        <w:t>S130  |  Constraints of the PROV Data Model</w:t>
      </w:r>
    </w:p>
    <w:p>
      <w:pPr>
        <w:pStyle w:val="Small"/>
      </w:pPr>
      <w:r>
        <w:t>W3C. Recommendation; 2013-04-30. Checked22 October 2026.</w:t>
      </w:r>
    </w:p>
    <w:p>
      <w:pPr>
        <w:pStyle w:val="Small"/>
      </w:pPr>
      <w:r>
        <w:t>https://www.w3.org/TR/2013/REC-prov-constraints-20130430/</w:t>
      </w:r>
    </w:p>
    <w:p>
      <w:pPr>
        <w:pStyle w:val="Heading3"/>
      </w:pPr>
      <w:r>
        <w:t>Purpose, source meaning and applicability</w:t>
      </w:r>
    </w:p>
    <w:p>
      <w:pPr/>
      <w:r>
        <w:t>Well-formed provenance text and a valid provenance instance are different checks. Define the future validation boundary for any adopted PROV specimen. The selected role is required dependency for future claim.</w:t>
      </w:r>
    </w:p>
    <w:p>
      <w:pPr>
        <w:pStyle w:val="Heading3"/>
      </w:pPr>
      <w:r>
        <w:t>Evidence examined and source boundary</w:t>
      </w:r>
    </w:p>
    <w:p>
      <w:pPr/>
      <w:r>
        <w:t>Validity/conformance framework and constraint families for identifiers, ordering, typing and impossible combinations. No complete inference/normalization engine or full constraint suite was implemented during this mapping study. This record does not imply a complete implementation or an exhaustive review of the source family.</w:t>
      </w:r>
    </w:p>
    <w:p>
      <w:pPr>
        <w:pStyle w:val="Heading3"/>
      </w:pPr>
      <w:r>
        <w:t>Implementation target and assessment</w:t>
      </w:r>
    </w:p>
    <w:p>
      <w:pPr/>
      <w:r>
        <w:t>Provenance validation component, only if PROV exchange is selected. Identify the chosen conformance target and apply required definitions, inferences and constraints rather than checking a few labels. Positive/negative constraint cases including timing and identity; keep local regression checks labeled narrower.</w:t>
      </w:r>
    </w:p>
    <w:p>
      <w:pPr>
        <w:pStyle w:val="Heading3"/>
      </w:pPr>
      <w:r>
        <w:t>Openness and adoption standing</w:t>
      </w:r>
    </w:p>
    <w:p>
      <w:pPr/>
      <w:r>
        <w:t>The primary publication or repository was publicly readable at the stated inspection depth. Applicable source licenses and notices still govern reuse, and no patent or redistribution clearance is inferred. This increment does not assign a new DISR, DoD, IC or NATO adoption status; the authoritative export and prior evidence remain unchanged.</w:t>
      </w:r>
    </w:p>
    <w:p>
      <w:pPr>
        <w:pStyle w:val="Heading2"/>
      </w:pPr>
      <w:r>
        <w:t>S131  |  PROV-AQ: Provenance Access and Query</w:t>
      </w:r>
    </w:p>
    <w:p>
      <w:pPr>
        <w:pStyle w:val="Small"/>
      </w:pPr>
      <w:r>
        <w:t>W3C. Working Group Note; 2013-04-30. Checked22 October 2026.</w:t>
      </w:r>
    </w:p>
    <w:p>
      <w:pPr>
        <w:pStyle w:val="Small"/>
      </w:pPr>
      <w:r>
        <w:t>https://www.w3.org/TR/2013/NOTE-prov-aq-20130430/</w:t>
      </w:r>
    </w:p>
    <w:p>
      <w:pPr>
        <w:pStyle w:val="Heading3"/>
      </w:pPr>
      <w:r>
        <w:t>Purpose, source meaning and applicability</w:t>
      </w:r>
    </w:p>
    <w:p>
      <w:pPr/>
      <w:r>
        <w:t>A provenance document can be discovered by an HTTP link without inventing a provenance endpoint family. Candidate companion-link pattern using the complete extension relation URI and an identified representation/version. The selected role is candidate access pattern.</w:t>
      </w:r>
    </w:p>
    <w:p>
      <w:pPr>
        <w:pStyle w:val="Heading3"/>
      </w:pPr>
      <w:r>
        <w:t>Evidence examined and source boundary</w:t>
      </w:r>
    </w:p>
    <w:p>
      <w:pPr/>
      <w:r>
        <w:t>§§1.2–1.4, 2–3.1; has_provenance link and target/anchor identity. The Note is not a W3C Recommendation. Current server support and MPSS publication requirements remain untested. This record does not imply a complete implementation or an exhaustive review of the source family.</w:t>
      </w:r>
    </w:p>
    <w:p>
      <w:pPr>
        <w:pStyle w:val="Heading3"/>
      </w:pPr>
      <w:r>
        <w:t>Implementation target and assessment</w:t>
      </w:r>
    </w:p>
    <w:p>
      <w:pPr/>
      <w:r>
        <w:t>Producer HTTP metadata and provenance-aware consumer. Apply HTTP Web Linking and the Note’s target/anchor semantics; keep the representation’s existing media-type meaning. Follow link to the correct version’s provenance; reject accidental use of a mutable latest record as an immutable evidence target.</w:t>
      </w:r>
    </w:p>
    <w:p>
      <w:pPr>
        <w:pStyle w:val="Heading3"/>
      </w:pPr>
      <w:r>
        <w:t>Openness and adoption standing</w:t>
      </w:r>
    </w:p>
    <w:p>
      <w:pPr/>
      <w:r>
        <w:t>The primary publication or repository was publicly readable at the stated inspection depth. Applicable source licenses and notices still govern reuse, and no patent or redistribution clearance is inferred. This increment does not assign a new DISR, DoD, IC or NATO adoption status; the authoritative export and prior evidence remain unchanged.</w:t>
      </w:r>
    </w:p>
    <w:p>
      <w:pPr>
        <w:pStyle w:val="Heading2"/>
      </w:pPr>
      <w:r>
        <w:t>S132  |  Semantic Sensor Network Ontology – 2023 Edition</w:t>
      </w:r>
    </w:p>
    <w:p>
      <w:pPr>
        <w:pStyle w:val="Small"/>
      </w:pPr>
      <w:r>
        <w:t>W3C / OGC. Working Draft, 21 October 2026; 2026-10-21. Checked22 October 2026.</w:t>
      </w:r>
    </w:p>
    <w:p>
      <w:pPr>
        <w:pStyle w:val="Small"/>
      </w:pPr>
      <w:r>
        <w:t>https://www.w3.org/TR/2026/WD-vocab-ssn-2023-20261021/</w:t>
      </w:r>
    </w:p>
    <w:p>
      <w:pPr>
        <w:pStyle w:val="Heading3"/>
      </w:pPr>
      <w:r>
        <w:t>Purpose, source meaning and applicability</w:t>
      </w:r>
    </w:p>
    <w:p>
      <w:pPr/>
      <w:r>
        <w:t>The draft expressly aligns observation/actuation/sampling executions with PROV activities and procedures with plans. It also records OMS and CSAPI relationships. Record explicit donor-to-donor alignment; compare the act of observing with the separately versioned record describing it. The selected role is informative alignment comparator.</w:t>
      </w:r>
    </w:p>
    <w:p>
      <w:pPr>
        <w:pStyle w:val="Heading3"/>
      </w:pPr>
      <w:r>
        <w:t>Evidence examined and source boundary</w:t>
      </w:r>
    </w:p>
    <w:p>
      <w:pPr/>
      <w:r>
        <w:t>Collection provisions, OMS extension §6.1, PROV alignment §7.1.4 and CSAPI alignment §7.3.1. Not a Recommendation; no mandatory upgrade of the approved OGC baseline. Keep S99’s 12 October draft as history. Successor dated source to S99, not a replacement of its historical evidence.</w:t>
      </w:r>
    </w:p>
    <w:p>
      <w:pPr>
        <w:pStyle w:val="Heading3"/>
      </w:pPr>
      <w:r>
        <w:t>Implementation target and assessment</w:t>
      </w:r>
    </w:p>
    <w:p>
      <w:pPr/>
      <w:r>
        <w:t>Optional future ontology alignment, not present CSAPI service conformance. Exact dated modules, dependencies and alignment axioms must be selected; do not apply only a convenient class equivalence. Test mixed collection membership and qualified procedure association; avoid typing an information-record entity as the observation act by accident.</w:t>
      </w:r>
    </w:p>
    <w:p>
      <w:pPr>
        <w:pStyle w:val="Heading3"/>
      </w:pPr>
      <w:r>
        <w:t>Openness and adoption standing</w:t>
      </w:r>
    </w:p>
    <w:p>
      <w:pPr/>
      <w:r>
        <w:t>The primary publication or repository was publicly readable at the stated inspection depth. Applicable source licenses and notices still govern reuse, and no patent or redistribution clearance is inferred. This increment does not assign a new DISR, DoD, IC or NATO adoption status; the authoritative export and prior evidence remain unchanged.</w:t>
      </w:r>
    </w:p>
    <w:p>
      <w:pPr>
        <w:pStyle w:val="Heading2"/>
      </w:pPr>
      <w:r>
        <w:t>S133  |  Data Catalog Vocabulary (DCAT) – Version 3</w:t>
      </w:r>
    </w:p>
    <w:p>
      <w:pPr>
        <w:pStyle w:val="Small"/>
      </w:pPr>
      <w:r>
        <w:t>W3C. Recommendation; 2024-08-22. Checked22 October 2026.</w:t>
      </w:r>
    </w:p>
    <w:p>
      <w:pPr>
        <w:pStyle w:val="Small"/>
      </w:pPr>
      <w:r>
        <w:t>https://www.w3.org/TR/vocab-dcat-3/</w:t>
      </w:r>
    </w:p>
    <w:p>
      <w:pPr>
        <w:pStyle w:val="Heading3"/>
      </w:pPr>
      <w:r>
        <w:t>Purpose, source meaning and applicability</w:t>
      </w:r>
    </w:p>
    <w:p>
      <w:pPr/>
      <w:r>
        <w:t>DCAT distinguishes an information resource from its available distributions and access services. Conditional candidate for describing published sensing products and multiple representations. The selected role is defer unless product catalog need is shown.</w:t>
      </w:r>
    </w:p>
    <w:p>
      <w:pPr>
        <w:pStyle w:val="Heading3"/>
      </w:pPr>
      <w:r>
        <w:t>Evidence examined and source boundary</w:t>
      </w:r>
    </w:p>
    <w:p>
      <w:pPr/>
      <w:r>
        <w:t>Dataset/Distribution/DataService, related resources, provenance and version/checksum terms; bounded applicability review. A file is not automatically a dataset, and a catalog vocabulary does not define evidence sufficiency or a screening case. This record does not imply a complete implementation or an exhaustive review of the source family.</w:t>
      </w:r>
    </w:p>
    <w:p>
      <w:pPr>
        <w:pStyle w:val="Heading3"/>
      </w:pPr>
      <w:r>
        <w:t>Implementation target and assessment</w:t>
      </w:r>
    </w:p>
    <w:p>
      <w:pPr/>
      <w:r>
        <w:t>Optional product catalog description, not mandatory CSAPI or artifact wrapper. Select applicable DCAT classes/properties and imported vocabularies before claiming a DCAT profile; define profile-level constraints separately. Check data-versus-distribution identity, access/download link roles, format and version; do not infer equivalence from matching file names.</w:t>
      </w:r>
    </w:p>
    <w:p>
      <w:pPr>
        <w:pStyle w:val="Heading3"/>
      </w:pPr>
      <w:r>
        <w:t>Openness and adoption standing</w:t>
      </w:r>
    </w:p>
    <w:p>
      <w:pPr/>
      <w:r>
        <w:t>The primary publication or repository was publicly readable at the stated inspection depth. Applicable source licenses and notices still govern reuse, and no patent or redistribution clearance is inferred. This increment does not assign a new DISR, DoD, IC or NATO adoption status; the authoritative export and prior evidence remain unchanged.</w:t>
      </w:r>
    </w:p>
    <w:p>
      <w:pPr>
        <w:pStyle w:val="Heading2"/>
      </w:pPr>
      <w:r>
        <w:t>S134  |  Case Management Model and Notation (CMMN)</w:t>
      </w:r>
    </w:p>
    <w:p>
      <w:pPr>
        <w:pStyle w:val="Small"/>
      </w:pPr>
      <w:r>
        <w:t>OMG. 1.1; formal/2016-12-01; 2016-12. Checked22 October 2026.</w:t>
      </w:r>
    </w:p>
    <w:p>
      <w:pPr>
        <w:pStyle w:val="Small"/>
      </w:pPr>
      <w:r>
        <w:t>https://www.omg.org/spec/CMMN/1.1/PDF</w:t>
      </w:r>
    </w:p>
    <w:p>
      <w:pPr>
        <w:pStyle w:val="Heading3"/>
      </w:pPr>
      <w:r>
        <w:t>Purpose, source meaning and applicability</w:t>
      </w:r>
    </w:p>
    <w:p>
      <w:pPr/>
      <w:r>
        <w:t>CMMN provides an information model for a managed case with structured or unstructured information and explicit containment/reference relationships. Conditional research source when an investigation has a lifecycle beyond a recorded command/result. The selected role is defer: not needed to map one returned decision.</w:t>
      </w:r>
    </w:p>
    <w:p>
      <w:pPr>
        <w:pStyle w:val="Heading3"/>
      </w:pPr>
      <w:r>
        <w:t>Evidence examined and source boundary</w:t>
      </w:r>
    </w:p>
    <w:p>
      <w:pPr/>
      <w:r>
        <w:t>§2 conformance; §§5.3.1–5.3.2 CaseFile and CaseFileItem; printed pp.21–22 and Figure 5.5 visually inspected. Borrowing CaseFile ideas is not CMMN implementation. No complete workflow or case engine is selected. This record does not imply a complete implementation or an exhaustive review of the source family.</w:t>
      </w:r>
    </w:p>
    <w:p>
      <w:pPr>
        <w:pStyle w:val="Heading3"/>
      </w:pPr>
      <w:r>
        <w:t>Implementation target and assessment</w:t>
      </w:r>
    </w:p>
    <w:p>
      <w:pPr/>
      <w:r>
        <w:t>Future case modeling tool or companion service only if required. Choose the relevant §2 conformance point and associated metamodel/notation requirements; a generic evidence list does not satisfy it. Case identity, lifecycle and information-item relations would need actual CMMN exchange/model tests.</w:t>
      </w:r>
    </w:p>
    <w:p>
      <w:pPr>
        <w:pStyle w:val="Heading3"/>
      </w:pPr>
      <w:r>
        <w:t>Openness and adoption standing</w:t>
      </w:r>
    </w:p>
    <w:p>
      <w:pPr/>
      <w:r>
        <w:t>The primary publication or repository was publicly readable at the stated inspection depth. Applicable source licenses and notices still govern reuse, and no patent or redistribution clearance is inferred. This increment does not assign a new DISR, DoD, IC or NATO adoption status; the authoritative export and prior evidence remain unchanged.</w:t>
      </w:r>
    </w:p>
    <w:p>
      <w:pPr>
        <w:pStyle w:val="Heading2"/>
      </w:pPr>
      <w:r>
        <w:t>S135  |  OGC API – Processes – Part 1: Core</w:t>
      </w:r>
    </w:p>
    <w:p>
      <w:pPr>
        <w:pStyle w:val="Small"/>
      </w:pPr>
      <w:r>
        <w:t>OGC. 1.0.0; OGC 18-062r2; 2021. Checked22 October 2026.</w:t>
      </w:r>
    </w:p>
    <w:p>
      <w:pPr>
        <w:pStyle w:val="Small"/>
      </w:pPr>
      <w:r>
        <w:t>https://docs.ogc.org/is/18-062r2/18-062r2.html</w:t>
      </w:r>
    </w:p>
    <w:p>
      <w:pPr>
        <w:pStyle w:val="Heading3"/>
      </w:pPr>
      <w:r>
        <w:t>Purpose, source meaning and applicability</w:t>
      </w:r>
    </w:p>
    <w:p>
      <w:pPr/>
      <w:r>
        <w:t>Processes provides a standardized execution/job API for analyses managed as separate processing services. Compare only where a CSAPI command/result is insufficient for the actual execution-management requirement. The selected role is defer: existing command/result first.</w:t>
      </w:r>
    </w:p>
    <w:p>
      <w:pPr>
        <w:pStyle w:val="Heading3"/>
      </w:pPr>
      <w:r>
        <w:t>Evidence examined and source boundary</w:t>
      </w:r>
    </w:p>
    <w:p>
      <w:pPr/>
      <w:r>
        <w:t>Process description, execute, jobs, status and results provisions; applicability rather than service validation. Not required merely because OSCAR calls WebID or Cambio. No Processes service or latest-edition claim. This record does not imply a complete implementation or an exhaustive review of the source family.</w:t>
      </w:r>
    </w:p>
    <w:p>
      <w:pPr>
        <w:pStyle w:val="Heading3"/>
      </w:pPr>
      <w:r>
        <w:t>Implementation target and assessment</w:t>
      </w:r>
    </w:p>
    <w:p>
      <w:pPr/>
      <w:r>
        <w:t>Optional external processing service. If selected, declare exact Part1 requirements classes and dependencies for process description/execution/jobs/results and use corresponding Annex A tests. Submit, monitor and retrieve a chosen job with exact inputs/outputs; no such live service test was run here.</w:t>
      </w:r>
    </w:p>
    <w:p>
      <w:pPr>
        <w:pStyle w:val="Heading3"/>
      </w:pPr>
      <w:r>
        <w:t>Openness and adoption standing</w:t>
      </w:r>
    </w:p>
    <w:p>
      <w:pPr/>
      <w:r>
        <w:t>The primary publication or repository was publicly readable at the stated inspection depth. Applicable source licenses and notices still govern reuse, and no patent or redistribution clearance is inferred. This increment does not assign a new DISR, DoD, IC or NATO adoption status; the authoritative export and prior evidence remain unchanged.</w:t>
      </w:r>
    </w:p>
    <w:p>
      <w:pPr>
        <w:pStyle w:val="Heading2"/>
      </w:pPr>
      <w:r>
        <w:t>S136  |  Detection at State Borders of Nuclear and Other Radioactive Material out of Regulatory Control</w:t>
      </w:r>
    </w:p>
    <w:p>
      <w:pPr>
        <w:pStyle w:val="Small"/>
      </w:pPr>
      <w:r>
        <w:t>IAEA. Nuclear Security Series No.44-T; 2023. Checked22 October 2026.</w:t>
      </w:r>
    </w:p>
    <w:p>
      <w:pPr>
        <w:pStyle w:val="Small"/>
      </w:pPr>
      <w:r>
        <w:t>https://nucleus.iaea.org/sites/nss-oui/Published%20Collections/m_9c5cd7cc-4f40-427c-87c9-c81e6fb0acb3/m_9c5cd7cc-4f40-427c-87c9-c81e6fb0acb3__3_0.Html</w:t>
      </w:r>
    </w:p>
    <w:p>
      <w:pPr>
        <w:pStyle w:val="Heading3"/>
      </w:pPr>
      <w:r>
        <w:t>Purpose, source meaning and applicability</w:t>
      </w:r>
    </w:p>
    <w:p>
      <w:pPr/>
      <w:r>
        <w:t>Domain guidance distinguishes detection equipment and alarm response from continuing human assessment and inspection. Use to frame information requirements, not to manufacture a machine schema or universal decision classification. The selected role is domain context only.</w:t>
      </w:r>
    </w:p>
    <w:p>
      <w:pPr>
        <w:pStyle w:val="Heading3"/>
      </w:pPr>
      <w:r>
        <w:t>Evidence examined and source boundary</w:t>
      </w:r>
    </w:p>
    <w:p>
      <w:pPr/>
      <w:r>
        <w:t>Official publication description and operational framing of border detection, equipment, responsibility and secondary inspection. No comprehensive clause-level implementation assessment, operational certification or legal guidance. This record does not imply a complete implementation or an exhaustive review of the source family.</w:t>
      </w:r>
    </w:p>
    <w:p>
      <w:pPr>
        <w:pStyle w:val="Heading3"/>
      </w:pPr>
      <w:r>
        <w:t>Implementation target and assessment</w:t>
      </w:r>
    </w:p>
    <w:p>
      <w:pPr/>
      <w:r>
        <w:t>Research requirements vocabulary and later domain-expert review. Guidance reuse must be attributed; no IAEA software conformance claim follows. Validate proposed information requirements against actual domain workflows and exact guidance before adoption.</w:t>
      </w:r>
    </w:p>
    <w:p>
      <w:pPr>
        <w:pStyle w:val="Heading3"/>
      </w:pPr>
      <w:r>
        <w:t>Openness and adoption standing</w:t>
      </w:r>
    </w:p>
    <w:p>
      <w:pPr/>
      <w:r>
        <w:t>The primary publication or repository was publicly readable at the stated inspection depth. Applicable source licenses and notices still govern reuse, and no patent or redistribution clearance is inferred. This increment does not assign a new DISR, DoD, IC or NATO adoption status; the authoritative export and prior evidence remain unchanged.</w:t>
      </w:r>
    </w:p>
    <w:p>
      <w:pPr>
        <w:pStyle w:val="Heading2"/>
      </w:pPr>
      <w:r>
        <w:t>S137  |  Documentary Standards: IEC 62755 Standard (N42 Data Format)</w:t>
      </w:r>
    </w:p>
    <w:p>
      <w:pPr>
        <w:pStyle w:val="Small"/>
      </w:pPr>
      <w:r>
        <w:t>NIST / IEC. IEC 62755:2012 with 2020 amendment identified; 2012 / 2020. Checked22 October 2026.</w:t>
      </w:r>
    </w:p>
    <w:p>
      <w:pPr>
        <w:pStyle w:val="Small"/>
      </w:pPr>
      <w:r>
        <w:t>https://www.nist.gov/programs-projects/documentary-standards-iec-62755-standard-n42-data-format</w:t>
      </w:r>
    </w:p>
    <w:p>
      <w:pPr>
        <w:pStyle w:val="Heading3"/>
      </w:pPr>
      <w:r>
        <w:t>Purpose, source meaning and applicability</w:t>
      </w:r>
    </w:p>
    <w:p>
      <w:pPr/>
      <w:r>
        <w:t>The overview establishes a real standards lineage around radiation-instrument exchange rather than an invented application format. Record relationship with N42 and verify edition-specific requirements before asserting equivalence. The selected role is context / normative access gated.</w:t>
      </w:r>
    </w:p>
    <w:p>
      <w:pPr>
        <w:pStyle w:val="Heading3"/>
      </w:pPr>
      <w:r>
        <w:t>Evidence examined and source boundary</w:t>
      </w:r>
    </w:p>
    <w:p>
      <w:pPr/>
      <w:r>
        <w:t>Official overview, purpose and artifact links; full IEC normative text not inspected. No automatic interchangeability, native conformance or shared schema-byte assertion. This record does not imply a complete implementation or an exhaustive review of the source family.</w:t>
      </w:r>
    </w:p>
    <w:p>
      <w:pPr>
        <w:pStyle w:val="Heading3"/>
      </w:pPr>
      <w:r>
        <w:t>Implementation target and assessment</w:t>
      </w:r>
    </w:p>
    <w:p>
      <w:pPr/>
      <w:r>
        <w:t>Potential IEC source mapping when an actual donor claims this edition. Exact IEC edition/amendment and normative artifacts required; access gate remains. Future native validation and semantics comparison; not completed.</w:t>
      </w:r>
    </w:p>
    <w:p>
      <w:pPr>
        <w:pStyle w:val="Heading3"/>
      </w:pPr>
      <w:r>
        <w:t>Openness and adoption standing</w:t>
      </w:r>
    </w:p>
    <w:p>
      <w:pPr/>
      <w:r>
        <w:t>The primary publication or repository was publicly readable at the stated inspection depth. Applicable source licenses and notices still govern reuse, and no patent or redistribution clearance is inferred. This increment does not assign a new DISR, DoD, IC or NATO adoption status; the authoritative export and prior evidence remain unchanged.</w:t>
      </w:r>
    </w:p>
    <w:p>
      <w:pPr>
        <w:pStyle w:val="Heading2"/>
      </w:pPr>
      <w:r>
        <w:t>S138  |  OSCAR viewer – pinned discovery and stream interpretation implementation</w:t>
      </w:r>
    </w:p>
    <w:p>
      <w:pPr>
        <w:pStyle w:val="Small"/>
      </w:pPr>
      <w:r>
        <w:t>Botts Innovative Research contributors. 4b49c7cedc841c875dbb63613dfd21c34b8fa6ed; Pinned OSCAR 3.9.0 review baseline. Checked22 October 2026.</w:t>
      </w:r>
    </w:p>
    <w:p>
      <w:pPr>
        <w:pStyle w:val="Small"/>
      </w:pPr>
      <w:r>
        <w:t>https://github.com/Botts-Innovative-Research/oscar-viewer/tree/4b49c7cedc841c875dbb63613dfd21c34b8fa6ed</w:t>
      </w:r>
    </w:p>
    <w:p>
      <w:pPr>
        <w:pStyle w:val="Heading3"/>
      </w:pPr>
      <w:r>
        <w:t>Purpose, source meaning and applicability</w:t>
      </w:r>
    </w:p>
    <w:p>
      <w:pPr/>
      <w:r>
        <w:t>The viewer uses both semantic property definitions and application conventions, including lane UID parsing and bucket URL construction. Donor implementation evidence for a competent generic baseline and explicit relationship/access mapping. The selected role is reuse implementation evidence.</w:t>
      </w:r>
    </w:p>
    <w:p>
      <w:pPr>
        <w:pStyle w:val="Heading3"/>
      </w:pPr>
      <w:r>
        <w:t>Evidence examined and source boundary</w:t>
      </w:r>
    </w:p>
    <w:p>
      <w:pPr/>
      <w:r>
        <w:t>Node.ts, Constants.tsx, Utilities.ts and HLSVideoComponent.tsx selected paths. No full repository audit, runtime reproduction or assertion that every application convention is nonconformant. This record does not imply a complete implementation or an exhaustive review of the source family.</w:t>
      </w:r>
    </w:p>
    <w:p>
      <w:pPr>
        <w:pStyle w:val="Heading3"/>
      </w:pPr>
      <w:r>
        <w:t>Implementation target and assessment</w:t>
      </w:r>
    </w:p>
    <w:p>
      <w:pPr/>
      <w:r>
        <w:t>OSCAR adapter and independent client comparison. Mapping authored against the pinned source; base CSAPI requirements remain distinct from OSCAR convention compatibility. Opaque identifiers, unchanged reference semantics, explicit URI resolution, unknown-property fallback.</w:t>
      </w:r>
    </w:p>
    <w:p>
      <w:pPr>
        <w:pStyle w:val="Heading3"/>
      </w:pPr>
      <w:r>
        <w:t>Openness and adoption standing</w:t>
      </w:r>
    </w:p>
    <w:p>
      <w:pPr/>
      <w:r>
        <w:t>The primary publication or repository was publicly readable at the stated inspection depth. Applicable source licenses and notices still govern reuse, and no patent or redistribution clearance is inferred. This increment does not assign a new DISR, DoD, IC or NATO adoption status; the authoritative export and prior evidence remain unchanged.</w:t>
      </w:r>
    </w:p>
    <w:p>
      <w:pPr>
        <w:pStyle w:val="Heading2"/>
      </w:pPr>
      <w:r>
        <w:t>S139  |  OSCAR server modules and bundled N42 artifacts – pinned implementation</w:t>
      </w:r>
    </w:p>
    <w:p>
      <w:pPr>
        <w:pStyle w:val="Small"/>
      </w:pPr>
      <w:r>
        <w:t>Botts Innovative Research contributors. 817f408a017302387f4f427b9b7f8ec5bcb62c70; Pinned OSCAR 3.9.0 review baseline. Checked22 October 2026.</w:t>
      </w:r>
    </w:p>
    <w:p>
      <w:pPr>
        <w:pStyle w:val="Small"/>
      </w:pPr>
      <w:r>
        <w:t>https://github.com/Botts-Innovative-Research/osh-oakridge-modules/tree/817f408a017302387f4f427b9b7f8ec5bcb62c70</w:t>
      </w:r>
    </w:p>
    <w:p>
      <w:pPr>
        <w:pStyle w:val="Heading3"/>
      </w:pPr>
      <w:r>
        <w:t>Purpose, source meaning and applicability</w:t>
      </w:r>
    </w:p>
    <w:p>
      <w:pPr/>
      <w:r>
        <w:t>The source identifies occupancy record fields and distinct command, observation and media associations. Bundled N42 examples independently exhibit measurement grouping and analysis-input references. Primary source-contract mapping and separate donor-example fact extraction. The selected role is reuse implementation / example evidence.</w:t>
      </w:r>
    </w:p>
    <w:p>
      <w:pPr>
        <w:pStyle w:val="Heading3"/>
      </w:pPr>
      <w:r>
        <w:t>Evidence examined and source boundary</w:t>
      </w:r>
    </w:p>
    <w:p>
      <w:pPr/>
      <w:r>
        <w:t>LaneSystem, OccupancyOutput, RADHelper, WebIdAnalyzer, AdjudicationControl, HLSControl; selected Annex D/E N42 and Schematron references. No live source instance supplied. Synthetic walkthrough values are not captured OSCAR data; Annex D/E are historical examples, not the same runtime event. This record does not imply a complete implementation or an exhaustive review of the source family.</w:t>
      </w:r>
    </w:p>
    <w:p>
      <w:pPr>
        <w:pStyle w:val="Heading3"/>
      </w:pPr>
      <w:r>
        <w:t>Implementation target and assessment</w:t>
      </w:r>
    </w:p>
    <w:p>
      <w:pPr/>
      <w:r>
        <w:t>Authored mapping specimen and later native adapter. Preserve field meanings, source scopes, XML editions and actual target types. Do not manufacture unit, algorithm-version or physical-containment evidence. Every inspected field receives a disposition; IDs remain scoped; non-inference checks separate membership, use and derivation.</w:t>
      </w:r>
    </w:p>
    <w:p>
      <w:pPr>
        <w:pStyle w:val="Heading3"/>
      </w:pPr>
      <w:r>
        <w:t>Openness and adoption standing</w:t>
      </w:r>
    </w:p>
    <w:p>
      <w:pPr/>
      <w:r>
        <w:t>The primary publication or repository was publicly readable at the stated inspection depth. Applicable source licenses and notices still govern reuse, and no patent or redistribution clearance is inferred. This increment does not assign a new DISR, DoD, IC or NATO adoption status; the authoritative export and prior evidence remain unchanged.</w:t>
      </w:r>
    </w:p>
    <w:p>
      <w:pPr>
        <w:pStyle w:val="Heading2"/>
      </w:pPr>
      <w:r>
        <w:t>S140  |  OSCAR build-node and System Documentation Manual 3.5 – pinned bundle</w:t>
      </w:r>
    </w:p>
    <w:p>
      <w:pPr>
        <w:pStyle w:val="Small"/>
      </w:pPr>
      <w:r>
        <w:t>Botts Innovative Research contributors. ab8b847b662152bd949157197182bfdf8c429d21; Pinned build review, manual labeled3.5. Checked22 October 2026.</w:t>
      </w:r>
    </w:p>
    <w:p>
      <w:pPr>
        <w:pStyle w:val="Small"/>
      </w:pPr>
      <w:r>
        <w:t>https://github.com/Botts-Innovative-Research/osh-oakridge-buildnode/tree/ab8b847b662152bd949157197182bfdf8c429d21</w:t>
      </w:r>
    </w:p>
    <w:p>
      <w:pPr>
        <w:pStyle w:val="Heading3"/>
      </w:pPr>
      <w:r>
        <w:t>Purpose, source meaning and applicability</w:t>
      </w:r>
    </w:p>
    <w:p>
      <w:pPr/>
      <w:r>
        <w:t>The documentation describes a complete application workflow and companion services, not solely a sensor metadata API. Bound the worked case and distinguish information requirements from software implementation responsibilities. The selected role is reuse operational context.</w:t>
      </w:r>
    </w:p>
    <w:p>
      <w:pPr>
        <w:pStyle w:val="Heading3"/>
      </w:pPr>
      <w:r>
        <w:t>Evidence examined and source boundary</w:t>
      </w:r>
    </w:p>
    <w:p>
      <w:pPr/>
      <w:r>
        <w:t>README and manual §§6–8: lane families, event/evidence/adjudication flow, files, reports and offline behavior. Manual 3.5 inside the inspected newer build is not proof that all described behavior was executed or unchanged. This record does not imply a complete implementation or an exhaustive review of the source family.</w:t>
      </w:r>
    </w:p>
    <w:p>
      <w:pPr>
        <w:pStyle w:val="Heading3"/>
      </w:pPr>
      <w:r>
        <w:t>Implementation target and assessment</w:t>
      </w:r>
    </w:p>
    <w:p>
      <w:pPr/>
      <w:r>
        <w:t>Research workflow trace and source-specific interface documentation. No conformance class is defined by this manual; compare each claimed standards use with the governing source. Future runtime trace must verify selected documentation against actual deployed build without conflating old manual version.</w:t>
      </w:r>
    </w:p>
    <w:p>
      <w:pPr>
        <w:pStyle w:val="Heading3"/>
      </w:pPr>
      <w:r>
        <w:t>Openness and adoption standing</w:t>
      </w:r>
    </w:p>
    <w:p>
      <w:pPr/>
      <w:r>
        <w:t>The primary publication or repository was publicly readable at the stated inspection depth. Applicable source licenses and notices still govern reuse, and no patent or redistribution clearance is inferred. This increment does not assign a new DISR, DoD, IC or NATO adoption status; the authoritative export and prior evidence remain unchanged.</w:t>
      </w:r>
    </w:p>
    <w:p>
      <w:pPr>
        <w:pStyle w:val="Heading1"/>
        <w:keepNext/>
        <w:pageBreakBefore/>
        <w:widowControl/>
      </w:pPr>
      <w:r>
        <w:t>4. Project provenance and supplemental references</w:t>
      </w:r>
    </w:p>
    <w:p>
      <w:pPr>
        <w:pStyle w:val="SupplementNote"/>
        <w:keepNext/>
        <w:widowControl/>
      </w:pPr>
      <w:r>
        <w:t>Historical source-study provenance retained below. Current applied status is recorded in the opening reconciliation note, the new §4.2, and the workbook; a historical recommendation is not silently an unapproved change today.</w:t>
      </w:r>
    </w:p>
    <w:p>
      <w:pPr>
        <w:pStyle w:val="Heading2"/>
        <w:keepNext/>
        <w:widowControl/>
      </w:pPr>
      <w:r>
        <w:t>4.1 Later study and decision-support artifacts</w:t>
      </w:r>
    </w:p>
    <w:p>
      <w:pPr>
        <w:widowControl/>
      </w:pPr>
      <w:r>
        <w:t>Power Source research (14 October 2026): MERLIN_Power_Source_Domain_Model_and_Main_Profile_Binding_Recommendation_v0.1_14OCT2026.docx; 27 pages. Source for the proposed RFC 7326/RFC 7577 composition, OGC power-group revisions, estimate distinctions and SystemEvent recommendation; not an approved v0.4 schema.</w:t>
      </w:r>
    </w:p>
    <w:p>
      <w:pPr>
        <w:widowControl/>
      </w:pPr>
      <w:r>
        <w:t>U.S. Army ISA Phase 2 (14 October 2026): ISA_Phase2_Report.docx, ISA_Phase2_MainChat_Memo.docx and ISA_Phase2_Crosswalk.xlsx, with all eleven ISA 6.0 Distribution A PDFs provided in the study packet. Source for seven tested semantic concepts, two corrected Phase 1 readings and narrower accepted reuse recommendations.</w:t>
      </w:r>
    </w:p>
    <w:p>
      <w:pPr>
        <w:widowControl/>
      </w:pPr>
      <w:r>
        <w:t>IEEE 1451/TEDS Pass 1A (14 October 2026): MERLIN_IEEE1451_TEDS_Public_Source_Technical_Reconstruction_v0.1_14OCT2026.docx; 20 pages. Public technical reconstruction covering current IEEE 1451.0-2024 TEDS candidates and historical 2010 editions; full licensed normative text remains unavailable and field-specific dependencies are deferred.</w:t>
      </w:r>
    </w:p>
    <w:p>
      <w:pPr>
        <w:widowControl/>
      </w:pPr>
      <w:r>
        <w:t>Foundational semantics (14 October 2026): MERLIN_Foundational_Semantics_Review_COMPLETE_v1.0_14OCT2026.zip, containing academic assessment A, R01–R20 crosswalk B, main-profile memo C, source/evidence/decision register D. Its S01–S22 local source IDs are not global bibliography IDs; all publication matches were deduplicated before assigning S53–S109.</w:t>
      </w:r>
    </w:p>
    <w:p>
      <w:pPr>
        <w:widowControl/>
      </w:pPr>
      <w:r>
        <w:t>Companion main-profile artifacts: MERLIN_Managed_Physical_Sensing_Systems_Profile_Scope_and_Content_Outline_v0.3.1_14OCT2026.docx; MERLIN_Profile_Standards_Pedigree_and_Design_Rationale_Primer_v0.1_14OCT2026.docx; main-profile continuity PITON v3.0. These are project decision and design records, not external verification of source requirements.</w:t>
      </w:r>
    </w:p>
    <w:p>
      <w:pPr>
        <w:pStyle w:val="Small"/>
        <w:widowControl/>
      </w:pPr>
      <w:r>
        <w:t>The following project citations establish scope and provenance rather than independent standardization authority. No DISR or NATO implementation adoption is claimed for the research papers, requirements drafts, guides, or handoffs themselves, and no change request is recommended merely to register those working artifacts. Standards and governance sources receive individual assessments above; supplemental catalog evidence below is bounded to its displayed historical state.</w:t>
      </w:r>
    </w:p>
    <w:p>
      <w:pPr>
        <w:pStyle w:val="Reference"/>
        <w:keepNext/>
        <w:widowControl/>
      </w:pPr>
      <w:r>
        <w:t xml:space="preserve">Domain Information Models and CSAPI Integration: A Deliberate Research Reset for MERLIN. 2026. </w:t>
      </w:r>
      <w:r>
        <w:rPr>
          <w:i/>
        </w:rPr>
        <w:t>PITON continuity handoff, October 11</w:t>
      </w:r>
      <w:r>
        <w:t>. User-supplied project document. Recovery ID: P00.</w:t>
      </w:r>
    </w:p>
    <w:p>
      <w:pPr>
        <w:pStyle w:val="Reference"/>
        <w:keepNext/>
        <w:widowControl/>
      </w:pPr>
      <w:r>
        <w:t xml:space="preserve">MERLIN Power-Source Standards and Binding Decision Sheet. 2026. </w:t>
      </w:r>
      <w:r>
        <w:rPr>
          <w:i/>
        </w:rPr>
        <w:t>Version 0.1, October 10</w:t>
      </w:r>
      <w:r>
        <w:t>. Pages 1–4 inspected; sibling proposal, not accepted architecture. Recovery ID: L13.</w:t>
      </w:r>
    </w:p>
    <w:p>
      <w:pPr>
        <w:pStyle w:val="Reference"/>
        <w:keepNext/>
        <w:widowControl/>
      </w:pPr>
      <w:r>
        <w:t xml:space="preserve">MERLIN Resource Details Requirements. 2026. </w:t>
      </w:r>
      <w:r>
        <w:rPr>
          <w:i/>
        </w:rPr>
        <w:t>Version 0.8, October 8, amended October 9</w:t>
      </w:r>
      <w:r>
        <w:t>. Opening purpose and scope inspected. Recovery ID: L3.</w:t>
      </w:r>
    </w:p>
    <w:p>
      <w:pPr>
        <w:pStyle w:val="Reference"/>
        <w:keepNext/>
        <w:widowControl/>
      </w:pPr>
      <w:r>
        <w:t xml:space="preserve">MERLIN Resource Details Research Paper. 2026. </w:t>
      </w:r>
      <w:r>
        <w:rPr>
          <w:i/>
        </w:rPr>
        <w:t>Version 0.15, October 9</w:t>
      </w:r>
      <w:r>
        <w:t>. Selected abstract and appendix passages inspected. Recovery ID: L2.</w:t>
      </w:r>
    </w:p>
    <w:p>
      <w:pPr>
        <w:pStyle w:val="Reference"/>
        <w:keepNext/>
        <w:widowControl/>
      </w:pPr>
      <w:r>
        <w:t xml:space="preserve">MERLIN Semantic Presentation and Interaction Guide. 2026. </w:t>
      </w:r>
      <w:r>
        <w:rPr>
          <w:i/>
        </w:rPr>
        <w:t>Draft version 0.5, October 8</w:t>
      </w:r>
      <w:r>
        <w:t>. Pages 1–5 inspected. Recovery ID: L4.</w:t>
      </w:r>
    </w:p>
    <w:p>
      <w:pPr>
        <w:pStyle w:val="Reference"/>
        <w:keepNext/>
        <w:widowControl/>
      </w:pPr>
      <w:r>
        <w:t xml:space="preserve">MERLIN System Details Working Views. 2026. </w:t>
      </w:r>
      <w:r>
        <w:rPr>
          <w:i/>
        </w:rPr>
        <w:t>Working packet, October 10</w:t>
      </w:r>
      <w:r>
        <w:t>. Selected passages and pp. 47–48 inspected. Recovery ID: L1.</w:t>
      </w:r>
    </w:p>
    <w:p>
      <w:pPr>
        <w:pStyle w:val="Reference"/>
        <w:keepNext/>
        <w:widowControl/>
      </w:pPr>
      <w:r>
        <w:t xml:space="preserve">Profiling Research Annotated Bibliography. 2026. </w:t>
      </w:r>
      <w:r>
        <w:rPr>
          <w:i/>
        </w:rPr>
        <w:t>Version 0.1, October 3</w:t>
      </w:r>
      <w:r>
        <w:t>. Selected entries and SIF-SP deferral inspected. Recovery ID: L14b.</w:t>
      </w:r>
    </w:p>
    <w:p>
      <w:pPr>
        <w:pStyle w:val="Reference"/>
        <w:keepNext/>
        <w:widowControl/>
      </w:pPr>
      <w:r>
        <w:t>“Joint C3 Information Exchange Data Model (JC3IEDM): STANAG 5525 Edition 1.” n.d. NISP public catalog, last updated April 12, 2024. Accessed October 12, 2026. https://nisp.nw3.dk/standard/nato-stanag5525ed1.html</w:t>
      </w:r>
    </w:p>
    <w:p>
      <w:pPr>
        <w:widowControl/>
      </w:pPr>
      <w:r>
        <w:t>The catalog identifies the land-operational C2 audience and related profiles; it is supplemental evidence for S19, S26, and S27, not an inspected MIM release or a current 2026 adoption decision. Its own status is catalog evidence, not a new technical standard. No separate DISR or NATO submission is recommended for the webpage; the underlying STANAG has the exact status assessment stated in those entries.</w:t>
      </w:r>
    </w:p>
    <w:p>
      <w:pPr>
        <w:pStyle w:val="Reference"/>
        <w:keepNext/>
        <w:widowControl/>
      </w:pPr>
      <w:r>
        <w:t>Bolling, Sam. 2026. “Domain Information Model Research.” Project research directions, October 12. Clarifications on the authoritative DISR baseline, implementation meaning and keeping the work centered on comparative literature rather than compliance testing. MERLIN CSAPI PBIs project conversation.</w:t>
      </w:r>
    </w:p>
    <w:p>
      <w:pPr>
        <w:pStyle w:val="Reference"/>
        <w:keepNext/>
        <w:widowControl/>
      </w:pPr>
      <w:r>
        <w:t>Open Geospatial Consortium. n.d. “Sensor Model Language (SensorML).” Standards catalogue. Accessed October 12, 2026. https://www.ogc.org/standards/sensorml/. Used to verify publication categories and conduct a bounded successor-profile check, not prove that no successor exists.</w:t>
      </w:r>
    </w:p>
    <w:p>
      <w:pPr>
        <w:pStyle w:val="Reference"/>
        <w:keepNext/>
        <w:widowControl/>
      </w:pPr>
      <w:r>
        <w:t xml:space="preserve">Open Geospatial Consortium. 2025c. </w:t>
      </w:r>
      <w:r>
        <w:rPr>
          <w:i/>
        </w:rPr>
        <w:t>Supporting official schema: sensorML/3.0/json/DescribedObject.json</w:t>
      </w:r>
      <w:r>
        <w:t>. Inspected October 12, 2026. https://schemas.opengis.net/sensorML/3.0/json/DescribedObject.json. Referenced with S01; schema text inspected but complete dependency graph not validated.</w:t>
      </w:r>
    </w:p>
    <w:p>
      <w:pPr>
        <w:pStyle w:val="Reference"/>
        <w:keepNext/>
        <w:widowControl/>
      </w:pPr>
      <w:r>
        <w:t xml:space="preserve">Open Geospatial Consortium. 2025a. </w:t>
      </w:r>
      <w:r>
        <w:rPr>
          <w:i/>
        </w:rPr>
        <w:t>Supporting official schema: ogcapi/connected-systems/part1/1.0/openapi/schemas/sensorml/system.json</w:t>
      </w:r>
      <w:r>
        <w:t>. Inspected October 12, 2026. https://schemas.opengis.net/ogcapi/connected-systems/part1/1.0/openapi/schemas/sensorml/system.json. Referenced with S03; not a completed API test.</w:t>
      </w:r>
    </w:p>
    <w:p>
      <w:pPr>
        <w:pStyle w:val="Reference"/>
        <w:keepNext/>
        <w:widowControl/>
      </w:pPr>
      <w:r>
        <w:t>MIMOSA. 2010. “OSA-CBM 3.3.1.” June 29. https://www.mimosa.org/specifications/osa-cbm-3-3-1/. Exact release identity and notes inspected; archive contents not inspected.</w:t>
      </w:r>
    </w:p>
    <w:p>
      <w:pPr>
        <w:pStyle w:val="Reference"/>
        <w:keepNext/>
        <w:widowControl/>
      </w:pPr>
      <w:r>
        <w:t xml:space="preserve">MIMOSA. 2014a. </w:t>
      </w:r>
      <w:r>
        <w:rPr>
          <w:i/>
        </w:rPr>
        <w:t>MIMOSA License Agreement</w:t>
      </w:r>
      <w:r>
        <w:t>. Version 2.1.a, January 31. https://www.mimosa.org/wp-content/uploads/MIMOSA_License_Agreement.pdf. Supporting rights evidence, not a technical implementation target.</w:t>
      </w:r>
    </w:p>
    <w:p>
      <w:pPr>
        <w:pStyle w:val="Reference"/>
        <w:keepNext/>
        <w:widowControl/>
      </w:pPr>
      <w:r>
        <w:t>MIMOSA. 2014b. “OSA-EAI 3.2.3a.” May 12. https://www.mimosa.org/specifications/osa-eai-3-2-3a/. Exact release identity and notes inspected; archive contents not inspected.</w:t>
      </w:r>
    </w:p>
    <w:p>
      <w:pPr>
        <w:pStyle w:val="Reference"/>
        <w:keepNext/>
        <w:widowControl/>
      </w:pPr>
      <w:r>
        <w:t>MIMOSA. n.d.-a. “MIMOSA CCOM.” Accessed October 12, 2026. https://www.mimosa.org/mimosa-ccom/. Supporting documentation for S35: reference data, model/exchange forms and extensibility.</w:t>
      </w:r>
    </w:p>
    <w:p>
      <w:pPr>
        <w:pStyle w:val="Reference"/>
        <w:keepNext/>
        <w:widowControl/>
      </w:pPr>
      <w:r>
        <w:t>MIMOSA. n.d.-b. “MIMOSA CCOM–OPC UA Working Group.” Accessed October 12, 2026. https://www.mimosa.org/mimosa-ccom-opc-ua-working-group/. Evidence of a proposed collaboration, not proof of a published companion specification.</w:t>
      </w:r>
    </w:p>
    <w:p>
      <w:pPr>
        <w:pStyle w:val="Reference"/>
        <w:keepNext/>
        <w:widowControl/>
      </w:pPr>
      <w:r>
        <w:t>Industrial Digital Twin Association. 2026c. “Technical_Data Bug-Fix Version 2.0.2.” Repository README, modified September 24. admin-shell-io/submodel-templates, commit f3790038b6c9c2d7e5ebbb4609997468fadf3e85. https://github.com/admin-shell-io/submodel-templates/blob/f3790038b6c9c2d7e5ebbb4609997468fadf3e85/published/Technical_Data/2/0/2/README.md. The first 250 lines of the same directory’s IDTA 02003_2-0-2_Template_TechnicalData.json were also inspected.</w:t>
      </w:r>
    </w:p>
    <w:p>
      <w:pPr>
        <w:pStyle w:val="Reference"/>
        <w:keepNext/>
        <w:widowControl/>
      </w:pPr>
      <w:r>
        <w:t>Kokkinaki, Alexandra, Simon Jirka, Robert Huber, Matthes Rieke, and Christian Autermann. n.d. “2. SensorML.” Marine Profiles of the OGC Sensor Web Enablement Standards. https://github.com/ODIP/MarineProfilesForSWE/blob/master/docs/02_SensorML.md. Accessed October 12, 2026; inspected blob 6eb1b4299057e1ded5ad71d60f43bee84173a81e. Supporting artifact for S21, not a second independent profile.</w:t>
      </w:r>
    </w:p>
    <w:p>
      <w:pPr>
        <w:pStyle w:val="Small"/>
        <w:widowControl/>
      </w:pPr>
      <w:r>
        <w:t>These supplemental releases, notices and repository records support the corresponding substantive entries. Their presence is not an independent recommendation to register a webpage, license, research paper or changelog in DISR or NATO. The technical artifacts and exact adoption implications are identified in the source assessments.</w:t>
      </w:r>
    </w:p>
    <w:p>
      <w:pPr>
        <w:pStyle w:val="Reference"/>
        <w:keepNext/>
        <w:widowControl/>
      </w:pPr>
      <w:r>
        <w:t>PITON v2.0. 2026. Domain Information Models and CSAPI Integration: Engineering Lineage and Profile Scope. Research-recovery handoff prepared for Sam Bolling, October 12. File: PITON_MERLIN_Domain_Models_Engineering_Lineage_and_Profile_Scope_v2.0_12OCT2026.docx. Current authority for scope and next action.</w:t>
      </w:r>
    </w:p>
    <w:p>
      <w:pPr>
        <w:pStyle w:val="Reference"/>
        <w:keepNext/>
        <w:widowControl/>
      </w:pPr>
      <w:r>
        <w:t>Power Source PITON. 2026. MERLIN Power Source Presentation PITON. October 10. Project recovery: libfile_2effe490421c8191be311d6da2c45b4a. Read as the sibling workstream mandate, with scope coordinated through the current research recovery.</w:t>
      </w:r>
    </w:p>
    <w:p>
      <w:pPr>
        <w:pStyle w:val="Reference"/>
        <w:keepNext/>
        <w:widowControl/>
      </w:pPr>
      <w:r>
        <w:t>Power Source Decision Sheet. 2026. MERLIN Power Source Standards and Binding Decision Sheet. Version 0.1, October 10. Project recovery: libfile_aa0b64e219048191a2a8835819ebdb94. Proposal, not an accepted profile or completed integration.</w:t>
      </w:r>
    </w:p>
    <w:p>
      <w:pPr>
        <w:pStyle w:val="Reference"/>
        <w:keepNext/>
        <w:widowControl/>
      </w:pPr>
      <w:r>
        <w:t>MERLIN Semantic Presentation and Interaction Guide. 2026. Version 0.5. October 8. Project recovery: libfile_b307f6baf49c81919cfedf87dfb1cf5b. Presentation guidance, not source-standard semantics.</w:t>
      </w:r>
    </w:p>
    <w:p>
      <w:pPr>
        <w:pStyle w:val="Reference"/>
        <w:keepNext/>
        <w:widowControl/>
      </w:pPr>
      <w:r>
        <w:t>Archived Army acquisition lead. 2009. MARKET-SURVEY-4459-1, March 11. Archive retrieval did not succeed in this increment; retained in the companion Search Log as an unverified recovery lead, not a newly inspected acquisition finding.</w:t>
      </w:r>
    </w:p>
    <w:p>
      <w:pPr>
        <w:pStyle w:val="Heading2"/>
        <w:keepNext/>
        <w:widowControl/>
      </w:pPr>
      <w:r>
        <w:t>Version record</w:t>
      </w:r>
    </w:p>
    <w:p>
      <w:pPr>
        <w:widowControl/>
      </w:pPr>
      <w:r>
        <w:t>v0.8 — 14 October 2026: retained the 52 v0.7 annotations unchanged in substance, added 56 evidence-bounded S53–S109 entries and documentary workstream provenance; consolidated the synchronized source register. Unresolved normative-source access and profile approvals explicitly remain open.</w:t>
      </w:r>
    </w:p>
    <w:p>
      <w:pPr>
        <w:widowControl/>
      </w:pPr>
      <w:r>
        <w:t>Versions 0.1–0.2 established the source collection and per-source intended-use/adoption assessments. Version 0.3 added historical profiles and isolated predicate work; v0.4 deepened the comparative model content. The diagram iteration and v0.6 case comparison are retained as research history. Version 0.7 follows PITON v2.0: it adds the engineering-family assessment and ten sources, makes whole-system lifecycle and power integral to the profile scope, and relocates earlier comparative chapters to explicit historical appendices. It does not erase the earlier observations, claim measured savings, or change product and standards baselines.</w:t>
      </w:r>
    </w:p>
    <w:p>
      <w:pPr>
        <w:pStyle w:val="Heading2"/>
        <w:keepNext/>
        <w:pageBreakBefore/>
        <w:widowControl/>
      </w:pPr>
      <w:r>
        <w:t>4.2 Current consolidation and applied-design records</w:t>
      </w:r>
    </w:p>
    <w:p>
      <w:pPr>
        <w:widowControl/>
      </w:pPr>
      <w:r>
        <w:t>Internal project records establish what the completed studies examined and what the owner approved; they are not external standards. The Artifact Inventory identifies their exact filenames and hashes, and the Change Ledger records the documentary revisions made here. The full v0.8 research package and v0.3.5 technical package are preserved rather than overwritten. Selected source-authoritative statements are inherited from these records where original normative bytes are not in this reconciliation package.</w:t>
      </w:r>
    </w:p>
    <w:p>
      <w:pPr>
        <w:pStyle w:val="Heading3"/>
        <w:keepNext/>
        <w:widowControl/>
      </w:pPr>
      <w:r>
        <w:t>MERLIN OMS Assessment 2026</w:t>
      </w:r>
    </w:p>
    <w:p>
      <w:pPr>
        <w:pStyle w:val="Reference"/>
        <w:keepNext/>
        <w:widowControl/>
      </w:pPr>
      <w:r>
        <w:t>MERLIN Project. 2026. OGC OMS 3.0: Bounded Normative Assessment for the MERLIN MPSS Profile. Version 1.0, October 15. Academic assessment, R01–R20 crosswalk, main-profile memo, and source/evidence/decision register; includes supplied approved OGC 20-082r4 PDF.</w:t>
      </w:r>
    </w:p>
    <w:p>
      <w:pPr>
        <w:pStyle w:val="Heading3"/>
        <w:keepNext/>
        <w:widowControl/>
      </w:pPr>
      <w:r>
        <w:t>MERLIN SAPIENT Assessment 2026</w:t>
      </w:r>
    </w:p>
    <w:p>
      <w:pPr>
        <w:pStyle w:val="Reference"/>
        <w:keepNext/>
        <w:widowControl/>
      </w:pPr>
      <w:r>
        <w:t>MERLIN Project. 2026. MERLIN SAPIENT v2.0 Research Assessment and Main-Chat Reconciliation Memo. Version 1.0, October 15. Complete BSI v2 review, pinned Dstl source register, R01–R20 crosswalk, and six source-variance records; v3 not examined.</w:t>
      </w:r>
    </w:p>
    <w:p>
      <w:pPr>
        <w:pStyle w:val="Heading3"/>
        <w:keepNext/>
        <w:widowControl/>
      </w:pPr>
      <w:r>
        <w:t>MERLIN SOSA Assessment 2026</w:t>
      </w:r>
    </w:p>
    <w:p>
      <w:pPr>
        <w:pStyle w:val="Reference"/>
        <w:keepNext/>
        <w:widowControl/>
      </w:pPr>
      <w:r>
        <w:t>MERLIN Project. 2026. SOSA Technical Assessment and DISR Corrective Research Deliverables. Version 1.0, October 15. Adopted C239 and companions, separate S251 draft, full metadata screen, 29-item shortlist, and uncompleted 137-row independent QA sample.</w:t>
      </w:r>
    </w:p>
    <w:p>
      <w:pPr>
        <w:pStyle w:val="Heading3"/>
        <w:keepNext/>
        <w:widowControl/>
      </w:pPr>
      <w:r>
        <w:t>MERLIN ISA Assessment 2026</w:t>
      </w:r>
    </w:p>
    <w:p>
      <w:pPr>
        <w:pStyle w:val="Reference"/>
        <w:keepNext/>
        <w:widowControl/>
      </w:pPr>
      <w:r>
        <w:t>MERLIN Project. 2026. ISA Phase 2 Technical Semantic Reuse Assessment, Crosswalk and Main-Profile Integration Memo. October 14. Evidence-backed source comparison; native ISA implementation not selected.</w:t>
      </w:r>
    </w:p>
    <w:p>
      <w:pPr>
        <w:pStyle w:val="Heading3"/>
        <w:keepNext/>
        <w:widowControl/>
      </w:pPr>
      <w:r>
        <w:t>MERLIN Power Source Assessment 2026</w:t>
      </w:r>
    </w:p>
    <w:p>
      <w:pPr>
        <w:pStyle w:val="Reference"/>
        <w:keepNext/>
        <w:widowControl/>
      </w:pPr>
      <w:r>
        <w:t>MERLIN Project. 2026. Power Source Domain Model and Main-Profile Binding Recommendation. Version 0.1, October 14. Scope and source evidence remain intact; only selected parts are applied through v0.3.5.</w:t>
      </w:r>
    </w:p>
    <w:p>
      <w:pPr>
        <w:pStyle w:val="Heading3"/>
        <w:keepNext/>
        <w:widowControl/>
      </w:pPr>
      <w:r>
        <w:t>MERLIN MPSS Profile 2026</w:t>
      </w:r>
    </w:p>
    <w:p>
      <w:pPr>
        <w:pStyle w:val="Reference"/>
        <w:keepNext/>
        <w:widowControl/>
      </w:pPr>
      <w:r>
        <w:t>MERLIN Project. 2026. Managed Physical Sensing Systems: Integrated Binding Draft. Working version 0.3.5, October 17. Accompanied by connected examples/catalogue v0.3.5, primer v0.5, approved-increment change records, and internal verification reports.</w:t>
      </w:r>
    </w:p>
    <w:p>
      <w:pPr>
        <w:pStyle w:val="Heading3"/>
        <w:keepNext/>
        <w:widowControl/>
      </w:pPr>
      <w:r>
        <w:t>MERLIN PITON 2026</w:t>
      </w:r>
    </w:p>
    <w:p>
      <w:pPr>
        <w:pStyle w:val="Reference"/>
        <w:keepNext/>
        <w:widowControl/>
      </w:pPr>
      <w:r>
        <w:t>MERLIN Project. 2026. PITON: Managed Sensing-System Integration. Version 4.4, October 17; documentary successor v4.5 accompanies this consolidation. Preserves current working profile, donor-integration objective and source gates.</w:t>
      </w:r>
    </w:p>
    <w:p>
      <w:pPr>
        <w:pStyle w:val="Heading3"/>
        <w:keepNext/>
        <w:widowControl/>
      </w:pPr>
      <w:r>
        <w:t>MERLIN Update Plan 2026</w:t>
      </w:r>
    </w:p>
    <w:p>
      <w:pPr>
        <w:pStyle w:val="Reference"/>
        <w:keepNext/>
        <w:widowControl/>
      </w:pPr>
      <w:r>
        <w:t>MERLIN Project. 2026. Evidence-to-Design Update Plan. Version 1.4, October 17; documentary successor v1.5 records this consolidation and the finite residual donor-coverage work.</w:t>
      </w:r>
    </w:p>
    <w:p>
      <w:pPr>
        <w:widowControl/>
      </w:pPr>
      <w:r>
        <w:t>The workbook contains 124 source identities across its five principal source tables, 20 current relationship dispositions, 16 typed lineage records and 11 residual items. These counts describe the ledger, not a count of fully implemented standards or validated adapters. Its original historical worksheets remain available with date/status warnings, while current operational decisions are easy to locate. No source-native conformance or technical v0.4 release is implied by the research version number.</w:t>
      </w:r>
    </w:p>
    <w:p>
      <w:pPr>
        <w:pStyle w:val="Heading1"/>
        <w:keepNext/>
        <w:pageBreakBefore/>
        <w:widowControl/>
      </w:pPr>
      <w:r>
        <w:t>Appendix A. Prior comparative landscape (v0.4–v0.6 research history)</w:t>
      </w:r>
    </w:p>
    <w:p>
      <w:pPr>
        <w:pStyle w:val="Callout"/>
        <w:widowControl/>
      </w:pPr>
      <w:r>
        <w:t>HISTORICAL ANALYSIS — Current scope and priorities are in Section 1. The following prior landscape findings are retained for traceability, but their candidate rankings and next-action statements are not governing instructions. The physical sensing-system category, whole operational lifecycle and coordinated Power Source scope now provide the assessment basis. Read any older reference to Section 2 in this appendix as a reference to the limited worked comparison now preserved in Appendix B.</w:t>
      </w:r>
    </w:p>
    <w:p>
      <w:pPr>
        <w:pStyle w:val="Heading2"/>
        <w:keepNext/>
        <w:widowControl/>
      </w:pPr>
      <w:r>
        <w:t>A.1 What the deeper reading changes</w:t>
      </w:r>
    </w:p>
    <w:p>
      <w:pPr>
        <w:widowControl/>
      </w:pPr>
      <w:r>
        <w:t>The initial comparison gave OPC selected-clause attention while treating AAS largely as a metamodel and MIMOSA largely through overview pages. This revision inspects four actual AAS templates and selected CCOM UML model sections, and recovers the marine SensorML chapter directly from its community repository. Those additions expose both concrete useful content and deliberate limits. The source sections and register distinguish these direct inspections from the exact MIMOSA production archives whose contents remained unavailable.</w:t>
      </w:r>
    </w:p>
    <w:p>
      <w:pPr>
        <w:widowControl/>
      </w:pPr>
      <w:r>
        <w:t>Three distinctions now matter to the shortlist. First, TechnicalData provides an organized frame but explicitly leaves domain-specific property structure to other agreements. Second, the AAS hierarchy family separates a generic parts structure from engineering aspects, while CCOM adds changing asset associations and qualified assessments. Third, Capability Description models demanded and offered functions rather than simply giving a new container to measurement limits. These are different possible contributions, not successive layers that must all be adopted (Industrial Digital Twin Association 2024, §§1.2–1.5; 2025a, §2.1; 2025b, §2; 2026a, §1.2; MIMOSA 2018, pp. 6–8, 27).</w:t>
      </w:r>
    </w:p>
    <w:p>
      <w:pPr>
        <w:pStyle w:val="Heading2"/>
        <w:keepNext/>
        <w:widowControl/>
      </w:pPr>
      <w:r>
        <w:t>A.2 Equipment and composition: what is connected, configured or present?</w:t>
      </w:r>
    </w:p>
    <w:p>
      <w:pPr>
        <w:widowControl/>
      </w:pPr>
      <w:r>
        <w:t>The project evidence contains different assertions, not just different labels for the same inventory. TRSS’s detector selections describe configuration choices, while the reviewed OmniSense material supplies reported transducer labels. Neither establishes a complete inventory of individually identified physical components. A useful domain agreement would retain these assertion types while letting MERLIN interpret each consistently, rather than forcing both into a supposedly standard list of installed sensors (“Domain Information Models and CSAPI Integration” 2026, §14; “MERLIN System Details Working Views” 2026, pp. 20–21, 52–53).</w:t>
      </w:r>
    </w:p>
    <w:p>
      <w:pPr>
        <w:widowControl/>
      </w:pPr>
      <w:r>
        <w:t>RFC 8348 is the strongest immediate external hardware comparator because it defines a concrete managed-component model, including configuration and operational state, parent relationships and component classification. Its scope is hardware managed on a single server, and it explicitly supports pre-provisioning. The AAS hierarchy template solves a related but different problem: navigating an asset hierarchy whose descriptions can be distributed or held together. Its co-managed/self-managed distinction is useful when some related items have their own digital descriptions and others do not, but it does not identify unreported components for us (Internet Engineering Task Force 2018, §§1–4; Industrial Digital Twin Association 2024, §§1.2–1.5.1).</w:t>
      </w:r>
    </w:p>
    <w:p>
      <w:pPr>
        <w:widowControl/>
      </w:pPr>
      <w:r>
        <w:t>RFC 8348 remains the principal external comparator for a genuine hardware-management requirement, while the specific AAS hierarchy is conditional on distributed asset descriptions. The worked comparison in Section 2 does not recommend either as an additional implementation for the selected detector choices, transducer labels or model functions. CSAPI system relationships remain the baseline where actual relationships are established; a generic parent–child tree is not sufficient added value. OPC Devices/PA-DIM likewise requires a concrete information or partner need, rather than selection based on resemblance to screen contents.</w:t>
      </w:r>
    </w:p>
    <w:p>
      <w:pPr>
        <w:pStyle w:val="Heading2"/>
        <w:keepNext/>
        <w:widowControl/>
      </w:pPr>
      <w:r>
        <w:t>A.3 Capabilities and configuration: descriptive limits are not executable functions</w:t>
      </w:r>
    </w:p>
    <w:p>
      <w:pPr>
        <w:widowControl/>
      </w:pPr>
      <w:r>
        <w:t>The marine profile tackles familiar descriptive content directly: models and instances, shared identification and classification terms, characteristics, capabilities and role-specific contacts. Its platform-instance examples also reference attached sensors and allow instance-specific departures from the model description. This is a concrete precedent for organizing information within SensorML rather than introducing another description architecture. It remains a historical community proposal with unfinished portions, not a current defense profile or an automatically applicable SensorML 3.0 binding (Kokkinaki et al. n.d., “Overview,” “Platform Models,” and “Platform Instances”; repository blob 6eb1b4299057e1ded5ad71d60f43bee84173a81e).</w:t>
      </w:r>
    </w:p>
    <w:p>
      <w:pPr>
        <w:widowControl/>
      </w:pPr>
      <w:r>
        <w:t>AAS TechnicalData is more generic than its apparent level of detail might suggest. It supplies common product information and areas for dictionary-defined technical properties, but a classification label does not guarantee a complete property set and domain organization remains domain-specific. Consequently, replacing an equally careful SensorML description with this frame would not by itself resolve detector-choice, operating-mode or sensing-performance meanings. Its main value for MERLIN would be interpreting actual AAS-origin technical descriptions or reusing a particular dictionary-backed property agreement, not adopting a second generic container (Industrial Digital Twin Association 2025a, §§1.2, 2.1, annex C).</w:t>
      </w:r>
    </w:p>
    <w:p>
      <w:pPr>
        <w:widowControl/>
      </w:pPr>
      <w:r>
        <w:t>Capability Description is a different proposition: it qualifies a function as required or offered and relates it to properties, constraints and a technical realization. This could matter to collection-capability matching, but only where the project actually needs that relationship rather than a better presentation of supplied limits. We recommend retaining it as a conditional planning candidate and not treating its industrial production vocabulary as a sensor-tasking vocabulary. For current descriptive and configuration information, a small OGC content agreement informed by the marine precedent is the closer fit (Industrial Digital Twin Association 2026a, §§1.2–1.6, 2; Open Geospatial Consortium 2025c, §8).</w:t>
      </w:r>
    </w:p>
    <w:p>
      <w:pPr>
        <w:pStyle w:val="Heading2"/>
        <w:keepNext/>
        <w:widowControl/>
      </w:pPr>
      <w:r>
        <w:t>A.4 Reported condition and lifecycle: separate evidence, assessment and change</w:t>
      </w:r>
    </w:p>
    <w:p>
      <w:pPr>
        <w:widowControl/>
      </w:pPr>
      <w:r>
        <w:t>The condition literature is useful precisely because it distinguishes more than one status field. RFC 8348 separates administrative, operational, usage, alarm and standby state, whereas OSA-CBM concerns information exchanged among condition-based-maintenance functions. The inspected CCOM model separately represents assessments and their subjects, including health and remaining-life information. These distinctions make it harder to mistake an instrument reading, a fault indication and a maintenance conclusion for equivalent facts (Internet Engineering Task Force 2018, §3; MIMOSA n.d.-c; MIMOSA 2018, p. 27).</w:t>
      </w:r>
    </w:p>
    <w:p>
      <w:pPr>
        <w:widowControl/>
      </w:pPr>
      <w:r>
        <w:t>The more persuasive MIMOSA contribution is asset continuity through change. Its Registry and RegistryConfiguration diagrams distinguish the serialized Asset from Model and Segment, and connect them through event and status-history structures. That can help describe replacement, installation or reassignment without changing the identity of the physical unit. It is not evidence that an arbitrary sensor-string designation is a Segment, nor that every installation event belongs in the same OGC resource as a deployment interval (MIMOSA 2018, pp. 7–8; MIMOSA n.d.-e).</w:t>
      </w:r>
    </w:p>
    <w:p>
      <w:pPr>
        <w:widowControl/>
      </w:pPr>
      <w:r>
        <w:t>We recommend MIMOSA as the priority lifecycle-content candidate, while keeping its exact version question visible. The detailed model inspected is 4.1.0-RC1, not the DISR-listed OSA-EAI 3.2.3a; the latter’s release identity and notes were recovered but not its complete ZIP contents. OSA-CBM should remain conditional on an actual source-provided condition assessment or maintenance exchange, rather than becoming the organizing model for a simple device-status view. This distinction advances the content comparison without pretending that the edition-specific implementation decision has been completed.</w:t>
      </w:r>
    </w:p>
    <w:p>
      <w:pPr>
        <w:pStyle w:val="Heading2"/>
        <w:keepNext/>
        <w:widowControl/>
      </w:pPr>
      <w:r>
        <w:t>A.5 Deployment and operational relationships: connect meanings, not labels</w:t>
      </w:r>
    </w:p>
    <w:p>
      <w:pPr>
        <w:widowControl/>
      </w:pPr>
      <w:r>
        <w:t>An engineering hierarchy can distinguish product, function and location, but that does not make it a military operational model. The IEC-based AAS extension explicitly separates those perspectives and links them; the base hierarchy alone excludes such aspect distinctions. MIMOSA contributes asset-event and position relationships, while the MIM literature concerns operational objects, actions and model-derived information exchanges. Their overlap is limited and conceptual rather than an established hierarchy in which one standard contains the others (Industrial Digital Twin Association 2024, §1.3; 2025b, §§1–2; MIMOSA 2018, pp. 7–8; Gerz and Bau 2016, §§1–3).</w:t>
      </w:r>
    </w:p>
    <w:p>
      <w:pPr>
        <w:widowControl/>
      </w:pPr>
      <w:r>
        <w:t>The OGC baseline already has deployment descriptions and participant relationships, so the research must distinguish a more precise operational meaning from a new transport requirement. The supplied mission, plan, sensor-string and area labels remain useful even when no corresponding identified mission or deployment resource is supplied. A domain model becomes useful when it makes an actual role, action or relationship reusable; it does not become useful by converting labels into unsupported entities. We therefore retain operational-model work separately, with CSAPI Deployments as the existing delivery candidate rather than substitute a plant hierarchy for military employment (“MERLIN System Details Working Views” 2026, pp. 47–49; Open Geospatial Consortium 2025a, §11).</w:t>
      </w:r>
    </w:p>
    <w:p>
      <w:pPr>
        <w:widowControl/>
      </w:pPr>
      <w:r>
        <w:t>The IEC-based AAS template earns a narrower role: it is evidence that multiple structural perspectives can be coordinated without becoming one tree. Its native reference-designation rules are not necessary merely to remember this distinction in MERLIN. We recommend it as a targeted relationship reference unless an actual engineering-data partner makes its native artifact useful. This avoids both dismissing valuable engineering work and overstating it as a ready operational-domain solution.</w:t>
      </w:r>
    </w:p>
    <w:p>
      <w:pPr>
        <w:pStyle w:val="Heading2"/>
        <w:keepNext/>
        <w:widowControl/>
      </w:pPr>
      <w:r>
        <w:t>A.6 Which relationships are actually documented?</w:t>
      </w:r>
    </w:p>
    <w:p>
      <w:pPr>
        <w:widowControl/>
      </w:pPr>
      <w:r>
        <w:t>Several relationships are explicit within the originating communities. PA-DIM builds on OPC UA Devices; the IEC-based hierarchy is a named extension of the AAS hierarchy template; and the marine community applies selected terminology and descriptions within SensorML. MIMOSA also documents a proposed CCOM–OPC UA companion-model effort. The latter is evidence of intended cooperation, not proof of a completed companion standard, and none of these relationships establishes a published CSAPI binding for MERLIN (OPC Foundation and FieldComm Group 2025, §7.2; Industrial Digital Twin Association 2025b, §1.1; Kokkinaki et al. n.d.; MIMOSA n.d.-b).</w:t>
      </w:r>
    </w:p>
    <w:p>
      <w:pPr>
        <w:widowControl/>
      </w:pPr>
      <w:r>
        <w:t>At the level of a complete interface or digital-representation architecture, AAS, OPC UA and CSAPI can overlap or impose parallel implementation work. At the level of an exact quantity, asset relationship or domain description, selected content may complement OGC. A generic frame, a vocabulary, an event model and an interaction model must therefore be compared at the level where their claimed benefit occurs. The relationship register now distinguishes documented dependencies from this study’s proposed cross-model comparisons, rather than describing whole families as universally complementary.</w:t>
      </w:r>
    </w:p>
    <w:p>
      <w:pPr>
        <w:pStyle w:val="Heading2"/>
        <w:keepNext/>
        <w:widowControl/>
      </w:pPr>
      <w:r>
        <w:t>A.7 What “using the standard” would mean in the shortlisted paths</w:t>
      </w:r>
    </w:p>
    <w:p>
      <w:pPr>
        <w:widowControl/>
      </w:pPr>
      <w:r>
        <w:t>Native use is not synonymous with deploying every service in a standards ecosystem. AAS Capability Description expressly supports file-based artifacts, while stating which interactive functionality needs its API-based form; the hierarchy template also recognizes self-contained and distributed environments. OSA-CBM separates its information specification from technical interfaces, whereas the CCOM documentation identifies XML compound documents and BOD messages as concrete forms. These differences mean that the possible implementation target must come from each source, not from an assumption that the only alternatives are a whole runtime stack or casual inspiration (Industrial Digital Twin Association 2026a, §1.5; 2024, §1.5.1; MIMOSA n.d.-a; n.d.-c).</w:t>
      </w:r>
    </w:p>
    <w:p>
      <w:pPr>
        <w:widowControl/>
      </w:pPr>
      <w:r>
        <w:t>Our proposed OGC content agreements would be native implementations of the selected OGC requirements plus newly agreed domain content. They would not automatically implement RFC 8348, an IDTA template or CCOM merely because selected concepts came from those works. A bridge that retains a native source artifact is another legitimate option, but it owns the translation between representations as additional work. The source entries explain these commitments so that the shortlist does not hide new engineering behind an inherited standards name; executing compliance tests is not the next research deliverable.</w:t>
      </w:r>
    </w:p>
    <w:p>
      <w:pPr>
        <w:pStyle w:val="Heading2"/>
        <w:keepNext/>
        <w:widowControl/>
      </w:pPr>
      <w:r>
        <w:t>A.8 A shortlist by information subject, not a stack of winners</w:t>
      </w:r>
    </w:p>
    <w:p>
      <w:pPr>
        <w:widowControl/>
      </w:pPr>
      <w:r>
        <w:t>The recommended baseline remains competent direct OGC integration with meaningful definitions and faithful source distinctions. The first additional candidate is a coordinated OGC description agreement spanning model/instance information, supported versus reported equipment, and performance/configuration meanings. The marine conventions and Discovery Profile are the strongest precedents for that method, but a current agreement would be newly authored unless an applicable existing one is recovered. This is the lowest architectural commitment, not an assertion that agreeing on content is cost-free (Open Geospatial Consortium 2009a; Kokkinaki et al. n.d.; “Domain Information Models and CSAPI Integration” 2026, §5).</w:t>
      </w:r>
    </w:p>
    <w:p>
      <w:pPr>
        <w:widowControl/>
      </w:pPr>
      <w:r>
        <w:t>The second landscape candidate is equipment-management alignment, with RFC 8348 as the principal external comparator and AAS Hierarchical Structures as the alternative where distributed asset descriptions matter. Section 2 narrows that candidate: the selected equipment/configuration evidence does not justify an additional hardware model. The third candidate remains asset-lifecycle alignment using MIMOSA’s asset/model/position/event distinctions, conditional on source-backed lifecycle information. None is a requirement to import multiple models or deploy parallel services.</w:t>
      </w:r>
    </w:p>
    <w:p>
      <w:pPr>
        <w:widowControl/>
      </w:pPr>
      <w:r>
        <w:t>PA-DIM is retained for process-device or OPC-producing partners; AAS Capability Description is retained for requirement-to-capability planning; and the IEC-based hierarchy remains a targeted reference for structural perspectives. AAS TechnicalData is not selected as an additional general description model, because the reviewed frame leaves the domain agreement problem substantially intact. MIM/JC3IEDM remains the operational-semantic lane rather than a universal equipment parent, and broad WoT or ontology adoption is not justified solely to organize the present resource information. These are provisional research dispositions based on inspected content, not permanent rejection of the sources.</w:t>
      </w:r>
    </w:p>
    <w:p>
      <w:pPr>
        <w:pStyle w:val="Heading2"/>
        <w:keepNext/>
        <w:widowControl/>
      </w:pPr>
      <w:r>
        <w:t>A.9 What we would reuse, and what we would still own</w:t>
      </w:r>
    </w:p>
    <w:p>
      <w:pPr>
        <w:widowControl/>
      </w:pPr>
      <w:r>
        <w:t>A useful agreement can move interpretation from repeated client-specific decisions into an explicitly shared description of source facts. The reusable part might be a model/instance relationship, a distinction between configured and observed components, or a lifecycle event’s participants. We would still own supplier mappings, source-specific exceptions, unsupported-content handling, and the OGC binding when the external community has not already defined one. No quantitative reduction in MERLIN development effort has been measured, so these are cost drivers and expected benefits, not fabricated savings figures.</w:t>
      </w:r>
    </w:p>
    <w:p>
      <w:pPr>
        <w:widowControl/>
      </w:pPr>
      <w:r>
        <w:t>The genericity of CCOM and AAS is a benefit and a limit. CCOM allows agreed external reference data and custom attribute types, while TechnicalData relies on domain property dictionaries and domain-specific structures. Both can prevent reinvention of basic patterns, but neither magically supplies every sensor family’s common description. The shortlist should therefore be judged by which relevant distinctions and definitions are already agreed, not by the number of properties its framework could theoretically hold (MIMOSA n.d.-a, “Reference Data” and “Extensibility”; Industrial Digital Twin Association 2025a, §2.1).</w:t>
      </w:r>
    </w:p>
    <w:p>
      <w:pPr>
        <w:widowControl/>
      </w:pPr>
      <w:r>
        <w:t>Openness also affects the practical choice at the artifact level. The IETF text publishes its code-component terms, IDTA supplies public specifications and machine artifacts, and MIMOSA publishes an express license with distribution conditions. References to ECLASS, IEC material or other external dictionaries do not automatically carry unrestricted reuse rights into a derivative OGC agreement. The register therefore records the observed notices and the material actually intended for reuse, without treating a public PDF as either blanket clearance or a reason to abandon the comparison (Internet Engineering Task Force 2018, copyright notice; MIMOSA 2014a; Industrial Digital Twin Association 2025b, p. 7).</w:t>
      </w:r>
    </w:p>
    <w:p>
      <w:pPr>
        <w:pStyle w:val="Heading2"/>
        <w:keepNext/>
        <w:widowControl/>
      </w:pPr>
      <w:r>
        <w:t>A.10 Adoption implications and bounded remaining decisions</w:t>
      </w:r>
    </w:p>
    <w:p>
      <w:pPr>
        <w:widowControl/>
      </w:pPr>
      <w:r>
        <w:t>The authoritative DISR baseline makes RFC 8348, OSA-EAI 3.2.3a and OSA-CBM 3.3.1 important exact-edition comparators. It does not make the inspected later CCOM release candidate equivalent to OSA-EAI 3.2.3a, and the new IDTA templates are absent. No new addition is recommended solely from this review; no duplicate request is warranted for the already listed OGC editions. A justified change proposal would follow selection of an actual normative dependency, an unsupported edition need or a common profile worth governing (“StandardsReport” 2026, exact records and full-export searches).</w:t>
      </w:r>
    </w:p>
    <w:p>
      <w:pPr>
        <w:widowControl/>
      </w:pPr>
      <w:r>
        <w:t>NATO evidence remains parallel rather than inferred from DISR. The recovered STANAG 4789 material supplies an existing sensor-integration route and a ratification-draft stage, not adoption of all candidate domain models or implementation by every nation. The recommended posture is to retain proposed content agreements within that existing coordination context and identify another domain owner where a lifecycle or operational meaning needs it. No submission or product change was performed through this research (NATO Standardization Office 2026).</w:t>
      </w:r>
    </w:p>
    <w:p>
      <w:pPr>
        <w:widowControl/>
      </w:pPr>
      <w:r>
        <w:t>The worked comparison in Section 2 now establishes that several interpretive distinctions recur in the selected documentary cases, but it does not measure software reuse or confirm native partner interfaces. The exact mandated MIMOSA package, actual partner artifacts and any requirement-to-capability matching need remain separate, bounded questions. They do not prevent a recommendation for the selected equipment/configuration task. That recommendation is a small OGC description agreement, with additional architecture unselected.</w:t>
      </w:r>
    </w:p>
    <w:p>
      <w:pPr>
        <w:pStyle w:val="Heading2"/>
        <w:keepNext/>
        <w:widowControl/>
      </w:pPr>
      <w:r>
        <w:t>Shortlist at a glance</w:t>
      </w:r>
    </w:p>
    <w:tbl>
      <w:tblPr>
        <w:tblStyle w:val="LightShading-Accent1"/>
        <w:tblW w:type="auto" w:w="0"/>
        <w:tblLook w:firstColumn="1" w:firstRow="1" w:lastColumn="0" w:lastRow="0" w:noHBand="0" w:noVBand="1" w:val="04A0"/>
      </w:tblPr>
      <w:tblGrid>
        <w:gridCol w:w="3331"/>
        <w:gridCol w:w="3331"/>
        <w:gridCol w:w="3331"/>
      </w:tblGrid>
      <w:tr>
        <w:trPr>
          <w:tblHeader/>
          <w:cantSplit/>
        </w:trPr>
        <w:tc>
          <w:tcPr>
            <w:tcW w:type="dxa" w:w="3331"/>
          </w:tcPr>
          <w:p>
            <w:pPr>
              <w:spacing w:after="100"/>
            </w:pPr>
            <w:r>
              <w:rPr>
                <w:sz w:val="20"/>
              </w:rPr>
              <w:t>Information subject</w:t>
            </w:r>
          </w:p>
        </w:tc>
        <w:tc>
          <w:tcPr>
            <w:tcW w:type="dxa" w:w="3331"/>
          </w:tcPr>
          <w:p>
            <w:pPr>
              <w:spacing w:after="100"/>
            </w:pPr>
            <w:r>
              <w:rPr>
                <w:sz w:val="20"/>
              </w:rPr>
              <w:t>Priority / disposition</w:t>
            </w:r>
          </w:p>
        </w:tc>
        <w:tc>
          <w:tcPr>
            <w:tcW w:type="dxa" w:w="3331"/>
          </w:tcPr>
          <w:p>
            <w:pPr>
              <w:spacing w:after="100"/>
            </w:pPr>
            <w:r>
              <w:rPr>
                <w:sz w:val="20"/>
              </w:rPr>
              <w:t>What remains our work</w:t>
            </w:r>
          </w:p>
        </w:tc>
      </w:tr>
      <w:tr>
        <w:trPr>
          <w:cantSplit/>
        </w:trPr>
        <w:tc>
          <w:tcPr>
            <w:tcW w:type="dxa" w:w="3331"/>
          </w:tcPr>
          <w:p>
            <w:pPr>
              <w:spacing w:after="100"/>
            </w:pPr>
            <w:r>
              <w:rPr>
                <w:sz w:val="20"/>
              </w:rPr>
              <w:t>Shared system descriptions</w:t>
            </w:r>
          </w:p>
        </w:tc>
        <w:tc>
          <w:tcPr>
            <w:tcW w:type="dxa" w:w="3331"/>
          </w:tcPr>
          <w:p>
            <w:pPr>
              <w:spacing w:after="100"/>
            </w:pPr>
            <w:r>
              <w:rPr>
                <w:sz w:val="20"/>
              </w:rPr>
              <w:t>First priority: current OGC content agreement; marine and Discovery precedents.</w:t>
            </w:r>
          </w:p>
        </w:tc>
        <w:tc>
          <w:tcPr>
            <w:tcW w:type="dxa" w:w="3331"/>
          </w:tcPr>
          <w:p>
            <w:pPr>
              <w:spacing w:after="100"/>
            </w:pPr>
            <w:r>
              <w:rPr>
                <w:sz w:val="20"/>
              </w:rPr>
              <w:t>Select relevant terms, model/instance rules and current bindings; preserve unfamiliar content.</w:t>
            </w:r>
          </w:p>
        </w:tc>
      </w:tr>
      <w:tr>
        <w:trPr>
          <w:cantSplit/>
        </w:trPr>
        <w:tc>
          <w:tcPr>
            <w:tcW w:type="dxa" w:w="3331"/>
          </w:tcPr>
          <w:p>
            <w:pPr>
              <w:spacing w:after="100"/>
            </w:pPr>
            <w:r>
              <w:rPr>
                <w:sz w:val="20"/>
              </w:rPr>
              <w:t>Equipment and composition</w:t>
            </w:r>
          </w:p>
        </w:tc>
        <w:tc>
          <w:tcPr>
            <w:tcW w:type="dxa" w:w="3331"/>
          </w:tcPr>
          <w:p>
            <w:r>
              <w:t>No added hardware model for the worked cases. RFC 8348 remains the comparator for actual managed inventory; AAS hierarchy remains conditional.</w:t>
            </w:r>
          </w:p>
        </w:tc>
        <w:tc>
          <w:tcPr>
            <w:tcW w:type="dxa" w:w="3331"/>
          </w:tcPr>
          <w:p>
            <w:r>
              <w:t>Preserve choices, reports and real identities; do not manufacture component records. See Section 2.</w:t>
            </w:r>
          </w:p>
        </w:tc>
      </w:tr>
      <w:tr>
        <w:trPr>
          <w:cantSplit/>
        </w:trPr>
        <w:tc>
          <w:tcPr>
            <w:tcW w:type="dxa" w:w="3331"/>
          </w:tcPr>
          <w:p>
            <w:pPr>
              <w:spacing w:after="100"/>
            </w:pPr>
            <w:r>
              <w:rPr>
                <w:sz w:val="20"/>
              </w:rPr>
              <w:t>Asset lifecycle and assessments</w:t>
            </w:r>
          </w:p>
        </w:tc>
        <w:tc>
          <w:tcPr>
            <w:tcW w:type="dxa" w:w="3331"/>
          </w:tcPr>
          <w:p>
            <w:pPr>
              <w:spacing w:after="100"/>
            </w:pPr>
            <w:r>
              <w:rPr>
                <w:sz w:val="20"/>
              </w:rPr>
              <w:t>Priority: MIMOSA lifecycle content. OSA-CBM conditional on assessment exchange.</w:t>
            </w:r>
          </w:p>
        </w:tc>
        <w:tc>
          <w:tcPr>
            <w:tcW w:type="dxa" w:w="3331"/>
          </w:tcPr>
          <w:p>
            <w:pPr>
              <w:spacing w:after="100"/>
            </w:pPr>
            <w:r>
              <w:rPr>
                <w:sz w:val="20"/>
              </w:rPr>
              <w:t>Confirm selected edition, event meanings and OGC representation; do not infer health or readiness.</w:t>
            </w:r>
          </w:p>
        </w:tc>
      </w:tr>
      <w:tr>
        <w:trPr>
          <w:cantSplit/>
        </w:trPr>
        <w:tc>
          <w:tcPr>
            <w:tcW w:type="dxa" w:w="3331"/>
          </w:tcPr>
          <w:p>
            <w:pPr>
              <w:spacing w:after="100"/>
            </w:pPr>
            <w:r>
              <w:rPr>
                <w:sz w:val="20"/>
              </w:rPr>
              <w:t>Capability and operational relationships</w:t>
            </w:r>
          </w:p>
        </w:tc>
        <w:tc>
          <w:tcPr>
            <w:tcW w:type="dxa" w:w="3331"/>
          </w:tcPr>
          <w:p>
            <w:pPr>
              <w:spacing w:after="100"/>
            </w:pPr>
            <w:r>
              <w:rPr>
                <w:sz w:val="20"/>
              </w:rPr>
              <w:t>AAS Capability Description conditional on matching needs; MIM/JC3IEDM in a separate operational lane.</w:t>
            </w:r>
          </w:p>
        </w:tc>
        <w:tc>
          <w:tcPr>
            <w:tcW w:type="dxa" w:w="3331"/>
          </w:tcPr>
          <w:p>
            <w:pPr>
              <w:spacing w:after="100"/>
            </w:pPr>
            <w:r>
              <w:rPr>
                <w:sz w:val="20"/>
              </w:rPr>
              <w:t>Define actual sensing/operational meanings and partners; no universal mission or capability model selected.</w:t>
            </w:r>
          </w:p>
        </w:tc>
      </w:tr>
      <w:tr>
        <w:trPr>
          <w:cantSplit/>
        </w:trPr>
        <w:tc>
          <w:tcPr>
            <w:tcW w:type="dxa" w:w="3331"/>
          </w:tcPr>
          <w:p>
            <w:pPr>
              <w:spacing w:after="100"/>
            </w:pPr>
            <w:r>
              <w:rPr>
                <w:sz w:val="20"/>
              </w:rPr>
              <w:t>Other full architectures</w:t>
            </w:r>
          </w:p>
        </w:tc>
        <w:tc>
          <w:tcPr>
            <w:tcW w:type="dxa" w:w="3331"/>
          </w:tcPr>
          <w:p>
            <w:pPr>
              <w:spacing w:after="100"/>
            </w:pPr>
            <w:r>
              <w:rPr>
                <w:sz w:val="20"/>
              </w:rPr>
              <w:t>OPC/PA-DIM and native AAS mainly partner- or capability-contingent.</w:t>
            </w:r>
          </w:p>
        </w:tc>
        <w:tc>
          <w:tcPr>
            <w:tcW w:type="dxa" w:w="3331"/>
          </w:tcPr>
          <w:p>
            <w:pPr>
              <w:spacing w:after="100"/>
            </w:pPr>
            <w:r>
              <w:rPr>
                <w:sz w:val="20"/>
              </w:rPr>
              <w:t>Retain native obligations where needed; a new translation remains additional engineering.</w:t>
            </w:r>
          </w:p>
        </w:tc>
      </w:tr>
    </w:tbl>
    <w:p>
      <w:pPr>
        <w:pStyle w:val="Heading1"/>
        <w:keepNext/>
        <w:pageBreakBefore/>
        <w:widowControl/>
      </w:pPr>
      <w:r>
        <w:t>Appendix B. Limited worked examples (v0.6 research history)</w:t>
      </w:r>
    </w:p>
    <w:p>
      <w:pPr>
        <w:pStyle w:val="Callout"/>
        <w:widowControl/>
        <w:spacing w:after="100"/>
      </w:pPr>
      <w:r>
        <w:t>HISTORICAL CASE EVIDENCE — The selected examples below are retained, but their narrow result does not determine the family-level profile. These cases do not cover the complete deployed-system lifecycle, the whole domain-model corpus or all information the products may provide. The former overall inference in Section 2.11 is superseded by current Section 1. Source-specific observations remain useful only within their stated evidence boundaries.</w:t>
      </w:r>
    </w:p>
    <w:p>
      <w:pPr>
        <w:widowControl/>
        <w:spacing w:after="100"/>
      </w:pPr>
      <w:r>
        <w:t>Prior result, retained for comparison: this exercise found that selected equipment and configuration records could be represented with current OGC mechanisms and proposed a small interpretation agreement. That result did not establish that such an agreement was sufficient for the operator’s complete sensor-centered capability. It is not a reason to exclude richer domain models, lifecycle content or broader profile coverage.</w:t>
      </w:r>
    </w:p>
    <w:p>
      <w:pPr>
        <w:pStyle w:val="Heading2"/>
        <w:keepNext/>
        <w:widowControl/>
      </w:pPr>
      <w:r>
        <w:t>B.1 Evidence and the fair comparison</w:t>
      </w:r>
    </w:p>
    <w:p>
      <w:pPr>
        <w:widowControl/>
        <w:spacing w:after="100"/>
      </w:pPr>
      <w:r>
        <w:t>The TRSS case uses the supplied Sentinel manual screenshots, slides 10–12, including the General tab and its explanatory text. The OmniSense case uses the supplied Central Computer/Server and User Interface manual screenshots, slides 1–7, printed pages 6-1–6-7; the illustrated CORE 2 record is not supplemented with CORE 5 ADS values. The BME280 case uses a manufacturer datasheet, revision 1.24, as a deliberate contrast to replaceable detector arrangements. A historical manual illustration establishes a documented example or workflow, whereas a product datasheet establishes model-level options; neither establishes the present state of a live project device (Sentinel 1.0.7.2 Software Users Manual n.d.; McQ Inc. n.d.; Bosch Sensortec 2024).</w:t>
      </w:r>
    </w:p>
    <w:p>
      <w:pPr>
        <w:widowControl/>
        <w:spacing w:after="100"/>
      </w:pPr>
      <w:r>
        <w:t>Approach A is a competent CSAPI/SensorML/SWE Common integration with meaningful definitions, appropriate configuration descriptions, and reusable MERLIN client logic. Approach B keeps that architecture but makes a small set of interpretation and representation choices a shared, versioned agreement among producers and consumers. Approach C examines whether RFC 8348, or a shortlisted AAS equipment representation, adds sufficient domain content to justify implementing or translating another model. All approaches receive the same source facts, source limitations, and engineering care; using a common renderer or good vocabulary is not reserved for B.</w:t>
      </w:r>
    </w:p>
    <w:p>
      <w:pPr>
        <w:widowControl/>
        <w:spacing w:after="100"/>
      </w:pPr>
      <w:r>
        <w:t>This matters because “shared agreement” is not necessarily a separate architecture from direct OGC integration. If A already makes the same content commitments across independent implementations, B is a name for those commitments rather than an additional technical solution. The comparison therefore asks what must be coordinated and who benefits from that coordination, not whether a profile label makes an integration superior. This follows the handoff’s explicit requirement not to weaken the direct-OGC baseline to manufacture a benefit for an added model (“Domain Information Models and CSAPI Integration” 2026, §5).</w:t>
      </w:r>
    </w:p>
    <w:p>
      <w:pPr>
        <w:pStyle w:val="Heading2"/>
        <w:keepNext/>
        <w:widowControl/>
      </w:pPr>
      <w:r>
        <w:t>B.2 TRSS: a detector choice is not an inventory record</w:t>
      </w:r>
    </w:p>
    <w:p>
      <w:pPr>
        <w:widowControl/>
        <w:spacing w:after="100"/>
      </w:pPr>
      <w:r>
        <w:t>The General-tab illustration selects SEISMIC/ACOUSTIC for Detector 1 and IRID-II for Detector 2. The accompanying instructions describe selecting the detector type to be attached, restrict Seismic/Acoustic to Detector 1, and state that orientation is not available for that detector type. These facts establish choices, a position-specific constraint, and a source-defined applicability rule; the illustrated selections do not identify two serialized detector instances. The appropriate reading is “these detector choices are recorded in the illustrated configuration,” not “two independently identified sensors have been verified as attached” (Sentinel 1.0.7.2 Software Users Manual n.d., “General Tab,” supplied slides 10–11).</w:t>
      </w:r>
    </w:p>
    <w:p>
      <w:pPr>
        <w:widowControl/>
        <w:spacing w:after="100"/>
      </w:pPr>
      <w:r>
        <w:t>Under A, the ETU-II description can retain separately defined detector parameters, their source choices, and the illustrated values, using SensorML’s input/output/parameter and configurable-process mechanisms as applicable. The detector-position rule stays in the source-specific description; it is not inferred from the words seismic or infrared. SensorML can distinguish a general configurable description from a more specific configuration, but creating that representation does not turn the historical example into current device state. A numeric orientation value also retains its source meaning rather than becoming an absolute map heading without an established reference (Open Geospatial Consortium 2025c, §§8.2.9.1, 8.2.9.3, 8.8; Sentinel 1.0.7.2 Software Users Manual n.d., supplied slides 10–11).</w:t>
      </w:r>
    </w:p>
    <w:p>
      <w:pPr>
        <w:widowControl/>
        <w:spacing w:after="100"/>
      </w:pPr>
      <w:r>
        <w:t>B adds an agreed way for another consumer to recognize a recorded detector choice, its applicable position, and the difference between an allowed option and a selected value. It does not standardize the ETU-II’s allowable detector combinations for every system, and it need not replace the source’s words with generic hardware names. RFC 8348 supplies a managed-component model, but it does not resolve these particular detector-choice and orientation rules; forcing the illustration into a component inventory would add unsupported assertions rather than useful information. The proposed contribution is therefore a reusable description convention, while the TRSS options and their constraints remain manufacturer/system-specific content (Internet Engineering Task Force 2018, §§3.1, 7.1).</w:t>
      </w:r>
    </w:p>
    <w:p>
      <w:pPr>
        <w:pStyle w:val="Heading2"/>
        <w:keepNext/>
        <w:widowControl/>
      </w:pPr>
      <w:r>
        <w:t>B.3 OmniSense: reported equipment, algorithm settings, and delayed changes</w:t>
      </w:r>
    </w:p>
    <w:p>
      <w:pPr>
        <w:widowControl/>
        <w:spacing w:after="100"/>
      </w:pPr>
      <w:r>
        <w:t>The CORE manual describes automatic detection of connected transducers during field setup and transmission of that information to the database. Its example lists Magnetic, Seismic (ext), Detection Switch 1, Detection Switch 2, and Control Switch; the same panel separately lists detection algorithms and sensitivity settings. The following page explains that enabled algorithms still produce no detections when their necessary transducers are not connected. These facts support distinguishing reported transducer entries from algorithm configuration, but do not establish five independently identified hardware resources or prove that an enabled algorithm will successfully detect a target (McQ Inc. n.d., §§6.1.6–6.1.6.2, supplied slides 6–7).</w:t>
      </w:r>
    </w:p>
    <w:p>
      <w:pPr>
        <w:widowControl/>
        <w:spacing w:after="100"/>
      </w:pPr>
      <w:r>
        <w:t>The manual also describes an asynchronous configuration workflow: the editor reads database values, changes are queued, and communication with the field sensor happens later. Its “Last Updated” field concerns the last configuration, not the observation time of each listed transducer. Under A, the reported list can remain a typed, source-qualified descriptive record, while algorithm choices and settings are represented as configuration information. Command and command-status resources become relevant only where an actual integration supports the corresponding interaction; the screenshot’s Queue control is not itself a CSAPI command receipt or proof of execution (McQ Inc. n.d., §§6–6.1.1, supplied slides 1–2; Open Geospatial Consortium 2025b, §10.11).</w:t>
      </w:r>
    </w:p>
    <w:p>
      <w:pPr>
        <w:widowControl/>
        <w:spacing w:after="100"/>
      </w:pPr>
      <w:r>
        <w:t>B contributes a reusable distinction between a reported equipment list, a stored configuration, a requested change, and evidence that the device has applied it. The concrete client benefit is that the same interface can explain an outstanding change without silently presenting the requested value as confirmed state, and can show detection settings without counting them as physical sensors. The source adapter still owns the Queue workflow, report association, and interpretation of algorithm-specific values. RFC 8348’s configuration/operational distinction is useful comparative evidence, but its hardware administrative or operational state must not be substituted for the state of an individual detection algorithm (Internet Engineering Task Force 2018, §§3, 7.1; McQ Inc. n.d., supplied slides 1–2, 6–7).</w:t>
      </w:r>
    </w:p>
    <w:p>
      <w:pPr>
        <w:pStyle w:val="Heading2"/>
        <w:keepNext/>
        <w:widowControl/>
      </w:pPr>
      <w:r>
        <w:t>B.4 Environmental contrast: measurement functions are not detector slots</w:t>
      </w:r>
    </w:p>
    <w:p>
      <w:pPr>
        <w:widowControl/>
        <w:spacing w:after="100"/>
      </w:pPr>
      <w:r>
        <w:t>The BME280 datasheet describes a combined humidity, pressure, and temperature sensor with configurable measurement modes and per-measurement settings. Sleep, forced, and normal modes have distinct behavior, and the measurement-flow description allows measurements to be enabled or skipped. This is useful contrasting evidence because a device’s several measurement functions are not the same thing as a field inventory of replaceable detectors. The datasheet supplies model behavior only: no board identity, deployed instance, active setting, observation sample, or live connection is asserted in this comparison (Bosch Sensortec 2024, general description and §§3.3–3.4).</w:t>
      </w:r>
    </w:p>
    <w:p>
      <w:pPr>
        <w:widowControl/>
        <w:spacing w:after="100"/>
      </w:pPr>
      <w:r>
        <w:t>Under A, the model description can identify the functions, outputs, options and relevant conditions without creating an installed-device record. An eventual instance can reference an appropriate general description and report its own settings, but the comparison does not fill those settings from reset defaults. B can reuse the distinction between an available function and an actually evidenced configuration even though the specific properties differ from both UGS cases. It cannot reuse the TRSS detector-slot convention, and neither the three quantities nor the measurement-flow blocks alone justify three managed physical-component records (Open Geospatial Consortium 2025c, §§8.2.9.1, 8.2.9.3; Bosch Sensortec 2024, §§3.3–3.4).</w:t>
      </w:r>
    </w:p>
    <w:p>
      <w:pPr>
        <w:widowControl/>
        <w:spacing w:after="100"/>
      </w:pPr>
      <w:r>
        <w:t>This case exposes a limit as well as a possible benefit. For a single model datasheet, a faithful direct-OGC description is enough; an additional equipment hierarchy adds little to the chosen task. The transferable agreement concerns the kind and scope of the information, not one universal list of fields shared by all three products. Its broader value remains prospective because this third case is a documented model, not an independent running implementation.</w:t>
      </w:r>
    </w:p>
    <w:p>
      <w:pPr>
        <w:pStyle w:val="Heading2"/>
        <w:keepNext/>
        <w:widowControl/>
      </w:pPr>
      <w:r>
        <w:t>B.5 What should actually be shared</w:t>
      </w:r>
    </w:p>
    <w:p>
      <w:pPr>
        <w:widowControl/>
        <w:spacing w:after="100"/>
      </w:pPr>
      <w:r>
        <w:t>The minimum useful agreement should answer four independent questions for the information being presented: what subject it concerns, what the statement means, what source supports it, and when or under what conditions it applies. The subject may be a model, an instance, a detector position, a measurement function, or a named but not individually identified list entry. The statement may describe an option, a selected setting, a presence report, or the progress of a requested change. These are proposed interpretive questions grounded in the cases, not a new ontology or a claim that every source already contains four corresponding fields.</w:t>
      </w:r>
    </w:p>
    <w:p>
      <w:pPr>
        <w:widowControl/>
        <w:spacing w:after="100"/>
      </w:pPr>
      <w:r>
        <w:t>In particular, “configured,” “reported,” and “present” must not become a single mutually exclusive status list. A configuration can itself be reported by a device, and a reported presence assertion can be historical rather than current. Likewise, a model’s supported function can be unavailable under a particular configuration without ceasing to be a model capability. Keeping statement meaning separate from its evidence and time avoids replacing several vendor ambiguities with one new MERLIN ambiguity (McQ Inc. n.d., supplied slides 1–2, 6–7; Bosch Sensortec 2024, §§3.3–3.4).</w:t>
      </w:r>
    </w:p>
    <w:p>
      <w:pPr>
        <w:widowControl/>
        <w:spacing w:after="100"/>
      </w:pPr>
      <w:r>
        <w:t>The proposed agreement should also define how a supported consumer recognizes the agreed meanings, retains source-specific terms, and handles unfamiliar or incomplete information. A profile name without common definitions and representation rules would not provide that recognition. The marine-community precedent contributes coordinated term and value conventions within SensorML, while the Discovery Profile contributes a purpose-driven selection of descriptive content. They support the method; they do not already supply a complete current agreement for the three cases (Kokkinaki et al. n.d., “Common SensorML profiles” and “Overview”; Open Geospatial Consortium 2009a, §§6–7).</w:t>
      </w:r>
    </w:p>
    <w:p>
      <w:pPr>
        <w:pStyle w:val="Heading2"/>
        <w:keepNext/>
        <w:widowControl/>
      </w:pPr>
      <w:r>
        <w:t>B.6 Where the information would go in the OGC foundation</w:t>
      </w:r>
    </w:p>
    <w:p>
      <w:pPr>
        <w:widowControl/>
        <w:spacing w:after="100"/>
      </w:pPr>
      <w:r>
        <w:t>The following locations are representation candidates, not recovered vendor payload paths. Model options, output definitions and configuration parameters should use the existing SensorML process mechanisms; reported descriptive information can remain a qualified typed record when no stronger resource association is supported. A separate subsystem or deployment link is appropriate only when the represented subject and relationship are actually established. An absent serial number alone does not forbid a legitimate system resource, but a screen label alone does not establish the physical object or relationship that such a resource would assert (Open Geospatial Consortium 2025c, §§8.2.4–8.2.5, 8.2.9, 8.8; 2025a, §§10.2, 10.5, 11).</w:t>
      </w:r>
    </w:p>
    <w:p>
      <w:pPr>
        <w:widowControl/>
        <w:spacing w:after="100"/>
      </w:pPr>
      <w:r>
        <w:t>The main shared work is selecting consistent definitions and bindings within those existing mechanisms. We are not proposing a new top-level CSAPI equipment resource, a mandatory profile-discovery endpoint, or a universal status datatype. Where pending versus applied settings cannot be established from the source, the description must preserve that uncertainty instead of assigning a plausible CommandStatus code. The table separates source information from the interpretation agreement; the companion register retains the case-level comparison and evidence locators (Open Geospatial Consortium 2025b, §10.11; this study’s proposed binding assessment).</w:t>
      </w:r>
    </w:p>
    <w:tbl>
      <w:tblPr>
        <w:tblW w:type="auto" w:w="0"/>
        <w:jc w:val="center"/>
        <w:tblLayout w:type="fixed"/>
        <w:tblLook w:firstColumn="1" w:firstRow="1" w:lastColumn="0" w:lastRow="0" w:noHBand="0" w:noVBand="1" w:val="04A0"/>
      </w:tblPr>
      <w:tblGrid>
        <w:gridCol w:w="2880"/>
        <w:gridCol w:w="3384"/>
        <w:gridCol w:w="3816"/>
      </w:tblGrid>
      <w:tr>
        <w:trPr>
          <w:cantSplit/>
          <w:tblHeader/>
        </w:trPr>
        <w:tc>
          <w:tcPr>
            <w:tcW w:type="dxa" w:w="2880"/>
            <w:vAlign w:val="top"/>
            <w:shd w:fill="17344D"/>
            <w:tcMar>
              <w:top w:w="90" w:type="dxa"/>
              <w:left w:w="90" w:type="dxa"/>
              <w:bottom w:w="90" w:type="dxa"/>
              <w:right w:w="90" w:type="dxa"/>
            </w:tcMar>
          </w:tcPr>
          <w:p>
            <w:pPr>
              <w:spacing w:after="80" w:before="40"/>
            </w:pPr>
            <w:r>
              <w:rPr>
                <w:b/>
                <w:color w:val="FFFFFF"/>
                <w:sz w:val="19"/>
              </w:rPr>
              <w:t>Source-backed information</w:t>
            </w:r>
          </w:p>
        </w:tc>
        <w:tc>
          <w:tcPr>
            <w:tcW w:type="dxa" w:w="3384"/>
            <w:vAlign w:val="top"/>
            <w:shd w:fill="17344D"/>
            <w:tcMar>
              <w:top w:w="90" w:type="dxa"/>
              <w:left w:w="90" w:type="dxa"/>
              <w:bottom w:w="90" w:type="dxa"/>
              <w:right w:w="90" w:type="dxa"/>
            </w:tcMar>
          </w:tcPr>
          <w:p>
            <w:pPr>
              <w:spacing w:after="80" w:before="40"/>
            </w:pPr>
            <w:r>
              <w:rPr>
                <w:b/>
                <w:color w:val="FFFFFF"/>
                <w:sz w:val="19"/>
              </w:rPr>
              <w:t>Existing OGC mechanism</w:t>
            </w:r>
          </w:p>
        </w:tc>
        <w:tc>
          <w:tcPr>
            <w:tcW w:type="dxa" w:w="3816"/>
            <w:vAlign w:val="top"/>
            <w:shd w:fill="17344D"/>
            <w:tcMar>
              <w:top w:w="90" w:type="dxa"/>
              <w:left w:w="90" w:type="dxa"/>
              <w:bottom w:w="90" w:type="dxa"/>
              <w:right w:w="90" w:type="dxa"/>
            </w:tcMar>
          </w:tcPr>
          <w:p>
            <w:pPr>
              <w:spacing w:after="80" w:before="40"/>
            </w:pPr>
            <w:r>
              <w:rPr>
                <w:b/>
                <w:color w:val="FFFFFF"/>
                <w:sz w:val="19"/>
              </w:rPr>
              <w:t>Shared rule still to agree</w:t>
            </w:r>
          </w:p>
        </w:tc>
      </w:tr>
      <w:tr>
        <w:trPr>
          <w:cantSplit/>
        </w:trPr>
        <w:tc>
          <w:tcPr>
            <w:tcW w:type="dxa" w:w="2880"/>
            <w:vAlign w:val="top"/>
            <w:shd w:fill="F0F5F7"/>
            <w:tcMar>
              <w:top w:w="90" w:type="dxa"/>
              <w:left w:w="90" w:type="dxa"/>
              <w:bottom w:w="90" w:type="dxa"/>
              <w:right w:w="90" w:type="dxa"/>
            </w:tcMar>
          </w:tcPr>
          <w:p>
            <w:pPr>
              <w:spacing w:after="80" w:before="40"/>
            </w:pPr>
            <w:r>
              <w:rPr>
                <w:b w:val="0"/>
                <w:sz w:val="19"/>
              </w:rPr>
              <w:t>TRSS detector options and illustrated selection</w:t>
            </w:r>
          </w:p>
        </w:tc>
        <w:tc>
          <w:tcPr>
            <w:tcW w:type="dxa" w:w="3384"/>
            <w:vAlign w:val="top"/>
            <w:shd w:fill="F0F5F7"/>
            <w:tcMar>
              <w:top w:w="90" w:type="dxa"/>
              <w:left w:w="90" w:type="dxa"/>
              <w:bottom w:w="90" w:type="dxa"/>
              <w:right w:w="90" w:type="dxa"/>
            </w:tcMar>
          </w:tcPr>
          <w:p>
            <w:pPr>
              <w:spacing w:after="80" w:before="40"/>
            </w:pPr>
            <w:r>
              <w:rPr>
                <w:b w:val="0"/>
                <w:sz w:val="19"/>
              </w:rPr>
              <w:t>SensorML parameters; configurable base process and Settings where modeled</w:t>
            </w:r>
          </w:p>
        </w:tc>
        <w:tc>
          <w:tcPr>
            <w:tcW w:type="dxa" w:w="3816"/>
            <w:vAlign w:val="top"/>
            <w:shd w:fill="F0F5F7"/>
            <w:tcMar>
              <w:top w:w="90" w:type="dxa"/>
              <w:left w:w="90" w:type="dxa"/>
              <w:bottom w:w="90" w:type="dxa"/>
              <w:right w:w="90" w:type="dxa"/>
            </w:tcMar>
          </w:tcPr>
          <w:p>
            <w:pPr>
              <w:spacing w:after="80" w:before="40"/>
            </w:pPr>
            <w:r>
              <w:rPr>
                <w:b w:val="0"/>
                <w:sz w:val="19"/>
              </w:rPr>
              <w:t>Keep position-specific allowed choices separate from the recorded selection and from attachment evidence.</w:t>
            </w:r>
          </w:p>
        </w:tc>
      </w:tr>
      <w:tr>
        <w:trPr>
          <w:cantSplit/>
        </w:trPr>
        <w:tc>
          <w:tcPr>
            <w:tcW w:type="dxa" w:w="2880"/>
            <w:vAlign w:val="top"/>
            <w:shd w:fill="FFFFFF"/>
            <w:tcMar>
              <w:top w:w="90" w:type="dxa"/>
              <w:left w:w="90" w:type="dxa"/>
              <w:bottom w:w="90" w:type="dxa"/>
              <w:right w:w="90" w:type="dxa"/>
            </w:tcMar>
          </w:tcPr>
          <w:p>
            <w:pPr>
              <w:spacing w:after="80" w:before="40"/>
            </w:pPr>
            <w:r>
              <w:rPr>
                <w:b w:val="0"/>
                <w:sz w:val="19"/>
              </w:rPr>
              <w:t>OmniSense reported transducer labels</w:t>
            </w:r>
          </w:p>
        </w:tc>
        <w:tc>
          <w:tcPr>
            <w:tcW w:type="dxa" w:w="3384"/>
            <w:vAlign w:val="top"/>
            <w:shd w:fill="FFFFFF"/>
            <w:tcMar>
              <w:top w:w="90" w:type="dxa"/>
              <w:left w:w="90" w:type="dxa"/>
              <w:bottom w:w="90" w:type="dxa"/>
              <w:right w:w="90" w:type="dxa"/>
            </w:tcMar>
          </w:tcPr>
          <w:p>
            <w:pPr>
              <w:spacing w:after="80" w:before="40"/>
            </w:pPr>
            <w:r>
              <w:rPr>
                <w:b w:val="0"/>
                <w:sz w:val="19"/>
              </w:rPr>
              <w:t>Qualified SensorML descriptive content using SWE typed records or lists</w:t>
            </w:r>
          </w:p>
        </w:tc>
        <w:tc>
          <w:tcPr>
            <w:tcW w:type="dxa" w:w="3816"/>
            <w:vAlign w:val="top"/>
            <w:shd w:fill="FFFFFF"/>
            <w:tcMar>
              <w:top w:w="90" w:type="dxa"/>
              <w:left w:w="90" w:type="dxa"/>
              <w:bottom w:w="90" w:type="dxa"/>
              <w:right w:w="90" w:type="dxa"/>
            </w:tcMar>
          </w:tcPr>
          <w:p>
            <w:pPr>
              <w:spacing w:after="80" w:before="40"/>
            </w:pPr>
            <w:r>
              <w:rPr>
                <w:b w:val="0"/>
                <w:sz w:val="19"/>
              </w:rPr>
              <w:t>Preserve the report’s subject and meaning; labels are not automatically individually identified components.</w:t>
            </w:r>
          </w:p>
        </w:tc>
      </w:tr>
      <w:tr>
        <w:trPr>
          <w:cantSplit/>
        </w:trPr>
        <w:tc>
          <w:tcPr>
            <w:tcW w:type="dxa" w:w="2880"/>
            <w:vAlign w:val="top"/>
            <w:shd w:fill="F0F5F7"/>
            <w:tcMar>
              <w:top w:w="90" w:type="dxa"/>
              <w:left w:w="90" w:type="dxa"/>
              <w:bottom w:w="90" w:type="dxa"/>
              <w:right w:w="90" w:type="dxa"/>
            </w:tcMar>
          </w:tcPr>
          <w:p>
            <w:pPr>
              <w:spacing w:after="80" w:before="40"/>
            </w:pPr>
            <w:r>
              <w:rPr>
                <w:b w:val="0"/>
                <w:sz w:val="19"/>
              </w:rPr>
              <w:t>OmniSense detection algorithms and sensitivity</w:t>
            </w:r>
          </w:p>
        </w:tc>
        <w:tc>
          <w:tcPr>
            <w:tcW w:type="dxa" w:w="3384"/>
            <w:vAlign w:val="top"/>
            <w:shd w:fill="F0F5F7"/>
            <w:tcMar>
              <w:top w:w="90" w:type="dxa"/>
              <w:left w:w="90" w:type="dxa"/>
              <w:bottom w:w="90" w:type="dxa"/>
              <w:right w:w="90" w:type="dxa"/>
            </w:tcMar>
          </w:tcPr>
          <w:p>
            <w:pPr>
              <w:spacing w:after="80" w:before="40"/>
            </w:pPr>
            <w:r>
              <w:rPr>
                <w:b w:val="0"/>
                <w:sz w:val="19"/>
              </w:rPr>
              <w:t>SensorML parameters/modes and source documentation</w:t>
            </w:r>
          </w:p>
        </w:tc>
        <w:tc>
          <w:tcPr>
            <w:tcW w:type="dxa" w:w="3816"/>
            <w:vAlign w:val="top"/>
            <w:shd w:fill="F0F5F7"/>
            <w:tcMar>
              <w:top w:w="90" w:type="dxa"/>
              <w:left w:w="90" w:type="dxa"/>
              <w:bottom w:w="90" w:type="dxa"/>
              <w:right w:w="90" w:type="dxa"/>
            </w:tcMar>
          </w:tcPr>
          <w:p>
            <w:pPr>
              <w:spacing w:after="80" w:before="40"/>
            </w:pPr>
            <w:r>
              <w:rPr>
                <w:b w:val="0"/>
                <w:sz w:val="19"/>
              </w:rPr>
              <w:t>Separate algorithm settings from hardware; retain source-specific dependency wording and vocabularies.</w:t>
            </w:r>
          </w:p>
        </w:tc>
      </w:tr>
      <w:tr>
        <w:trPr>
          <w:cantSplit/>
        </w:trPr>
        <w:tc>
          <w:tcPr>
            <w:tcW w:type="dxa" w:w="2880"/>
            <w:vAlign w:val="top"/>
            <w:shd w:fill="FFFFFF"/>
            <w:tcMar>
              <w:top w:w="90" w:type="dxa"/>
              <w:left w:w="90" w:type="dxa"/>
              <w:bottom w:w="90" w:type="dxa"/>
              <w:right w:w="90" w:type="dxa"/>
            </w:tcMar>
          </w:tcPr>
          <w:p>
            <w:pPr>
              <w:spacing w:after="80" w:before="40"/>
            </w:pPr>
            <w:r>
              <w:rPr>
                <w:b w:val="0"/>
                <w:sz w:val="19"/>
              </w:rPr>
              <w:t>Requested versus applied device change</w:t>
            </w:r>
          </w:p>
        </w:tc>
        <w:tc>
          <w:tcPr>
            <w:tcW w:type="dxa" w:w="3384"/>
            <w:vAlign w:val="top"/>
            <w:shd w:fill="FFFFFF"/>
            <w:tcMar>
              <w:top w:w="90" w:type="dxa"/>
              <w:left w:w="90" w:type="dxa"/>
              <w:bottom w:w="90" w:type="dxa"/>
              <w:right w:w="90" w:type="dxa"/>
            </w:tcMar>
          </w:tcPr>
          <w:p>
            <w:pPr>
              <w:spacing w:after="80" w:before="40"/>
            </w:pPr>
            <w:r>
              <w:rPr>
                <w:b w:val="0"/>
                <w:sz w:val="19"/>
              </w:rPr>
              <w:t>Part 2 Commands and CommandStatus only where that real interaction is supported</w:t>
            </w:r>
          </w:p>
        </w:tc>
        <w:tc>
          <w:tcPr>
            <w:tcW w:type="dxa" w:w="3816"/>
            <w:vAlign w:val="top"/>
            <w:shd w:fill="FFFFFF"/>
            <w:tcMar>
              <w:top w:w="90" w:type="dxa"/>
              <w:left w:w="90" w:type="dxa"/>
              <w:bottom w:w="90" w:type="dxa"/>
              <w:right w:w="90" w:type="dxa"/>
            </w:tcMar>
          </w:tcPr>
          <w:p>
            <w:pPr>
              <w:spacing w:after="80" w:before="40"/>
            </w:pPr>
            <w:r>
              <w:rPr>
                <w:b w:val="0"/>
                <w:sz w:val="19"/>
              </w:rPr>
              <w:t>Bind evidence to the actual request and device; a database Queue operation is not a fabricated completion event.</w:t>
            </w:r>
          </w:p>
        </w:tc>
      </w:tr>
      <w:tr>
        <w:trPr>
          <w:cantSplit/>
        </w:trPr>
        <w:tc>
          <w:tcPr>
            <w:tcW w:type="dxa" w:w="2880"/>
            <w:vAlign w:val="top"/>
            <w:shd w:fill="F0F5F7"/>
            <w:tcMar>
              <w:top w:w="90" w:type="dxa"/>
              <w:left w:w="90" w:type="dxa"/>
              <w:bottom w:w="90" w:type="dxa"/>
              <w:right w:w="90" w:type="dxa"/>
            </w:tcMar>
          </w:tcPr>
          <w:p>
            <w:pPr>
              <w:spacing w:after="80" w:before="40"/>
            </w:pPr>
            <w:r>
              <w:rPr>
                <w:b w:val="0"/>
                <w:sz w:val="19"/>
              </w:rPr>
              <w:t>BME280 available functions and modes</w:t>
            </w:r>
          </w:p>
        </w:tc>
        <w:tc>
          <w:tcPr>
            <w:tcW w:type="dxa" w:w="3384"/>
            <w:vAlign w:val="top"/>
            <w:shd w:fill="F0F5F7"/>
            <w:tcMar>
              <w:top w:w="90" w:type="dxa"/>
              <w:left w:w="90" w:type="dxa"/>
              <w:bottom w:w="90" w:type="dxa"/>
              <w:right w:w="90" w:type="dxa"/>
            </w:tcMar>
          </w:tcPr>
          <w:p>
            <w:pPr>
              <w:spacing w:after="80" w:before="40"/>
            </w:pPr>
            <w:r>
              <w:rPr>
                <w:b w:val="0"/>
                <w:sz w:val="19"/>
              </w:rPr>
              <w:t>General SensorML process description, outputs, parameters and mode definitions</w:t>
            </w:r>
          </w:p>
        </w:tc>
        <w:tc>
          <w:tcPr>
            <w:tcW w:type="dxa" w:w="3816"/>
            <w:vAlign w:val="top"/>
            <w:shd w:fill="F0F5F7"/>
            <w:tcMar>
              <w:top w:w="90" w:type="dxa"/>
              <w:left w:w="90" w:type="dxa"/>
              <w:bottom w:w="90" w:type="dxa"/>
              <w:right w:w="90" w:type="dxa"/>
            </w:tcMar>
          </w:tcPr>
          <w:p>
            <w:pPr>
              <w:spacing w:after="80" w:before="40"/>
            </w:pPr>
            <w:r>
              <w:rPr>
                <w:b w:val="0"/>
                <w:sz w:val="19"/>
              </w:rPr>
              <w:t>Do not fill instance settings from model options or reset behavior; do not infer three hardware resources.</w:t>
            </w:r>
          </w:p>
        </w:tc>
      </w:tr>
      <w:tr>
        <w:trPr>
          <w:cantSplit/>
        </w:trPr>
        <w:tc>
          <w:tcPr>
            <w:tcW w:type="dxa" w:w="2880"/>
            <w:vAlign w:val="top"/>
            <w:shd w:fill="FFFFFF"/>
            <w:tcMar>
              <w:top w:w="90" w:type="dxa"/>
              <w:left w:w="90" w:type="dxa"/>
              <w:bottom w:w="90" w:type="dxa"/>
              <w:right w:w="90" w:type="dxa"/>
            </w:tcMar>
          </w:tcPr>
          <w:p>
            <w:pPr>
              <w:spacing w:after="80" w:before="40"/>
            </w:pPr>
            <w:r>
              <w:rPr>
                <w:b w:val="0"/>
                <w:sz w:val="19"/>
              </w:rPr>
              <w:t>An actually identified component relationship</w:t>
            </w:r>
          </w:p>
        </w:tc>
        <w:tc>
          <w:tcPr>
            <w:tcW w:type="dxa" w:w="3384"/>
            <w:vAlign w:val="top"/>
            <w:shd w:fill="FFFFFF"/>
            <w:tcMar>
              <w:top w:w="90" w:type="dxa"/>
              <w:left w:w="90" w:type="dxa"/>
              <w:bottom w:w="90" w:type="dxa"/>
              <w:right w:w="90" w:type="dxa"/>
            </w:tcMar>
          </w:tcPr>
          <w:p>
            <w:pPr>
              <w:spacing w:after="80" w:before="40"/>
            </w:pPr>
            <w:r>
              <w:rPr>
                <w:b w:val="0"/>
                <w:sz w:val="19"/>
              </w:rPr>
              <w:t>SensorML system composition / applicable CSAPI System and Deployment relationships</w:t>
            </w:r>
          </w:p>
        </w:tc>
        <w:tc>
          <w:tcPr>
            <w:tcW w:type="dxa" w:w="3816"/>
            <w:vAlign w:val="top"/>
            <w:shd w:fill="FFFFFF"/>
            <w:tcMar>
              <w:top w:w="90" w:type="dxa"/>
              <w:left w:w="90" w:type="dxa"/>
              <w:bottom w:w="90" w:type="dxa"/>
              <w:right w:w="90" w:type="dxa"/>
            </w:tcMar>
          </w:tcPr>
          <w:p>
            <w:pPr>
              <w:spacing w:after="80" w:before="40"/>
            </w:pPr>
            <w:r>
              <w:rPr>
                <w:b w:val="0"/>
                <w:sz w:val="19"/>
              </w:rPr>
              <w:t>Use only the subject, relationship and temporal scope supported by the source; not an inferred identity for a label.</w:t>
            </w:r>
          </w:p>
        </w:tc>
      </w:tr>
    </w:tbl>
    <w:p>
      <w:pPr>
        <w:pStyle w:val="Caption"/>
        <w:widowControl/>
      </w:pPr>
      <w:r>
        <w:t>Table 1. Proposed representation choices for the same source facts. These are modeling decisions, not observed vendor JSON and not a published cross-standard binding. Source locators are S40–S42; OGC mechanisms are S01–S04.</w:t>
      </w:r>
    </w:p>
    <w:p>
      <w:pPr>
        <w:pStyle w:val="Heading2"/>
        <w:keepNext/>
        <w:widowControl/>
      </w:pPr>
      <w:r>
        <w:t>B.7 What would be different for the user</w:t>
      </w:r>
    </w:p>
    <w:p>
      <w:pPr>
        <w:widowControl/>
        <w:spacing w:after="100"/>
      </w:pPr>
      <w:r>
        <w:t>For the TRSS illustration, MERLIN could explain that the shown detector types are recorded choices for Detector 1 and Detector 2, with the source-specific constraint retained. It could distinguish an allowed choice from the illustrated selection and make the orientation limitation understandable. It could not truthfully promise an installed-detector inventory or an attachment timestamp from this evidence. Those outcomes are achievable in A as well as B; B would make the interpretation more portable to consumers that implement the same agreement.</w:t>
      </w:r>
    </w:p>
    <w:p>
      <w:pPr>
        <w:widowControl/>
        <w:spacing w:after="100"/>
      </w:pPr>
      <w:r>
        <w:t>For the OmniSense illustration, the user could see a reported transducer list separately from detection algorithms and their settings. A queued change could remain explicitly unconfirmed until the integrated source provides applicable evidence of completion, rather than being shown as an accomplished device change. The documented dependence of an algorithm on its transducers could remain available as an explanation, without manufacturing a readiness score or a complete dependency graph. This is a reuse of interpretive behavior, not a claim that the manual already exposes every fact needed to automate the explanation (McQ Inc. n.d., supplied slides 1–2, 6–7).</w:t>
      </w:r>
    </w:p>
    <w:p>
      <w:pPr>
        <w:widowControl/>
        <w:spacing w:after="100"/>
      </w:pPr>
      <w:r>
        <w:t>For the BME280 model, the user could understand available measurement functions and configuration choices while seeing that no instance settings have been supplied. The view need not contain empty Detector 1 and Detector 2 rows to resemble the UGS cases. The same model-versus-instance distinction can be reused, but the function-specific content must remain appropriate to the environmental device. A consistent experience therefore means consistent treatment of meaning, not identical field lists or a fixed screen layout.</w:t>
      </w:r>
    </w:p>
    <w:p>
      <w:pPr>
        <w:pStyle w:val="Heading2"/>
        <w:keepNext/>
        <w:widowControl/>
      </w:pPr>
      <w:r>
        <w:t>B.8 What the developers would reuse—and what they would not</w:t>
      </w:r>
    </w:p>
    <w:p>
      <w:pPr>
        <w:widowControl/>
        <w:spacing w:after="100"/>
      </w:pPr>
      <w:r>
        <w:t>The proposed reusable part is the interpretation contract and the client handling attached to it. A consumer could recognize a supported model description, a recorded parameter selection, a reported list, or a qualified change status without first learning the supplier name. Within MERLIN, shared application code could use those distinctions across Details, tables, or other views without repeating a field-name guess in every module. However, competent A can already centralize that code, so B must not claim elimination of duplicated client work that the baseline never required.</w:t>
      </w:r>
    </w:p>
    <w:p>
      <w:pPr>
        <w:widowControl/>
        <w:spacing w:after="100"/>
      </w:pPr>
      <w:r>
        <w:t>The integration-specific part remains substantial. TRSS still needs its detector-position rules and source meanings; OmniSense still needs its database/communication workflow and algorithm interpretation; a BME280 integration would still need its actual host interface, configuration acquisition and data handling. An external equipment model does not decode those interfaces or supply absent timestamps and component identities. The proposed agreement moves repeatable interpretation into a shared place but does not make supplier integration automatic.</w:t>
      </w:r>
    </w:p>
    <w:p>
      <w:pPr>
        <w:widowControl/>
        <w:spacing w:after="100"/>
      </w:pPr>
      <w:r>
        <w:t>The strongest additional value of B occurs across independently developed producers or consumers that otherwise make compatible-but-different OGC content choices. There, agreeing on the meaning and placement of a small set of facts can reduce bilateral reconciliation and make intended reuse explicit. If only one controlled adapter and one client need the information, local conventions within A may be the lower-cost choice. This is the decision boundary for the proposal, not an assumed claim that every system requires another published profile.</w:t>
      </w:r>
    </w:p>
    <w:p>
      <w:pPr>
        <w:pStyle w:val="Heading2"/>
        <w:keepNext/>
        <w:widowControl/>
      </w:pPr>
      <w:r>
        <w:t>B.9 What the external models add in this worked case</w:t>
      </w:r>
    </w:p>
    <w:p>
      <w:pPr>
        <w:widowControl/>
        <w:spacing w:after="100"/>
      </w:pPr>
      <w:r>
        <w:t>RFC 8348 is a real management-model alternative, not an arbitrary collection of property names: its component list uses names and hardware classes and separates relevant configuration and operational information. That is valuable where a source supplies a managed inventory, where pre-provisioned and present components must be reconciled, or where a partner already uses the module. The selected TRSS choices, OmniSense labels and BME280 model functions do not establish that use case. Our recommendation for these records is therefore not to introduce an RFC 8348 implementation solely to organize their descriptions (Internet Engineering Task Force 2018, §§2–4, 7.1).</w:t>
      </w:r>
    </w:p>
    <w:p>
      <w:pPr>
        <w:widowControl/>
        <w:spacing w:after="100"/>
      </w:pPr>
      <w:r>
        <w:t>The specific AAS hierarchy remains a credible alternative for distributed or co-managed asset descriptions, but the three cases do not show such an exchange need. TechnicalData would introduce another organized container without resolving the source-specific meanings, while Capability Description addresses a requirement-to-offered-function relationship that this example does not perform. These judgments do not depend on the supplier already being standards-conformant: adopting an external model could be useful for a new integration, but only if its actual agreed content earns the additional work. The present comparison does not identify enough extra content for those choices (Industrial Digital Twin Association 2024, §§1.2–1.5; 2025a, §2.1; 2026a, §§1.2–1.6).</w:t>
      </w:r>
    </w:p>
    <w:p>
      <w:pPr>
        <w:widowControl/>
        <w:spacing w:after="100"/>
      </w:pPr>
      <w:r>
        <w:t>MIMOSA’s asset continuity and event distinctions remain relevant to the separate lifecycle question, not to every detector or function list. No installation event or replacement history is invented to make the present cases fit CCOM, and the outstanding exact-edition question remains with that candidate. The marine conventions remain methodological and content precedents, while the proposed current OGC agreement is work that this project would author. Thus the proposed implementation is OGC plus an explicit content agreement, not simultaneous implementation of the marine XML profile, RFC 8348, AAS and CCOM (MIMOSA 2018, pp. 7–8; Kokkinaki et al. n.d.; this study, §1).</w:t>
      </w:r>
    </w:p>
    <w:p>
      <w:pPr>
        <w:pStyle w:val="Heading2"/>
        <w:keepNext/>
        <w:widowControl/>
      </w:pPr>
      <w:r>
        <w:t>B.10 Qualitative value and effort assessment</w:t>
      </w:r>
    </w:p>
    <w:p>
      <w:pPr>
        <w:widowControl/>
        <w:spacing w:after="100"/>
      </w:pPr>
      <w:r>
        <w:t>The same data can be represented faithfully through A or B; the worked comparison establishes no exclusive representational advantage for B. B’s prospective advantage is an explicit shared interpretation that independent implementations can reuse, along with clearer ownership of the common rules. Its added costs are agreeing on terms and applicability, maintaining current bindings, communicating revisions and supporting consumers that do not understand the agreement. These are identifiable work categories, not measured labor hours or a claimed return on investment.</w:t>
      </w:r>
    </w:p>
    <w:p>
      <w:pPr>
        <w:widowControl/>
        <w:spacing w:after="100"/>
      </w:pPr>
      <w:r>
        <w:t>Work eliminated would be repeated agreement on the same meanings between participants who actually adopt the convention. Work relocated would be common interpretation and compatibility decisions moved from individual integrations into a shared specification and reusable code. Work unchanged includes source-interface development, vendor expertise, permission handling, provenance and missing-data treatment; work added includes the agreement’s stewardship and adoption effort. With no effort measurements or independent implementation results, the recommendation is to keep the agreement small enough that its content benefit can be reviewed directly rather than claim quantified savings (“Domain Information Models and CSAPI Integration” 2026, §9).</w:t>
      </w:r>
    </w:p>
    <w:p>
      <w:pPr>
        <w:pStyle w:val="Heading2"/>
        <w:keepNext/>
        <w:widowControl/>
      </w:pPr>
      <w:r>
        <w:t>B.11 The resulting recommendation and its limits</w:t>
      </w:r>
    </w:p>
    <w:p>
      <w:pPr>
        <w:widowControl/>
        <w:spacing w:after="100"/>
      </w:pPr>
      <w:r>
        <w:t>Superseded recommendation: the original v0.6 exercise proposed a small OGC-centered agreement focused on its selected equipment and configuration distinctions. Current Section 1 replaces that as the overall direction with a broader profile of physical sensing systems and their deployments. The following limited-case reasoning is not an instruction to narrow the profile back to those examples.</w:t>
      </w:r>
    </w:p>
    <w:p>
      <w:pPr>
        <w:widowControl/>
        <w:spacing w:after="100"/>
      </w:pPr>
      <w:r>
        <w:t>This is a recommendation for a bounded agreement to be authored, not a claim that an established cross-domain profile has been found or that its implementation savings have been demonstrated. RFC 8348 remains the leading hardware comparator for a later inventory requirement, with its exact Mandated / IC-Mandated DISR status unchanged. No new DISR or NATO submission follows from the selected records; the existing OGC records and the separately documented STANAG 4789 route remain the relevant governance context. MIMOSA’s lifecycle question, supplier-native interfaces and any formal publication of the new agreement remain separate decisions (“StandardsReport” 2026; NATO Standardization Office 2026).</w:t>
      </w:r>
    </w:p>
    <w:p>
      <w:pPr>
        <w:widowControl/>
        <w:spacing w:after="100"/>
      </w:pPr>
      <w:r>
        <w:t>The earlier next action to authorize a limited description agreement is withdrawn. The next decision now concerns the content and source selection for the family-level application profile described in current Section 1.13. This preserves useful case evidence without making data scarcity the boundary of the technical solution.</w:t>
      </w:r>
    </w:p>
    <w:sectPr w:rsidR="00FC693F" w:rsidRPr="0006063C" w:rsidSect="00034616">
      <w:headerReference w:type="default" r:id="rId9"/>
      <w:footerReference w:type="default" r:id="rId10"/>
      <w:pgSz w:w="12240" w:h="15840"/>
      <w:pgMar w:top="979" w:right="1123" w:bottom="979"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 xml:space="preserve">v0.10  •  22 October 2026                                      Research draft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80"/>
      <w:pBdr>
        <w:bottom w:val="single" w:sz="5" w:color="BCD0D6"/>
      </w:pBdr>
    </w:pPr>
    <w:r>
      <w:t>MERLIN  /  DOMAIN INFORMATION MODELS  /  RESEARCH NOTEBOOK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83B52"/>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83B52"/>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47D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Calibri" w:hAnsi="Calibri"/>
      <w:b w:val="0"/>
      <w:color w:val="183B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Calibri" w:hAnsi="Calibri"/>
      <w:b w:val="0"/>
      <w:i/>
      <w:iCs/>
      <w:color w:val="42617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57"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keepNext/>
      <w:widowControl/>
      <w:spacing w:after="120" w:line="247" w:lineRule="auto"/>
      <w:ind w:left="259" w:hanging="259"/>
    </w:pPr>
    <w:rPr>
      <w:rFonts w:ascii="Calibri" w:hAnsi="Calibri"/>
      <w:color w:val="364C58"/>
      <w:sz w:val="19"/>
    </w:rPr>
  </w:style>
  <w:style w:type="paragraph" w:customStyle="1" w:styleId="Metadata">
    <w:name w:val="Metadata"/>
    <w:pPr>
      <w:keepNext/>
      <w:widowControl/>
      <w:spacing w:after="120" w:line="247" w:lineRule="auto"/>
    </w:pPr>
    <w:rPr>
      <w:rFonts w:ascii="Calibri" w:hAnsi="Calibri"/>
      <w:color w:val="53646E"/>
      <w:sz w:val="18"/>
    </w:rPr>
  </w:style>
  <w:style w:type="paragraph" w:customStyle="1" w:styleId="Small">
    <w:name w:val="Small"/>
    <w:pPr>
      <w:widowControl/>
      <w:spacing w:after="120" w:line="247" w:lineRule="auto"/>
    </w:pPr>
    <w:rPr>
      <w:rFonts w:ascii="Calibri" w:hAnsi="Calibri"/>
      <w:color w:val="53646E"/>
      <w:sz w:val="19"/>
    </w:rPr>
  </w:style>
  <w:style w:type="paragraph" w:customStyle="1" w:styleId="Eyebrow">
    <w:name w:val="Eyebrow"/>
    <w:pPr>
      <w:keepNext/>
      <w:widowControl/>
      <w:spacing w:after="120" w:line="247" w:lineRule="auto"/>
    </w:pPr>
    <w:rPr>
      <w:rFonts w:ascii="Calibri" w:hAnsi="Calibri"/>
      <w:b/>
      <w:color w:val="147D86"/>
      <w:sz w:val="20"/>
    </w:rPr>
  </w:style>
  <w:style w:type="paragraph" w:customStyle="1" w:styleId="Callout">
    <w:name w:val="Callout"/>
    <w:pPr>
      <w:widowControl/>
      <w:spacing w:after="120" w:line="247" w:lineRule="auto"/>
    </w:pPr>
    <w:rPr>
      <w:rFonts w:ascii="Calibri" w:hAnsi="Calibri"/>
      <w:b/>
      <w:color w:val="183B52"/>
      <w:sz w:val="24"/>
    </w:rPr>
  </w:style>
  <w:style w:type="paragraph" w:customStyle="1" w:styleId="SupplementNote">
    <w:name w:val="SupplementNote"/>
    <w:basedOn w:val="Metadata"/>
    <w:rPr>
      <w:color w:val="5464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Domain Information Models and CSAPI Integration — research v0.10</dc:title>
  <dc:subject>Version 0.7: family-level applicability, domain models, OGC profiles and Power Source coordination</dc:subject>
  <dc:creator>MERLIN research working document</dc:creator>
  <cp:keywords>MERLIN; CSAPI; SensorML; domain information models; annotated bibliography; CMOS 18</cp:keywords>
  <dc:description>v0.6; documentary case comparison, no live interoperability claim.</dc:description>
  <cp:lastModifiedBy/>
  <cp:revision>1</cp:revision>
  <dcterms:created xsi:type="dcterms:W3CDTF">2013-12-23T23:15:00Z</dcterms:created>
  <dcterms:modified xsi:type="dcterms:W3CDTF">2013-12-23T23:15:00Z</dcterms:modified>
  <cp:category/>
  <cp:version>0.7</cp:version>
</cp:coreProperties>
</file>