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OSCAR mapped to MPSS</w:t>
      </w:r>
    </w:p>
    <w:p>
      <w:pPr>
        <w:pStyle w:val="Subtitle"/>
      </w:pPr>
      <w:r>
        <w:t>Worked information mapping and bounded residual standards assessment</w:t>
      </w:r>
    </w:p>
    <w:p>
      <w:r>
        <w:t>Prepared for Sam Bolling • Research companion v1.0 • 22 October 2026</w:t>
      </w:r>
    </w:p>
    <w:p>
      <w:r>
        <w:t>Basis: MPSS technical profile v0.3.5, source register v0.9, and the OSCAR revisions pinned by the supplied review. Output: a source-grounded worked contract mapping, selected historical donor-example checks, explicit dispositions and an updated research collection. No server, client, GitHub issue or main-profile binding was changed.</w:t>
      </w:r>
    </w:p>
    <w:p>
      <w:pPr>
        <w:pStyle w:val="Heading1"/>
      </w:pPr>
      <w:r>
        <w:t>1. Result and scope</w:t>
      </w:r>
    </w:p>
    <w:p>
      <w:r>
        <w:t>The existing whole-system organization accommodates substantial OSCAR information without redefining equipment, functions, products or actions. The reviewed materials do not establish a need for a new common Operational Episode. They do expose concrete vocabulary and relationship-publication work, together with source ambiguities that must remain visible. This finding is narrower and more useful than either declaring the whole application already mapped or treating every difficult item as outside scope.</w:t>
      </w:r>
    </w:p>
    <w:p>
      <w:r>
        <w:t>The user-approved task was to show the existing fit before expanding the model, then research the remainder. The study therefore follows one source-contract case: an occupancy summary with alarm fields, associated video, an analysis observation and an adjudication command/result. Its example instance values are explicitly fictional, because no actual OSCAR passage capture was supplied. Separate N42 examples bundled in the pinned repository are examined as independent donor evidence, not passed off as that same passage.</w:t>
      </w:r>
    </w:p>
    <w:p>
      <w:r>
        <w:t>This companion does not implement an OSCAR adapter or repeat the earlier server-preservation tests. It does not require a universal event object, RDF database, case engine or new service deployment. The main technical profile remains v0.3.5 so the mapping can be evaluated against a stable baseline rather than a baseline silently changed to make the example fit.</w:t>
      </w:r>
    </w:p>
    <w:p>
      <w:pPr>
        <w:pStyle w:val="Heading1"/>
      </w:pPr>
      <w:r>
        <w:t>2. Evidence and baseline reconciliation</w:t>
      </w:r>
    </w:p>
    <w:p>
      <w:r>
        <w:t>The supplied architecture review v1.1 and scope clarification evaluated MPSS v0.3.2. The current v0.3.5 already contains later source-identity, composition, mode/product, R11 lineage-preservation and R17 quantity guidance. The older reviews are retained as inputs, but their missing-capability claims are not automatically promoted into current requirements. Their proposed Operational Episode remains a recommendation, not an approved source-standard concept. [Input reviews, baseline and limitations; MPSS v0.3.5 §§5–7]</w:t>
      </w:r>
    </w:p>
    <w:tbl>
      <w:tblPr>
        <w:tblStyle w:val="LightShading-Accent1"/>
        <w:tblW w:type="auto" w:w="0"/>
        <w:tblLayout w:type="fixed"/>
        <w:tblLook w:firstColumn="1" w:firstRow="1" w:lastColumn="0" w:lastRow="0" w:noHBand="0" w:noVBand="1" w:val="04A0"/>
      </w:tblPr>
      <w:tblGrid>
        <w:gridCol w:w="3360"/>
        <w:gridCol w:w="3360"/>
        <w:gridCol w:w="3360"/>
      </w:tblGrid>
      <w:tr>
        <w:trPr>
          <w:cantSplit/>
          <w:tblHeader/>
        </w:trPr>
        <w:tc>
          <w:tcPr>
            <w:tcW w:type="dxa" w:w="1800"/>
            <w:shd w:fill="087E8B"/>
          </w:tcPr>
          <w:p>
            <w:pPr>
              <w:spacing w:after="80" w:before="60"/>
            </w:pPr>
            <w:r>
              <w:rPr>
                <w:b/>
                <w:color w:val="FFFFFF"/>
                <w:sz w:val="18"/>
              </w:rPr>
              <w:t>Evidence layer</w:t>
            </w:r>
          </w:p>
        </w:tc>
        <w:tc>
          <w:tcPr>
            <w:tcW w:type="dxa" w:w="3672"/>
            <w:shd w:fill="087E8B"/>
          </w:tcPr>
          <w:p>
            <w:pPr>
              <w:spacing w:after="80" w:before="60"/>
            </w:pPr>
            <w:r>
              <w:rPr>
                <w:b/>
                <w:color w:val="FFFFFF"/>
                <w:sz w:val="18"/>
              </w:rPr>
              <w:t>What was used</w:t>
            </w:r>
          </w:p>
        </w:tc>
        <w:tc>
          <w:tcPr>
            <w:tcW w:type="dxa" w:w="4464"/>
            <w:shd w:fill="087E8B"/>
          </w:tcPr>
          <w:p>
            <w:pPr>
              <w:spacing w:after="80" w:before="60"/>
            </w:pPr>
            <w:r>
              <w:rPr>
                <w:b/>
                <w:color w:val="FFFFFF"/>
                <w:sz w:val="18"/>
              </w:rPr>
              <w:t>What it cannot prove</w:t>
            </w:r>
          </w:p>
        </w:tc>
      </w:tr>
      <w:tr>
        <w:trPr>
          <w:cantSplit/>
        </w:trPr>
        <w:tc>
          <w:tcPr>
            <w:tcW w:type="dxa" w:w="1800"/>
          </w:tcPr>
          <w:p>
            <w:pPr>
              <w:spacing w:after="80" w:before="60"/>
            </w:pPr>
            <w:r>
              <w:rPr>
                <w:sz w:val="18"/>
              </w:rPr>
              <w:t>Current MERLIN baseline</w:t>
            </w:r>
          </w:p>
        </w:tc>
        <w:tc>
          <w:tcPr>
            <w:tcW w:type="dxa" w:w="3672"/>
          </w:tcPr>
          <w:p>
            <w:pPr>
              <w:spacing w:after="80" w:before="60"/>
            </w:pPr>
            <w:r>
              <w:rPr>
                <w:sz w:val="18"/>
              </w:rPr>
              <w:t>v0.3.5 profile/example/catalogue, primer v0.5, research v0.9 and continuity documents.</w:t>
            </w:r>
          </w:p>
        </w:tc>
        <w:tc>
          <w:tcPr>
            <w:tcW w:type="dxa" w:w="4464"/>
          </w:tcPr>
          <w:p>
            <w:pPr>
              <w:spacing w:after="80" w:before="60"/>
            </w:pPr>
            <w:r>
              <w:rPr>
                <w:sz w:val="18"/>
              </w:rPr>
              <w:t>Production support or a completed radiation specialization.</w:t>
            </w:r>
          </w:p>
        </w:tc>
      </w:tr>
      <w:tr>
        <w:trPr>
          <w:cantSplit/>
        </w:trPr>
        <w:tc>
          <w:tcPr>
            <w:tcW w:type="dxa" w:w="1800"/>
          </w:tcPr>
          <w:p>
            <w:pPr>
              <w:spacing w:after="80" w:before="60"/>
            </w:pPr>
            <w:r>
              <w:rPr>
                <w:sz w:val="18"/>
              </w:rPr>
              <w:t>Pinned OSCAR source</w:t>
            </w:r>
          </w:p>
        </w:tc>
        <w:tc>
          <w:tcPr>
            <w:tcW w:type="dxa" w:w="3672"/>
          </w:tcPr>
          <w:p>
            <w:pPr>
              <w:spacing w:after="80" w:before="60"/>
            </w:pPr>
            <w:r>
              <w:rPr>
                <w:sz w:val="18"/>
              </w:rPr>
              <w:t>Viewer 4b49c7ce; modules 817f408a; buildnode ab8b847b; selected code and manual.</w:t>
            </w:r>
          </w:p>
        </w:tc>
        <w:tc>
          <w:tcPr>
            <w:tcW w:type="dxa" w:w="4464"/>
          </w:tcPr>
          <w:p>
            <w:pPr>
              <w:spacing w:after="80" w:before="60"/>
            </w:pPr>
            <w:r>
              <w:rPr>
                <w:sz w:val="18"/>
              </w:rPr>
              <w:t>That every described branch ran on the user’s server.</w:t>
            </w:r>
          </w:p>
        </w:tc>
      </w:tr>
      <w:tr>
        <w:trPr>
          <w:cantSplit/>
        </w:trPr>
        <w:tc>
          <w:tcPr>
            <w:tcW w:type="dxa" w:w="1800"/>
          </w:tcPr>
          <w:p>
            <w:pPr>
              <w:spacing w:after="80" w:before="60"/>
            </w:pPr>
            <w:r>
              <w:rPr>
                <w:sz w:val="18"/>
              </w:rPr>
              <w:t>Primary standards</w:t>
            </w:r>
          </w:p>
        </w:tc>
        <w:tc>
          <w:tcPr>
            <w:tcW w:type="dxa" w:w="3672"/>
          </w:tcPr>
          <w:p>
            <w:pPr>
              <w:spacing w:after="80" w:before="60"/>
            </w:pPr>
            <w:r>
              <w:rPr>
                <w:sz w:val="18"/>
              </w:rPr>
              <w:t>NIST examples/index; approved OGC material; W3C PROV; dated SSN draft; conditional DCAT/CMMN/Processes.</w:t>
            </w:r>
          </w:p>
        </w:tc>
        <w:tc>
          <w:tcPr>
            <w:tcW w:type="dxa" w:w="4464"/>
          </w:tcPr>
          <w:p>
            <w:pPr>
              <w:spacing w:after="80" w:before="60"/>
            </w:pPr>
            <w:r>
              <w:rPr>
                <w:sz w:val="18"/>
              </w:rPr>
              <w:t>Full native conformance from an index, excerpt or mapping.</w:t>
            </w:r>
          </w:p>
        </w:tc>
      </w:tr>
      <w:tr>
        <w:trPr>
          <w:cantSplit/>
        </w:trPr>
        <w:tc>
          <w:tcPr>
            <w:tcW w:type="dxa" w:w="1800"/>
          </w:tcPr>
          <w:p>
            <w:pPr>
              <w:spacing w:after="80" w:before="60"/>
            </w:pPr>
            <w:r>
              <w:rPr>
                <w:sz w:val="18"/>
              </w:rPr>
              <w:t>Authored specimens</w:t>
            </w:r>
          </w:p>
        </w:tc>
        <w:tc>
          <w:tcPr>
            <w:tcW w:type="dxa" w:w="3672"/>
          </w:tcPr>
          <w:p>
            <w:pPr>
              <w:spacing w:after="80" w:before="60"/>
            </w:pPr>
            <w:r>
              <w:rPr>
                <w:sz w:val="18"/>
              </w:rPr>
              <w:t>Fictional OSCAR contract instance and a small selected N42-to-PROV translation.</w:t>
            </w:r>
          </w:p>
        </w:tc>
        <w:tc>
          <w:tcPr>
            <w:tcW w:type="dxa" w:w="4464"/>
          </w:tcPr>
          <w:p>
            <w:pPr>
              <w:spacing w:after="80" w:before="60"/>
            </w:pPr>
            <w:r>
              <w:rPr>
                <w:sz w:val="18"/>
              </w:rPr>
              <w:t>Captured vendor data, official schemas or an adopted profile extension.</w:t>
            </w:r>
          </w:p>
        </w:tc>
      </w:tr>
    </w:tbl>
    <w:p/>
    <w:p>
      <w:r>
        <w:t>The current master source identities S01–S124 are preserved. Sixteen additional records, S125–S140, cover standards, official examples/indexes and pinned implementation sources; they are not sixteen newly implemented standards. The workbook separates inspection depth, adoption evidence, intended use, conformance target and residual action for each source. The complete authoritative 10 October DISR baseline is unchanged and no new adoption status is invented.</w:t>
      </w:r>
    </w:p>
    <w:p>
      <w:pPr>
        <w:pStyle w:val="Heading1"/>
      </w:pPr>
      <w:r>
        <w:t>3. Read the worked case from equipment to useful information</w:t>
      </w:r>
    </w:p>
    <w:p>
      <w:pPr>
        <w:pStyle w:val="Heading2"/>
      </w:pPr>
      <w:r>
        <w:t>3.1 Equipment and employment: keep the identity test</w:t>
      </w:r>
    </w:p>
    <w:p>
      <w:r>
        <w:t>OSCAR’s LaneSystem registers detector, processing and camera modules, while its viewer also uses UID patterns to discover lanes and associate subsystems. Those are real implementation relationships, but software registration alone does not establish physical containment or installation history. MPSS can retain the source System and participant identities while using composition, attachment or Deployment only for the relationship actually supported. A lane’s physical corridor, managed assembly and operating employment must not be forced into one identity merely because the UI uses one label. [S138, Node.ts; S139, LaneSystem.java; MPSS R01–R08]</w:t>
      </w:r>
    </w:p>
    <w:p>
      <w:r>
        <w:t>The independent N42 Annex D example provides instrument model and version information and named detector records. These fit identity/technical description and detector-role concerns already covered by the common organization. The XML IDs remain document-scoped source identifiers unless separate evidence establishes enduring equipment identity. No geographic coordinates, deployment period, power graph or maintenance record is created to fill an empty section. [S125/S139, Annex D; MPSS R01–R03/R05–R08/R16–R20]</w:t>
      </w:r>
    </w:p>
    <w:p>
      <w:pPr>
        <w:pStyle w:val="Heading2"/>
      </w:pPr>
      <w:r>
        <w:t>3.2 Functions and outputs: the useful reuse, and the actual vocabulary gap</w:t>
      </w:r>
    </w:p>
    <w:p>
      <w:r>
        <w:t>MPSS R09–R10 provides a reusable path from an identified function to its named output and then to a DataStream with the same producing System and outputName. That is a stronger organizing agreement than a display that simply lists all available streams. OSCAR already uses observed/controlled-property definitions for several stream roles, so the generic comparison must retain that benefit rather than pretend the application recognizes only labels. The added profile interpretation is the published function/product/action correspondence, not the mere existence of a CSAPI Observation. [MPSS R04/R09–R12; S138, Utilities.ts]</w:t>
      </w:r>
    </w:p>
    <w:p>
      <w:r>
        <w:t>The current catalogue’s function-kind code space contains environmental-measurement and internal-monitoring. Neither automatically supplies the radiation/occupancy function needed by this case, and the companion does not smuggle in a third value. The existing group structure is reusable, but complete specialization support requires a small, explicit vocabulary decision and its extension/recognition rules. This is a genuine limitation of the draft’s populated catalogue rather than a reason to add a new universal entity. [MPSS v0.3.5 domain_catalogue.json, codeSpaces/function-kind]</w:t>
      </w:r>
    </w:p>
    <w:p>
      <w:pPr>
        <w:pStyle w:val="Heading2"/>
      </w:pPr>
      <w:r>
        <w:t>3.3 The occupancy result: retain meaning, not just fields</w:t>
      </w:r>
    </w:p>
    <w:p>
      <w:r>
        <w:t>The base OccupancyOutput inspected for this case has 15 result fields; this is not a claim about every extended OSCAR/RS350 layout. The worked specimen preserves those fields, uses fictional values and marks its relationship graph as a research representation rather than a CSAPI payload. The main mapping ledger accounts for their meanings and the relevant surrounding equipment, control, artifact and provenance questions. No field is deleted merely because its interpretation is inconvenient. [S139, OccupancyOutput.java and RADHelper.java]</w:t>
      </w:r>
    </w:p>
    <w:tbl>
      <w:tblPr>
        <w:tblStyle w:val="LightShading-Accent1"/>
        <w:tblW w:type="auto" w:w="0"/>
        <w:tblLayout w:type="fixed"/>
        <w:tblLook w:firstColumn="1" w:firstRow="1" w:lastColumn="0" w:lastRow="0" w:noHBand="0" w:noVBand="1" w:val="04A0"/>
      </w:tblPr>
      <w:tblGrid>
        <w:gridCol w:w="3360"/>
        <w:gridCol w:w="3360"/>
        <w:gridCol w:w="3360"/>
      </w:tblGrid>
      <w:tr>
        <w:trPr>
          <w:cantSplit/>
          <w:tblHeader/>
        </w:trPr>
        <w:tc>
          <w:tcPr>
            <w:tcW w:type="dxa" w:w="2520"/>
            <w:shd w:fill="087E8B"/>
          </w:tcPr>
          <w:p>
            <w:pPr>
              <w:spacing w:after="80" w:before="60"/>
            </w:pPr>
            <w:r>
              <w:rPr>
                <w:b/>
                <w:color w:val="FFFFFF"/>
                <w:sz w:val="18"/>
              </w:rPr>
              <w:t>Source content</w:t>
            </w:r>
          </w:p>
        </w:tc>
        <w:tc>
          <w:tcPr>
            <w:tcW w:type="dxa" w:w="3384"/>
            <w:shd w:fill="087E8B"/>
          </w:tcPr>
          <w:p>
            <w:pPr>
              <w:spacing w:after="80" w:before="60"/>
            </w:pPr>
            <w:r>
              <w:rPr>
                <w:b/>
                <w:color w:val="FFFFFF"/>
                <w:sz w:val="18"/>
              </w:rPr>
              <w:t>MPSS treatment</w:t>
            </w:r>
          </w:p>
        </w:tc>
        <w:tc>
          <w:tcPr>
            <w:tcW w:type="dxa" w:w="4032"/>
            <w:shd w:fill="087E8B"/>
          </w:tcPr>
          <w:p>
            <w:pPr>
              <w:spacing w:after="80" w:before="60"/>
            </w:pPr>
            <w:r>
              <w:rPr>
                <w:b/>
                <w:color w:val="FFFFFF"/>
                <w:sz w:val="18"/>
              </w:rPr>
              <w:t>What must not be assumed</w:t>
            </w:r>
          </w:p>
        </w:tc>
      </w:tr>
      <w:tr>
        <w:trPr>
          <w:cantSplit/>
        </w:trPr>
        <w:tc>
          <w:tcPr>
            <w:tcW w:type="dxa" w:w="2520"/>
          </w:tcPr>
          <w:p>
            <w:pPr>
              <w:spacing w:after="80" w:before="60"/>
            </w:pPr>
            <w:r>
              <w:rPr>
                <w:sz w:val="18"/>
              </w:rPr>
              <w:t>occupancyCount</w:t>
            </w:r>
          </w:p>
        </w:tc>
        <w:tc>
          <w:tcPr>
            <w:tcW w:type="dxa" w:w="3384"/>
          </w:tcPr>
          <w:p>
            <w:pPr>
              <w:spacing w:after="80" w:before="60"/>
            </w:pPr>
            <w:r>
              <w:rPr>
                <w:sz w:val="18"/>
              </w:rPr>
              <w:t>Retain as a source-defined counter.</w:t>
            </w:r>
          </w:p>
        </w:tc>
        <w:tc>
          <w:tcPr>
            <w:tcW w:type="dxa" w:w="4032"/>
          </w:tcPr>
          <w:p>
            <w:pPr>
              <w:spacing w:after="80" w:before="60"/>
            </w:pPr>
            <w:r>
              <w:rPr>
                <w:sz w:val="18"/>
              </w:rPr>
              <w:t>A stable globally unique passage identity.</w:t>
            </w:r>
          </w:p>
        </w:tc>
      </w:tr>
      <w:tr>
        <w:trPr>
          <w:cantSplit/>
        </w:trPr>
        <w:tc>
          <w:tcPr>
            <w:tcW w:type="dxa" w:w="2520"/>
          </w:tcPr>
          <w:p>
            <w:pPr>
              <w:spacing w:after="80" w:before="60"/>
            </w:pPr>
            <w:r>
              <w:rPr>
                <w:sz w:val="18"/>
              </w:rPr>
              <w:t>samplingTime</w:t>
            </w:r>
          </w:p>
        </w:tc>
        <w:tc>
          <w:tcPr>
            <w:tcW w:type="dxa" w:w="3384"/>
          </w:tcPr>
          <w:p>
            <w:pPr>
              <w:spacing w:after="80" w:before="60"/>
            </w:pPr>
            <w:r>
              <w:rPr>
                <w:sz w:val="18"/>
              </w:rPr>
              <w:t>Retain native field; resolve helper/prose tension.</w:t>
            </w:r>
          </w:p>
        </w:tc>
        <w:tc>
          <w:tcPr>
            <w:tcW w:type="dxa" w:w="4032"/>
          </w:tcPr>
          <w:p>
            <w:pPr>
              <w:spacing w:after="80" w:before="60"/>
            </w:pPr>
            <w:r>
              <w:rPr>
                <w:sz w:val="18"/>
              </w:rPr>
              <w:t>Reception time equals acquisition or passage time.</w:t>
            </w:r>
          </w:p>
        </w:tc>
      </w:tr>
      <w:tr>
        <w:trPr>
          <w:cantSplit/>
        </w:trPr>
        <w:tc>
          <w:tcPr>
            <w:tcW w:type="dxa" w:w="2520"/>
          </w:tcPr>
          <w:p>
            <w:pPr>
              <w:spacing w:after="80" w:before="60"/>
            </w:pPr>
            <w:r>
              <w:rPr>
                <w:sz w:val="18"/>
              </w:rPr>
              <w:t>startTime/endTime</w:t>
            </w:r>
          </w:p>
        </w:tc>
        <w:tc>
          <w:tcPr>
            <w:tcW w:type="dxa" w:w="3384"/>
          </w:tcPr>
          <w:p>
            <w:pPr>
              <w:spacing w:after="80" w:before="60"/>
            </w:pPr>
            <w:r>
              <w:rPr>
                <w:sz w:val="18"/>
              </w:rPr>
              <w:t>Preserve the described occupancy interval.</w:t>
            </w:r>
          </w:p>
        </w:tc>
        <w:tc>
          <w:tcPr>
            <w:tcW w:type="dxa" w:w="4032"/>
          </w:tcPr>
          <w:p>
            <w:pPr>
              <w:spacing w:after="80" w:before="60"/>
            </w:pPr>
            <w:r>
              <w:rPr>
                <w:sz w:val="18"/>
              </w:rPr>
              <w:t>An undocumented interval-valued top-level JSON member.</w:t>
            </w:r>
          </w:p>
        </w:tc>
      </w:tr>
      <w:tr>
        <w:trPr>
          <w:cantSplit/>
        </w:trPr>
        <w:tc>
          <w:tcPr>
            <w:tcW w:type="dxa" w:w="2520"/>
          </w:tcPr>
          <w:p>
            <w:pPr>
              <w:spacing w:after="80" w:before="60"/>
            </w:pPr>
            <w:r>
              <w:rPr>
                <w:sz w:val="18"/>
              </w:rPr>
              <w:t>gammaAlarm/neutronAlarm</w:t>
            </w:r>
          </w:p>
        </w:tc>
        <w:tc>
          <w:tcPr>
            <w:tcW w:type="dxa" w:w="3384"/>
          </w:tcPr>
          <w:p>
            <w:pPr>
              <w:spacing w:after="80" w:before="60"/>
            </w:pPr>
            <w:r>
              <w:rPr>
                <w:sz w:val="18"/>
              </w:rPr>
              <w:t>Keep two distinct Boolean assertions.</w:t>
            </w:r>
          </w:p>
        </w:tc>
        <w:tc>
          <w:tcPr>
            <w:tcW w:type="dxa" w:w="4032"/>
          </w:tcPr>
          <w:p>
            <w:pPr>
              <w:spacing w:after="80" w:before="60"/>
            </w:pPr>
            <w:r>
              <w:rPr>
                <w:sz w:val="18"/>
              </w:rPr>
              <w:t>Threat truth, algorithm correctness or a maintenance event.</w:t>
            </w:r>
          </w:p>
        </w:tc>
      </w:tr>
      <w:tr>
        <w:trPr>
          <w:cantSplit/>
        </w:trPr>
        <w:tc>
          <w:tcPr>
            <w:tcW w:type="dxa" w:w="2520"/>
          </w:tcPr>
          <w:p>
            <w:pPr>
              <w:spacing w:after="80" w:before="60"/>
            </w:pPr>
            <w:r>
              <w:rPr>
                <w:sz w:val="18"/>
              </w:rPr>
              <w:t>maxGamma/maxNeutron/background</w:t>
            </w:r>
          </w:p>
        </w:tc>
        <w:tc>
          <w:tcPr>
            <w:tcW w:type="dxa" w:w="3384"/>
          </w:tcPr>
          <w:p>
            <w:pPr>
              <w:spacing w:after="80" w:before="60"/>
            </w:pPr>
            <w:r>
              <w:rPr>
                <w:sz w:val="18"/>
              </w:rPr>
              <w:t>Preserve raw values and available qualifications.</w:t>
            </w:r>
          </w:p>
        </w:tc>
        <w:tc>
          <w:tcPr>
            <w:tcW w:type="dxa" w:w="4032"/>
          </w:tcPr>
          <w:p>
            <w:pPr>
              <w:spacing w:after="80" w:before="60"/>
            </w:pPr>
            <w:r>
              <w:rPr>
                <w:sz w:val="18"/>
              </w:rPr>
              <w:t>A known unit, count rate, window or uncertainty absent evidence.</w:t>
            </w:r>
          </w:p>
        </w:tc>
      </w:tr>
      <w:tr>
        <w:trPr>
          <w:cantSplit/>
        </w:trPr>
        <w:tc>
          <w:tcPr>
            <w:tcW w:type="dxa" w:w="2520"/>
          </w:tcPr>
          <w:p>
            <w:pPr>
              <w:spacing w:after="80" w:before="60"/>
            </w:pPr>
            <w:r>
              <w:rPr>
                <w:sz w:val="18"/>
              </w:rPr>
              <w:t>adjudicatedIds / webIdObsIds / videoPaths</w:t>
            </w:r>
          </w:p>
        </w:tc>
        <w:tc>
          <w:tcPr>
            <w:tcW w:type="dxa" w:w="3384"/>
          </w:tcPr>
          <w:p>
            <w:pPr>
              <w:spacing w:after="80" w:before="60"/>
            </w:pPr>
            <w:r>
              <w:rPr>
                <w:sz w:val="18"/>
              </w:rPr>
              <w:t>Keep command, observation and media associations distinct.</w:t>
            </w:r>
          </w:p>
        </w:tc>
        <w:tc>
          <w:tcPr>
            <w:tcW w:type="dxa" w:w="4032"/>
          </w:tcPr>
          <w:p>
            <w:pPr>
              <w:spacing w:after="80" w:before="60"/>
            </w:pPr>
            <w:r>
              <w:rPr>
                <w:sz w:val="18"/>
              </w:rPr>
              <w:t>All targets are the same kind of evidence resource.</w:t>
            </w:r>
          </w:p>
        </w:tc>
      </w:tr>
    </w:tbl>
    <w:p/>
    <w:p>
      <w:r>
        <w:t>RADHelper describes its precision timestamp as message reception despite using a sampling-time helper. The inspected maximum-value builders do not supply units, and its threshold builder describes a calculated alarm threshold rather than proving a writable parameter. These are source-evidence questions, not proof that the DIM lacks time, quantities or settings. The correct mapping preserves the source and prevents unjustified normalization until the producer contract resolves the ambiguity. [S139, RADHelper.java; MPSS R08/R11/R17]</w:t>
      </w:r>
    </w:p>
    <w:p>
      <w:pPr>
        <w:pStyle w:val="Heading2"/>
      </w:pPr>
      <w:r>
        <w:t>3.4 Associated records and the client’s assembled view</w:t>
      </w:r>
    </w:p>
    <w:p>
      <w:r>
        <w:t>The source adjudication array contains command IDs, and AdjudicationControl appends the command identifier after checking the occupancy observation. WebIdAnalyzer publishes an analysis Observation and attaches its observation ID to the occupancy record. A profile-aware view can use those different roles to connect the returned information without inventing a generic decision object or assuming that an associated analysis used every associated reading. Existing CSAPI command/status/result navigation remains the first choice for the action and returned assertion. [S139, AdjudicationControl.java/WebIdAnalyzer.java; S04 §10.13; MPSS R12]</w:t>
      </w:r>
    </w:p>
    <w:p>
      <w:r>
        <w:t>Video paths preserve a useful association but require source-specific resolution in the existing viewer. A future adapter can publish a typed result or service link when the link role, target media type and lifecycle are established. It must not reclassify a mutable live playlist as an immutable historical clip or equate URL accessibility with evidentiary relevance. That residual is a precise link/identity contract, not a reason to make MERLIN a media-delivery implementation. [S138, HLSVideoComponent.tsx; S139, HLSControl.java; S04 result/link mechanisms]</w:t>
      </w:r>
    </w:p>
    <w:p>
      <w:r>
        <w:t>The resulting view would show the producer, its declared function/output, the matching stream, the occupancy interval and flags, and separately identified analysis, action/result and video associations. Unknown units, unresolved physical identity and unavailable artifact versions would remain visible qualifications. A competent generic client would still read standard resources and typed values; the richer arrangement would rely on documented profile and source-mapping rules. This study supplies that worked explanation and its residual ledger, not a measured client-performance result.</w:t>
      </w:r>
    </w:p>
    <w:p>
      <w:pPr>
        <w:pStyle w:val="Heading1"/>
      </w:pPr>
      <w:r>
        <w:t>4. What the N42 donor check adds</w:t>
      </w:r>
    </w:p>
    <w:p>
      <w:pPr>
        <w:pStyle w:val="Heading2"/>
      </w:pPr>
      <w:r>
        <w:t>4.1 Grouping already exists, but a group is not automatically a passage</w:t>
      </w:r>
    </w:p>
    <w:p>
      <w:r>
        <w:t>NIST’s portal-monitor example describes related readings before, during and after occupancy. The pinned OSCAR repository’s historical Annex D explicitly has RadMeasurementGroup MG-1 and references it from M-1 and M-2, although both selected measurements are Background. It also links detector-specific count vectors to energy-window definitions. Those facts show why grouping should be reused carefully rather than renamed Operational Episode and assumed to mean only the occupied interval. [S125; S139, Annex D]</w:t>
      </w:r>
    </w:p>
    <w:p>
      <w:r>
        <w:t>For M-1, detector Aa1’s selected GrossCounts record contains the three values 5, 22, 200 and links to three energy-window bounds; real time and live time are each 0.1 seconds. The mapping preserves that vector and its window/detector reference instead of reducing it to one generic count. The selected extraction does not assert an energy-unit default not established in the inspected excerpt. It retains the native artifact and scope so a later edition-specific adapter can complete the exact quantitative interpretation. [S139, Annex D, selected metadata and M-1]</w:t>
      </w:r>
    </w:p>
    <w:p>
      <w:pPr>
        <w:pStyle w:val="Heading2"/>
      </w:pPr>
      <w:r>
        <w:t>4.2 Derivation is more specific than association</w:t>
      </w:r>
    </w:p>
    <w:p>
      <w:r>
        <w:t>The separate Annex E example links a summed spectrum to four specifically named raw spectra, while AnalysisResults references the corresponding DerivedData. It also carries an algorithm name, version and settings. The candidate PROV-O specimen represents those selected information dependencies and the containing DerivedData/Spectrum relationship without inventing a new episode or a logged execution identity. It deliberately does not infer membership from the presence of an unverified group token elsewhere in the selected excerpt. [S126; S139, Annex E; S128–S129]</w:t>
      </w:r>
    </w:p>
    <w:p>
      <w:r>
        <w:t>These are 2011-namespace examples bundled in OSCAR, not an observed October 2026 passage and not 2020 native-conformance evidence. The official NIST 2020 distribution index was examined, but the linked schema/example downloads did not complete in this session. Neither the spectrum values nor arithmetic were validated, and no byte-equivalence claim is made between the repository copy and NIST’s downloadable file. The useful research result is the established distinction among grouping, raw input, derived product and analysis—not a manufactured certification. [S127/S139]</w:t>
      </w:r>
    </w:p>
    <w:p>
      <w:pPr>
        <w:pStyle w:val="Heading1"/>
      </w:pPr>
      <w:r>
        <w:t>5. Residual standards assessment</w:t>
      </w:r>
    </w:p>
    <w:p>
      <w:pPr>
        <w:pStyle w:val="Heading2"/>
      </w:pPr>
      <w:r>
        <w:t>5.1 OMS collections and the dated SOSA/SSN work</w:t>
      </w:r>
    </w:p>
    <w:p>
      <w:r>
        <w:t>The existing approved OMS source, S97, remains available and its access gate is closed. Its observation-collection and related-observation concepts are relevant where the remainder is a relationship among observations, but they do not make an arbitrary set of PDFs and commands an ObservationCollection or create a new CSAPI endpoint. The 21 October 2026 SOSA/SSN Working Draft supplies additional collection and alignment material. It is registered separately as S132 while the 12 October source S99 remains historical. [S97 §§8.1.3, 9.9; S132 §§5–7]</w:t>
      </w:r>
    </w:p>
    <w:p>
      <w:r>
        <w:t>The SSN draft expressly aligns executions with PROV activities and Procedures with plans through qualified association. That is direct donor-to-donor evidence, not an inference from similar names. An observation act and an information record describing that act must nevertheless remain distinguishable when forming a provenance representation. We should reuse the dated alignment where applicable without silently upgrading the approved CSAPI baseline or claiming all collection mechanisms are equivalent. [S132 §7.1.4]</w:t>
      </w:r>
    </w:p>
    <w:p>
      <w:pPr>
        <w:pStyle w:val="Heading2"/>
      </w:pPr>
      <w:r>
        <w:t>5.2 PROV is the leading lineage donor—not a mandatory platform</w:t>
      </w:r>
    </w:p>
    <w:p>
      <w:r>
        <w:t>PROV-DM supplies established meanings for use, generation, derivation, revision, attribution and collection membership. PROV-O gives those meanings a standard RDF representation, while PROV-CONSTRAINTS distinguishes a valid provenance instance from text that merely parses. The proposed use here is a small companion representation of source-supported dependencies; it is not a new universal MERLIN relationship vocabulary or a requirement to operate a triple store. A mapping to non-PROV fields would remain an authored translation and must be labeled accordingly. [S128–S130]</w:t>
      </w:r>
    </w:p>
    <w:p>
      <w:r>
        <w:t>PROV-AQ’s has_provenance extension relation is a candidate way to locate that representation through ordinary Web linking. Its target and anchor rules matter when the current API URL returns a changing record but provenance refers to a fixed earlier version. PROV-AQ is a Working Group Note, not a Recommendation, and this package has not tested its publication against a deployed server. Selection would therefore require a narrow binding and version-identity rule, not another platform build. [S131 §§1.2–1.4, 3.1]</w:t>
      </w:r>
    </w:p>
    <w:p>
      <w:pPr>
        <w:pStyle w:val="Heading2"/>
      </w:pPr>
      <w:r>
        <w:t>5.3 Files, executions and cases: use only what the requirement needs</w:t>
      </w:r>
    </w:p>
    <w:p>
      <w:r>
        <w:t>DCAT 3 is relevant if the actual requirement is to distinguish an information product, its distributions and access services. OGC API–Processes is relevant if separate process/job management is required. CMMN 1.1 provides a substantive CaseFile/CaseFileItem model when an investigation has its own lifecycle and information context. None is mandatory merely because OSCAR contains files, invokes analysis or accepts an adjudication command. [S133–S135]</w:t>
      </w:r>
    </w:p>
    <w:p>
      <w:r>
        <w:t>For this worked case, existing CSAPI CommandResult options should be tried before demanding a second durable-decision resource. A continuing inspection case could justify more, but the required identity, lifecycle, revision and retention behavior must first be stated. IAEA 44-T supplies relevant domain framing rather than a ready-made exchange schema. The recommendation is conditional investigation, not replacing one speculative episode object with a speculative case-management stack. [S04 §10.13; S134 §5.3; S136]</w:t>
      </w:r>
    </w:p>
    <w:p>
      <w:pPr>
        <w:pStyle w:val="Heading1"/>
      </w:pPr>
      <w:r>
        <w:t>6. The exact remainder and dispositions</w:t>
      </w:r>
    </w:p>
    <w:tbl>
      <w:tblPr>
        <w:tblStyle w:val="LightShading-Accent1"/>
        <w:tblW w:type="auto" w:w="0"/>
        <w:tblLayout w:type="fixed"/>
        <w:tblLook w:firstColumn="1" w:firstRow="1" w:lastColumn="0" w:lastRow="0" w:noHBand="0" w:noVBand="1" w:val="04A0"/>
      </w:tblPr>
      <w:tblGrid>
        <w:gridCol w:w="3360"/>
        <w:gridCol w:w="3360"/>
        <w:gridCol w:w="3360"/>
      </w:tblGrid>
      <w:tr>
        <w:trPr>
          <w:cantSplit/>
          <w:tblHeader/>
        </w:trPr>
        <w:tc>
          <w:tcPr>
            <w:tcW w:type="dxa" w:w="2304"/>
            <w:shd w:fill="087E8B"/>
          </w:tcPr>
          <w:p>
            <w:pPr>
              <w:spacing w:after="80" w:before="60"/>
            </w:pPr>
            <w:r>
              <w:rPr>
                <w:b/>
                <w:color w:val="FFFFFF"/>
                <w:sz w:val="18"/>
              </w:rPr>
              <w:t>Residual</w:t>
            </w:r>
          </w:p>
        </w:tc>
        <w:tc>
          <w:tcPr>
            <w:tcW w:type="dxa" w:w="2376"/>
            <w:shd w:fill="087E8B"/>
          </w:tcPr>
          <w:p>
            <w:pPr>
              <w:spacing w:after="80" w:before="60"/>
            </w:pPr>
            <w:r>
              <w:rPr>
                <w:b/>
                <w:color w:val="FFFFFF"/>
                <w:sz w:val="18"/>
              </w:rPr>
              <w:t>Nature</w:t>
            </w:r>
          </w:p>
        </w:tc>
        <w:tc>
          <w:tcPr>
            <w:tcW w:type="dxa" w:w="5256"/>
            <w:shd w:fill="087E8B"/>
          </w:tcPr>
          <w:p>
            <w:pPr>
              <w:spacing w:after="80" w:before="60"/>
            </w:pPr>
            <w:r>
              <w:rPr>
                <w:b/>
                <w:color w:val="FFFFFF"/>
                <w:sz w:val="18"/>
              </w:rPr>
              <w:t>Disposition</w:t>
            </w:r>
          </w:p>
        </w:tc>
      </w:tr>
      <w:tr>
        <w:trPr>
          <w:cantSplit/>
        </w:trPr>
        <w:tc>
          <w:tcPr>
            <w:tcW w:type="dxa" w:w="2304"/>
          </w:tcPr>
          <w:p>
            <w:pPr>
              <w:spacing w:after="80" w:before="60"/>
            </w:pPr>
            <w:r>
              <w:rPr>
                <w:sz w:val="18"/>
              </w:rPr>
              <w:t>OG01 Lane/identity facts</w:t>
            </w:r>
          </w:p>
        </w:tc>
        <w:tc>
          <w:tcPr>
            <w:tcW w:type="dxa" w:w="2376"/>
          </w:tcPr>
          <w:p>
            <w:pPr>
              <w:spacing w:after="80" w:before="60"/>
            </w:pPr>
            <w:r>
              <w:rPr>
                <w:sz w:val="18"/>
              </w:rPr>
              <w:t>Missing instance evidence</w:t>
            </w:r>
          </w:p>
        </w:tc>
        <w:tc>
          <w:tcPr>
            <w:tcW w:type="dxa" w:w="5256"/>
          </w:tcPr>
          <w:p>
            <w:pPr>
              <w:spacing w:after="80" w:before="60"/>
            </w:pPr>
            <w:r>
              <w:rPr>
                <w:sz w:val="18"/>
              </w:rPr>
              <w:t>Keep explicit; do not invent physical or employment assertions.</w:t>
            </w:r>
          </w:p>
        </w:tc>
      </w:tr>
      <w:tr>
        <w:trPr>
          <w:cantSplit/>
        </w:trPr>
        <w:tc>
          <w:tcPr>
            <w:tcW w:type="dxa" w:w="2304"/>
          </w:tcPr>
          <w:p>
            <w:pPr>
              <w:spacing w:after="80" w:before="60"/>
            </w:pPr>
            <w:r>
              <w:rPr>
                <w:sz w:val="18"/>
              </w:rPr>
              <w:t>OG02 Radiation vocabulary</w:t>
            </w:r>
          </w:p>
        </w:tc>
        <w:tc>
          <w:tcPr>
            <w:tcW w:type="dxa" w:w="2376"/>
          </w:tcPr>
          <w:p>
            <w:pPr>
              <w:spacing w:after="80" w:before="60"/>
            </w:pPr>
            <w:r>
              <w:rPr>
                <w:sz w:val="18"/>
              </w:rPr>
              <w:t>Unfinished specialization</w:t>
            </w:r>
          </w:p>
        </w:tc>
        <w:tc>
          <w:tcPr>
            <w:tcW w:type="dxa" w:w="5256"/>
          </w:tcPr>
          <w:p>
            <w:pPr>
              <w:spacing w:after="80" w:before="60"/>
            </w:pPr>
            <w:r>
              <w:rPr>
                <w:sz w:val="18"/>
              </w:rPr>
              <w:t>Define the smallest justified function/property terms and extension rules.</w:t>
            </w:r>
          </w:p>
        </w:tc>
      </w:tr>
      <w:tr>
        <w:trPr>
          <w:cantSplit/>
        </w:trPr>
        <w:tc>
          <w:tcPr>
            <w:tcW w:type="dxa" w:w="2304"/>
          </w:tcPr>
          <w:p>
            <w:pPr>
              <w:spacing w:after="80" w:before="60"/>
            </w:pPr>
            <w:r>
              <w:rPr>
                <w:sz w:val="18"/>
              </w:rPr>
              <w:t>OG03 Time/quantity qualifications</w:t>
            </w:r>
          </w:p>
        </w:tc>
        <w:tc>
          <w:tcPr>
            <w:tcW w:type="dxa" w:w="2376"/>
          </w:tcPr>
          <w:p>
            <w:pPr>
              <w:spacing w:after="80" w:before="60"/>
            </w:pPr>
            <w:r>
              <w:rPr>
                <w:sz w:val="18"/>
              </w:rPr>
              <w:t>Source ambiguity</w:t>
            </w:r>
          </w:p>
        </w:tc>
        <w:tc>
          <w:tcPr>
            <w:tcW w:type="dxa" w:w="5256"/>
          </w:tcPr>
          <w:p>
            <w:pPr>
              <w:spacing w:after="80" w:before="60"/>
            </w:pPr>
            <w:r>
              <w:rPr>
                <w:sz w:val="18"/>
              </w:rPr>
              <w:t>Retain native values; no ungrounded conversions.</w:t>
            </w:r>
          </w:p>
        </w:tc>
      </w:tr>
      <w:tr>
        <w:trPr>
          <w:cantSplit/>
        </w:trPr>
        <w:tc>
          <w:tcPr>
            <w:tcW w:type="dxa" w:w="2304"/>
          </w:tcPr>
          <w:p>
            <w:pPr>
              <w:spacing w:after="80" w:before="60"/>
            </w:pPr>
            <w:r>
              <w:rPr>
                <w:sz w:val="18"/>
              </w:rPr>
              <w:t>OG04 Grouping/navigation</w:t>
            </w:r>
          </w:p>
        </w:tc>
        <w:tc>
          <w:tcPr>
            <w:tcW w:type="dxa" w:w="2376"/>
          </w:tcPr>
          <w:p>
            <w:pPr>
              <w:spacing w:after="80" w:before="60"/>
            </w:pPr>
            <w:r>
              <w:rPr>
                <w:sz w:val="18"/>
              </w:rPr>
              <w:t>Binding gap</w:t>
            </w:r>
          </w:p>
        </w:tc>
        <w:tc>
          <w:tcPr>
            <w:tcW w:type="dxa" w:w="5256"/>
          </w:tcPr>
          <w:p>
            <w:pPr>
              <w:spacing w:after="80" w:before="60"/>
            </w:pPr>
            <w:r>
              <w:rPr>
                <w:sz w:val="18"/>
              </w:rPr>
              <w:t>Use exact source associations; evaluate existing OMS/N42/PROV meanings.</w:t>
            </w:r>
          </w:p>
        </w:tc>
      </w:tr>
      <w:tr>
        <w:trPr>
          <w:cantSplit/>
        </w:trPr>
        <w:tc>
          <w:tcPr>
            <w:tcW w:type="dxa" w:w="2304"/>
          </w:tcPr>
          <w:p>
            <w:pPr>
              <w:spacing w:after="80" w:before="60"/>
            </w:pPr>
            <w:r>
              <w:rPr>
                <w:sz w:val="18"/>
              </w:rPr>
              <w:t>OG05 Versioned provenance</w:t>
            </w:r>
          </w:p>
        </w:tc>
        <w:tc>
          <w:tcPr>
            <w:tcW w:type="dxa" w:w="2376"/>
          </w:tcPr>
          <w:p>
            <w:pPr>
              <w:spacing w:after="80" w:before="60"/>
            </w:pPr>
            <w:r>
              <w:rPr>
                <w:sz w:val="18"/>
              </w:rPr>
              <w:t>Binding plus source capture</w:t>
            </w:r>
          </w:p>
        </w:tc>
        <w:tc>
          <w:tcPr>
            <w:tcW w:type="dxa" w:w="5256"/>
          </w:tcPr>
          <w:p>
            <w:pPr>
              <w:spacing w:after="80" w:before="60"/>
            </w:pPr>
            <w:r>
              <w:rPr>
                <w:sz w:val="18"/>
              </w:rPr>
              <w:t>Use only supported inputs/outputs; do not invent complete execution logs.</w:t>
            </w:r>
          </w:p>
        </w:tc>
      </w:tr>
      <w:tr>
        <w:trPr>
          <w:cantSplit/>
        </w:trPr>
        <w:tc>
          <w:tcPr>
            <w:tcW w:type="dxa" w:w="2304"/>
          </w:tcPr>
          <w:p>
            <w:pPr>
              <w:spacing w:after="80" w:before="60"/>
            </w:pPr>
            <w:r>
              <w:rPr>
                <w:sz w:val="18"/>
              </w:rPr>
              <w:t>OG06 Media/product access</w:t>
            </w:r>
          </w:p>
        </w:tc>
        <w:tc>
          <w:tcPr>
            <w:tcW w:type="dxa" w:w="2376"/>
          </w:tcPr>
          <w:p>
            <w:pPr>
              <w:spacing w:after="80" w:before="60"/>
            </w:pPr>
            <w:r>
              <w:rPr>
                <w:sz w:val="18"/>
              </w:rPr>
              <w:t>Binding gap</w:t>
            </w:r>
          </w:p>
        </w:tc>
        <w:tc>
          <w:tcPr>
            <w:tcW w:type="dxa" w:w="5256"/>
          </w:tcPr>
          <w:p>
            <w:pPr>
              <w:spacing w:after="80" w:before="60"/>
            </w:pPr>
            <w:r>
              <w:rPr>
                <w:sz w:val="18"/>
              </w:rPr>
              <w:t>Native typed links first; optional provenance; DCAT only as needed.</w:t>
            </w:r>
          </w:p>
        </w:tc>
      </w:tr>
      <w:tr>
        <w:trPr>
          <w:cantSplit/>
        </w:trPr>
        <w:tc>
          <w:tcPr>
            <w:tcW w:type="dxa" w:w="2304"/>
          </w:tcPr>
          <w:p>
            <w:pPr>
              <w:spacing w:after="80" w:before="60"/>
            </w:pPr>
            <w:r>
              <w:rPr>
                <w:sz w:val="18"/>
              </w:rPr>
              <w:t>OG07 Continuing adjudication case</w:t>
            </w:r>
          </w:p>
        </w:tc>
        <w:tc>
          <w:tcPr>
            <w:tcW w:type="dxa" w:w="2376"/>
          </w:tcPr>
          <w:p>
            <w:pPr>
              <w:spacing w:after="80" w:before="60"/>
            </w:pPr>
            <w:r>
              <w:rPr>
                <w:sz w:val="18"/>
              </w:rPr>
              <w:t>Unspecified requirement</w:t>
            </w:r>
          </w:p>
        </w:tc>
        <w:tc>
          <w:tcPr>
            <w:tcW w:type="dxa" w:w="5256"/>
          </w:tcPr>
          <w:p>
            <w:pPr>
              <w:spacing w:after="80" w:before="60"/>
            </w:pPr>
            <w:r>
              <w:rPr>
                <w:sz w:val="18"/>
              </w:rPr>
              <w:t>Command/result first; CMMN only for a demonstrated separate case lifecycle.</w:t>
            </w:r>
          </w:p>
        </w:tc>
      </w:tr>
      <w:tr>
        <w:trPr>
          <w:cantSplit/>
        </w:trPr>
        <w:tc>
          <w:tcPr>
            <w:tcW w:type="dxa" w:w="2304"/>
          </w:tcPr>
          <w:p>
            <w:pPr>
              <w:spacing w:after="80" w:before="60"/>
            </w:pPr>
            <w:r>
              <w:rPr>
                <w:sz w:val="18"/>
              </w:rPr>
              <w:t>OG08 N42 edition validation</w:t>
            </w:r>
          </w:p>
        </w:tc>
        <w:tc>
          <w:tcPr>
            <w:tcW w:type="dxa" w:w="2376"/>
          </w:tcPr>
          <w:p>
            <w:pPr>
              <w:spacing w:after="80" w:before="60"/>
            </w:pPr>
            <w:r>
              <w:rPr>
                <w:sz w:val="18"/>
              </w:rPr>
              <w:t>Access/edition gate</w:t>
            </w:r>
          </w:p>
        </w:tc>
        <w:tc>
          <w:tcPr>
            <w:tcW w:type="dxa" w:w="5256"/>
          </w:tcPr>
          <w:p>
            <w:pPr>
              <w:spacing w:after="80" w:before="60"/>
            </w:pPr>
            <w:r>
              <w:rPr>
                <w:sz w:val="18"/>
              </w:rPr>
              <w:t>Historical examples retained; 2020 claims wait for actual normative/artifact closure.</w:t>
            </w:r>
          </w:p>
        </w:tc>
      </w:tr>
    </w:tbl>
    <w:p/>
    <w:p>
      <w:r>
        <w:t>The current mapping has 27 selected rows; the workbook classifies them without turning the counts into a percentage of OSCAR implemented. FIT_NATIVE or FIT_PROFILE indicates an available mechanism or design pattern for the selected fact, not a completed full adapter. Seven rows are binding gaps, four are source gaps and one is an explicit vocabulary gap, with other rows documenting native fit, profile-pattern fit, partial fit or runtime responsibility. The row-level residual and prohibited-inference columns control the interpretation.</w:t>
      </w:r>
    </w:p>
    <w:p>
      <w:r>
        <w:t>Operational Episode is held rather than adopted. Existing records, groups and provenance mechanisms have enough demonstrated relevance that a new universal concept has not earned its place. This does not prove such a concept could never be useful; it establishes that it is not a prerequisite for this mapping. Any later proposal must identify a remaining identity or lifecycle requirement that cannot be represented coherently using the existing concepts.</w:t>
      </w:r>
    </w:p>
    <w:p>
      <w:pPr>
        <w:pStyle w:val="Heading1"/>
      </w:pPr>
      <w:r>
        <w:t>7. Executed checks and what they establish</w:t>
      </w:r>
    </w:p>
    <w:p>
      <w:r>
        <w:t>The package executed 18 offline checks, including negative cases, using the included verifier. They test graph-reference resolution, target roles, array/count agreement, producer/output matching, opaque identifier replacement, prohibition of unsupported units and distinctions in the selected N42 facts. The candidate RDF parsed to 14 triples and its selected relation assertions were checked. These results concern the authored research specimens, not full JSON Schema, N42 XSD/Schematron, OWL, PROV constraints or live interoperability.</w:t>
      </w:r>
    </w:p>
    <w:p>
      <w:r>
        <w:t>No live OSCAR passage was collected and no production resources were changed. The old server results remain historical evidence at their tested builds: pygeoapi preserved one sample, OSH omitted specific metadata and CS-GO rejected that sample. Those findings must not become a blanket clearance or rejection of other operations. This research does not need another server-conformance detour to explain the model’s fit.</w:t>
      </w:r>
    </w:p>
    <w:p>
      <w:pPr>
        <w:pStyle w:val="Heading1"/>
      </w:pPr>
      <w:r>
        <w:t>8. Documentation updates and the next finite increment</w:t>
      </w:r>
    </w:p>
    <w:p>
      <w:r>
        <w:t>The main profile, example/catalogue and primer are retained byte-for-byte. The bibliography/source register advances to v0.10 with 140 source identities and 29 worksheets; PITON 4.6 and plan 1.6 record the new findings and supersede older next-action sequencing. The original Codex reports, prior SAPIENT walkthrough and parent packages remain recoverable. This is a substantive research and mapping update, not a false claim that proposed bindings have already been adopted.</w:t>
      </w:r>
    </w:p>
    <w:p>
      <w:r>
        <w:t>The next bounded design increment should specify only the required radiation function/property vocabulary and the publication rules for the selected source association, media access and provenance links. It should include a valid worked representation and a competent generic/profile-aware client comparison using the existing environment, with no mandatory new deployment. Reuse must be tested both ways: remove a MERLIN convention if native OGC behavior already supplies its value, and refine the model where a donor preserves a distinction better. Do not reopen the broad survey or implement every conditional standard first.</w:t>
      </w:r>
    </w:p>
    <w:p>
      <w:pPr>
        <w:pStyle w:val="Heading1"/>
      </w:pPr>
      <w:r>
        <w:t>Source navigation</w:t>
      </w:r>
    </w:p>
    <w:p>
      <w:r>
        <w:t>Master IDs S01–S04 control SensorML/SWE/CSAPI; S97 controls approved OMS; S121–S123 control previously reviewed supporting schemas. Source-specific dates, exact locators, intended reuse, access limits and proposed assessment are in the v0.10 workbook. The following new entries identify the source families used in this report; all code links are commit-pinned in 80_EVIDENCE/SOURCE_PINS.json.</w:t>
      </w:r>
    </w:p>
    <w:p>
      <w:r>
        <w:t>S125 — NIST. N42-2011 Radiation Portal Monitor example. N42-2011 example / Annex D. Inspection: Portal-monitor scenario narrative; linked historical Annex D additionally inspected as pinned OSCAR repository copy, S139. Boundary: Example, not full normative text. The repository copy is not asserted byte-identical to the linked NIST file. No 2020 conformance is inferred.</w:t>
      </w:r>
    </w:p>
    <w:p>
      <w:r>
        <w:t>S126 — NIST. N42-2011 Spectroscopic Radiation Portal Monitor example. N42-2011 example / Annex E. Inspection: Spectroscopic scenario narrative; selected Annex E metadata and dependency references in pinned repository copy, S139. Boundary: Only selected fields and references inspected; no spectrum decompression, arithmetic verification or complete normative N42 assessment.</w:t>
      </w:r>
    </w:p>
    <w:p>
      <w:r>
        <w:t>S127 — NIST / IEEE. ANSI/IEEE N42.42-2020 Version: schema and example distribution index. 2020. Inspection: 2020 resource index and available schema/example/Schematron links; linked artifact retrieval failed in this session. Boundary: No 2020 XSD bytes, Schematron execution or full IEEE normative text was examined in this increment. Index visibility is not schema validation.</w:t>
      </w:r>
    </w:p>
    <w:p>
      <w:r>
        <w:t>S128 — W3C. PROV-DM: The PROV Data Model. Recommendation. Inspection: §§1.1, 5.1–5.3, 5.5–5.6 and 7; entity/activity, use, generation, derivation, revision, responsibility and membership. Boundary: PROV does not define radiation truth, evidence sufficiency, passage identity or a case-management workflow.</w:t>
      </w:r>
    </w:p>
    <w:p>
      <w:r>
        <w:t>S129 — W3C. PROV-O: The PROV Ontology. Recommendation. Inspection: §1.1, §§3–4; Entity, Activity, Collection, Plan, used, wasGeneratedBy, wasDerivedFrom, wasRevisionOf, qualifiedAssociation and hadPlan. Boundary: Turtle parsing and the local assertions in this package do not constitute complete OWL or PROV constraint validation.</w:t>
      </w:r>
    </w:p>
    <w:p>
      <w:r>
        <w:t>S130 — W3C. Constraints of the PROV Data Model. Recommendation. Inspection: Validity/conformance framework and constraint families for identifiers, ordering, typing and impossible combinations. Boundary: No complete inference/normalization engine or full constraint suite was implemented during this mapping study.</w:t>
      </w:r>
    </w:p>
    <w:p>
      <w:r>
        <w:t>S131 — W3C. PROV-AQ: Provenance Access and Query. Working Group Note. Inspection: §§1.2–1.4, 2–3.1; has_provenance link and target/anchor identity. Boundary: The Note is not a W3C Recommendation. Current server support and MPSS publication requirements remain untested.</w:t>
      </w:r>
    </w:p>
    <w:p>
      <w:r>
        <w:t>S132 — W3C / OGC. Semantic Sensor Network Ontology – 2023 Edition. Working Draft, 21 October 2026. Inspection: Collection provisions, OMS extension §6.1, PROV alignment §7.1.4 and CSAPI alignment §7.3.1. Boundary: Not a Recommendation; no mandatory upgrade of the approved OGC baseline. Keep S99’s 12 October draft as history.</w:t>
      </w:r>
    </w:p>
    <w:p>
      <w:r>
        <w:t>S133 — W3C. Data Catalog Vocabulary (DCAT) – Version 3. Recommendation. Inspection: Dataset/Distribution/DataService, related resources, provenance and version/checksum terms; bounded applicability review. Boundary: A file is not automatically a dataset, and a catalog vocabulary does not define evidence sufficiency or a screening case.</w:t>
      </w:r>
    </w:p>
    <w:p>
      <w:r>
        <w:t>S134 — OMG. Case Management Model and Notation (CMMN). 1.1; formal/2016-12-01. Inspection: §2 conformance; §§5.3.1–5.3.2 CaseFile and CaseFileItem; printed pp.21–22 and Figure 5.5 visually inspected. Boundary: Borrowing CaseFile ideas is not CMMN implementation. No complete workflow or case engine is selected.</w:t>
      </w:r>
    </w:p>
    <w:p>
      <w:r>
        <w:t>S135 — OGC. OGC API – Processes – Part 1: Core. 1.0.0; OGC 18-062r2. Inspection: Process description, execute, jobs, status and results provisions; applicability rather than service validation. Boundary: Not required merely because OSCAR calls WebID or Cambio. No Processes service or latest-edition claim.</w:t>
      </w:r>
    </w:p>
    <w:p>
      <w:r>
        <w:t>S136 — IAEA. Detection at State Borders of Nuclear and Other Radioactive Material out of Regulatory Control. Nuclear Security Series No.44-T. Inspection: Official publication description and operational framing of border detection, equipment, responsibility and secondary inspection. Boundary: No comprehensive clause-level implementation assessment, operational certification or legal guidance.</w:t>
      </w:r>
    </w:p>
    <w:p>
      <w:r>
        <w:t>S137 — NIST / IEC. Documentary Standards: IEC 62755 Standard (N42 Data Format). IEC 62755:2012 with 2020 amendment identified. Inspection: Official overview, purpose and artifact links; full IEC normative text not inspected. Boundary: No automatic interchangeability, native conformance or shared schema-byte assertion.</w:t>
      </w:r>
    </w:p>
    <w:p>
      <w:r>
        <w:t>S138 — Botts Innovative Research contributors. OSCAR viewer – pinned discovery and stream interpretation implementation. 4b49c7cedc841c875dbb63613dfd21c34b8fa6ed. Inspection: Node.ts, Constants.tsx, Utilities.ts and HLSVideoComponent.tsx selected paths. Boundary: No full repository audit, runtime reproduction or assertion that every application convention is nonconformant.</w:t>
      </w:r>
    </w:p>
    <w:p>
      <w:r>
        <w:t>S139 — Botts Innovative Research contributors. OSCAR server modules and bundled N42 artifacts – pinned implementation. 817f408a017302387f4f427b9b7f8ec5bcb62c70. Inspection: LaneSystem, OccupancyOutput, RADHelper, WebIdAnalyzer, AdjudicationControl, HLSControl; selected Annex D/E N42 and Schematron references. Boundary: No live source instance supplied. Synthetic walkthrough values are not captured OSCAR data; Annex D/E are historical examples, not the same runtime event.</w:t>
      </w:r>
    </w:p>
    <w:p>
      <w:r>
        <w:t>S140 — Botts Innovative Research contributors. OSCAR build-node and System Documentation Manual 3.5 – pinned bundle. ab8b847b662152bd949157197182bfdf8c429d21. Inspection: README and manual §§6–8: lane families, event/evidence/adjudication flow, files, reports and offline behavior. Boundary: Manual 3.5 inside the inspected newer build is not proof that all described behavior was executed or unchanged.</w:t>
      </w:r>
    </w:p>
    <w:sectPr w:rsidR="00FC693F" w:rsidRPr="0006063C" w:rsidSect="00034616">
      <w:headerReference w:type="default" r:id="rId9"/>
      <w:footerReference w:type="default" r:id="rId10"/>
      <w:pgSz w:w="12240" w:h="15840"/>
      <w:pgMar w:top="1008" w:right="1080" w:bottom="936"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sz w:val="16"/>
      </w:rPr>
      <w:t xml:space="preserve">Research companion v1.0 • 22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507080"/>
        <w:sz w:val="16"/>
      </w:rPr>
      <w:t>MERLIN / MPSS • OSCAR MAPPING &amp; RESIDUAL STANDARDS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7384C"/>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87E8B"/>
      <w:sz w:val="25"/>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7384C"/>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contextualSpacing/>
    </w:pPr>
    <w:rPr>
      <w:rFonts w:asciiTheme="majorHAnsi" w:eastAsiaTheme="majorEastAsia" w:hAnsiTheme="majorHAnsi" w:cstheme="majorBidi" w:ascii="Calibri" w:hAnsi="Calibri"/>
      <w:color w:val="17384C"/>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40" w:after="120"/>
    </w:pPr>
    <w:rPr>
      <w:rFonts w:asciiTheme="majorHAnsi" w:eastAsiaTheme="majorEastAsia" w:hAnsiTheme="majorHAnsi" w:cstheme="majorBidi" w:ascii="Calibri" w:hAnsi="Calibri"/>
      <w:i/>
      <w:iCs/>
      <w:color w:val="50708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40" w:line="259" w:lineRule="auto"/>
    </w:pPr>
    <w:rPr>
      <w:rFonts w:ascii="Calibri" w:hAnsi="Calibri"/>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OSCAR mapped to MPSS</dc:title>
  <dc:subject>Worked information mapping and bounded residual standards assessment</dc:subject>
  <dc:creator>MERLIN research support</dc:creator>
  <cp:keywords/>
  <dc:description>generated by python-docx</dc:description>
  <cp:lastModifiedBy/>
  <cp:revision>1</cp:revision>
  <dcterms:created xsi:type="dcterms:W3CDTF">2013-12-23T23:15:00Z</dcterms:created>
  <dcterms:modified xsi:type="dcterms:W3CDTF">2013-12-23T23:15:00Z</dcterms:modified>
  <cp:category/>
</cp:coreProperties>
</file>