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fits, what remains</w:t>
      </w:r>
    </w:p>
    <w:p>
      <w:pPr>
        <w:pStyle w:val="Subtitle"/>
      </w:pPr>
      <w:r>
        <w:t>OSCAR through our existing domain model</w:t>
      </w:r>
    </w:p>
    <w:p>
      <w:r>
        <w:t>Prepared for Sam Bolling • Decision brief v1.0 • 22 October 2026</w:t>
      </w:r>
    </w:p>
    <w:p>
      <w:r>
        <w:t>The common organizing structure remains useful. The worked mapping does not justify adding Operational Episode to the common core. The concrete remaining work is a small radiation vocabulary, explicit cross-record relationships and access rules, plus source facts that no model can invent.</w:t>
      </w:r>
    </w:p>
    <w:p>
      <w:pPr>
        <w:pStyle w:val="Heading2"/>
      </w:pPr>
      <w:r>
        <w:t>What the mapping actually demonstrates</w:t>
      </w:r>
    </w:p>
    <w:p>
      <w:r>
        <w:t>The existing equipment, function, product, configuration and action organization can organize the inspected OSCAR information. Its occupancy record already carries a counter, a time interval, alarm flags and references to analysis, video and adjudication. Those references have different target types and must not be collapsed into one generic evidence link. [MPSS v0.3.5, R01–R12; S138–S140]</w:t>
      </w:r>
    </w:p>
    <w:p>
      <w:r>
        <w:t>A useful current limitation is now explicit: the v0.3.5 catalogue contains only two illustrative function-kind values. A radiation function therefore needs a defined specialization value or extension rule before it can honestly claim the complete current profile contract. That is unfinished vocabulary, not proof that the organizing model needs another large entity. [MPSS catalogue, codeSpaces/function-kind]</w:t>
      </w:r>
    </w:p>
    <w:p>
      <w:pPr>
        <w:pStyle w:val="Heading2"/>
      </w:pPr>
      <w:r>
        <w:t>The strongest research finding</w:t>
      </w:r>
    </w:p>
    <w:p>
      <w:r>
        <w:t>N42 already distinguishes measurement groups, source measurements, derived data and analysis results. OSCAR actually bundles historical examples with those relationships, so N42 is not merely a binary attachment in this comparison. PROV supplies complementary derivation and responsibility semantics, and the 21 October SOSA/SSN draft explicitly aligns with PROV. [S125–S132; S139]</w:t>
      </w:r>
    </w:p>
    <w:p>
      <w:pPr>
        <w:pStyle w:val="Heading2"/>
      </w:pPr>
      <w:r>
        <w:t>What changes in our collection</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3456"/>
            <w:shd w:fill="087E8B"/>
          </w:tcPr>
          <w:p>
            <w:pPr>
              <w:spacing w:after="80" w:before="60"/>
            </w:pPr>
            <w:r>
              <w:rPr>
                <w:b/>
                <w:color w:val="FFFFFF"/>
                <w:sz w:val="18"/>
              </w:rPr>
              <w:t>Artifact</w:t>
            </w:r>
          </w:p>
        </w:tc>
        <w:tc>
          <w:tcPr>
            <w:tcW w:type="dxa" w:w="6480"/>
            <w:shd w:fill="087E8B"/>
          </w:tcPr>
          <w:p>
            <w:pPr>
              <w:spacing w:after="80" w:before="60"/>
            </w:pPr>
            <w:r>
              <w:rPr>
                <w:b/>
                <w:color w:val="FFFFFF"/>
                <w:sz w:val="18"/>
              </w:rPr>
              <w:t>Current standing</w:t>
            </w:r>
          </w:p>
        </w:tc>
      </w:tr>
      <w:tr>
        <w:trPr>
          <w:cantSplit/>
        </w:trPr>
        <w:tc>
          <w:tcPr>
            <w:tcW w:type="dxa" w:w="3456"/>
          </w:tcPr>
          <w:p>
            <w:pPr>
              <w:spacing w:after="80" w:before="60"/>
            </w:pPr>
            <w:r>
              <w:rPr>
                <w:sz w:val="18"/>
              </w:rPr>
              <w:t>Technical profile, catalogue and connected example</w:t>
            </w:r>
          </w:p>
        </w:tc>
        <w:tc>
          <w:tcPr>
            <w:tcW w:type="dxa" w:w="6480"/>
          </w:tcPr>
          <w:p>
            <w:pPr>
              <w:spacing w:after="80" w:before="60"/>
            </w:pPr>
            <w:r>
              <w:rPr>
                <w:sz w:val="18"/>
              </w:rPr>
              <w:t>v0.3.5 retained unchanged; no new core class or endpoint.</w:t>
            </w:r>
          </w:p>
        </w:tc>
      </w:tr>
      <w:tr>
        <w:trPr>
          <w:cantSplit/>
        </w:trPr>
        <w:tc>
          <w:tcPr>
            <w:tcW w:type="dxa" w:w="3456"/>
          </w:tcPr>
          <w:p>
            <w:pPr>
              <w:spacing w:after="80" w:before="60"/>
            </w:pPr>
            <w:r>
              <w:rPr>
                <w:sz w:val="18"/>
              </w:rPr>
              <w:t>Research bibliography and source register</w:t>
            </w:r>
          </w:p>
        </w:tc>
        <w:tc>
          <w:tcPr>
            <w:tcW w:type="dxa" w:w="6480"/>
          </w:tcPr>
          <w:p>
            <w:pPr>
              <w:spacing w:after="80" w:before="60"/>
            </w:pPr>
            <w:r>
              <w:rPr>
                <w:sz w:val="18"/>
              </w:rPr>
              <w:t>v0.10: all original 124 sources retained; S125–S140 added.</w:t>
            </w:r>
          </w:p>
        </w:tc>
      </w:tr>
      <w:tr>
        <w:trPr>
          <w:cantSplit/>
        </w:trPr>
        <w:tc>
          <w:tcPr>
            <w:tcW w:type="dxa" w:w="3456"/>
          </w:tcPr>
          <w:p>
            <w:pPr>
              <w:spacing w:after="80" w:before="60"/>
            </w:pPr>
            <w:r>
              <w:rPr>
                <w:sz w:val="18"/>
              </w:rPr>
              <w:t>OSCAR mapping companion</w:t>
            </w:r>
          </w:p>
        </w:tc>
        <w:tc>
          <w:tcPr>
            <w:tcW w:type="dxa" w:w="6480"/>
          </w:tcPr>
          <w:p>
            <w:pPr>
              <w:spacing w:after="80" w:before="60"/>
            </w:pPr>
            <w:r>
              <w:rPr>
                <w:sz w:val="18"/>
              </w:rPr>
              <w:t>27 mappings, 8 residual questions, 10 recorded dispositions; source and synthetic material separated.</w:t>
            </w:r>
          </w:p>
        </w:tc>
      </w:tr>
      <w:tr>
        <w:trPr>
          <w:cantSplit/>
        </w:trPr>
        <w:tc>
          <w:tcPr>
            <w:tcW w:type="dxa" w:w="3456"/>
          </w:tcPr>
          <w:p>
            <w:pPr>
              <w:spacing w:after="80" w:before="60"/>
            </w:pPr>
            <w:r>
              <w:rPr>
                <w:sz w:val="18"/>
              </w:rPr>
              <w:t>Continuity and next work</w:t>
            </w:r>
          </w:p>
        </w:tc>
        <w:tc>
          <w:tcPr>
            <w:tcW w:type="dxa" w:w="6480"/>
          </w:tcPr>
          <w:p>
            <w:pPr>
              <w:spacing w:after="80" w:before="60"/>
            </w:pPr>
            <w:r>
              <w:rPr>
                <w:sz w:val="18"/>
              </w:rPr>
              <w:t>PITON v4.6 and update plan v1.6 supersede older next-action instructions.</w:t>
            </w:r>
          </w:p>
        </w:tc>
      </w:tr>
    </w:tbl>
    <w:p/>
    <w:p>
      <w:r>
        <w:t>The offline specimen passed 18 finite checks, including negative cases and an opaque-identifier rewrite. These check the authored mapping’s consistency; they are not a live adapter, N42 conformance result or demonstration of client interoperability. The next bounded design increment is to specify the few required vocabulary and relationship bindings, then exercise them using the existing test environment.</w:t>
      </w:r>
    </w:p>
    <w:p>
      <w:r>
        <w:t>Read next: the worked mapping report in 01_CURRENT_RESEARCH. The full detail is in the four OSCAR worksheets, the 04_WORKED_CASE folder and the source-access/disposition registers. No new infrastructure is required by this package.</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 xml:space="preserve">Decision brief v1.0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7080"/>
        <w:sz w:val="16"/>
      </w:rPr>
      <w:t>MERLIN / MPSS • OSCAR MAPPING &amp; RESIDUAL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84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73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738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5070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fits, what remains</dc:title>
  <dc:subject>OSCAR through our existing domain model</dc:subject>
  <dc:creator>MERLIN research support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