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0.2 | 24 October 2026 | Study protocol and preliminary source assessment</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sensor from the subject it observes, and a reported condition from an interpretation of that condition. This paper defines a proposed experiment using public Smart Citizen data, an authored adapter, an OGC API Connected Systems service, and the Glaux client to evaluate the MERLIN domain information model and Managed Physical Sensing Systems profile. The study will combine published source definitions with captured responses, document each consequential transformation, and compare competent generic and profile-aware presentations of the same standardized resources. Each mapping will explain both its standard representation and its relationship to the underlying domain model and individually identified donor concepts.</w:t>
      </w:r>
    </w:p>
    <w:p>
      <w:pPr/>
      <w:r>
        <w:rPr/>
        <w:t>Preliminary access checks establish that selected public measurements and aggregate history were retrievable; they do not establish a running adapter, a loaded CSAPI dataset, or a presentation benefit. The evaluation will report semantic preservation, domain coverage, and operator-facing utility separately. Initial diagrams and code fragments explain the proposed method. Paired source-interface and Glaux screenshots, executed mappings, and measured results will be added as evidence becomes available. The expected contribution is a reproducible account of which meanings survive integration, which require explicit enrichment, and which remain unsupported by the source.</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The subsequent domain-model work expanded the inquiry from individual manufacturer screens to the physical sensing system in employment: its identity, equipment, functions, deployment, configuration, communications, power, and lifecycle. The retained MPSS draft organizes these concerns through eight information subjects and twenty relationship identifiers, R01–R20 (MERLIN Project 2026a, secs. 4–5).</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being written before execution of the proposed integration. Its purpose is to state what will be built, why the experiment is needed, how evidence will be collected and interpreted, and what would justify a conclusion. The initial staged plan is refined here by placing public-data integration before hardware acquisition (MERLIN Project 2026e). An owned kit is a later means of obtaining physical installation and lifecycle evidence. Deterministic captures will accompany live access so that the same observations can be examined throughout the integration chain.</w:t>
      </w:r>
    </w:p>
    <w:p>
      <w:pPr>
        <w:pStyle w:val="Heading1"/>
      </w:pPr>
      <w:r>
        <w:rPr/>
        <w:t>2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OGC API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SensorML 3.0 provides rich descriptions of processes and physical systems, including outputs, configurations, and related descriptive content. SWE Common 3.0 provides typed components, semantic definitions, units, structured values, and encoding mechanisms. Their official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CSS-pixel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3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1" name="Picture 1"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1"/>
                    <a:stretch>
                      <a:fillRect/>
                    </a:stretch>
                  </pic:blipFill>
                  <pic:spPr>
                    <a:xfrm>
                      <a:off x="0" y="0"/>
                      <a:ext cx="6217920" cy="5285232"/>
                    </a:xfrm>
                    <a:prstGeom prst="rect"/>
                  </pic:spPr>
                </pic:pic>
              </a:graphicData>
            </a:graphic>
          </wp:inline>
        </w:drawing>
      </w:r>
    </w:p>
    <w:p>
      <w:pPr>
        <w:pStyle w:val="PaperCaption"/>
        <w:keepNext w:val="0"/>
      </w:pPr>
      <w:r>
        <w:rPr>
          <w:b/>
        </w:rPr>
        <w:t>Figure 1.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4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Existing feasibility evidence</w:t>
      </w:r>
    </w:p>
    <w:p>
      <w:pPr>
        <w:pStyle w:val="PaperCaption"/>
        <w:keepNext/>
      </w:pPr>
      <w:r>
        <w:rPr>
          <w:b/>
        </w:rPr>
        <w:t>Table 1. Selected observations from the preliminary public capture.</w:t>
      </w:r>
      <w:r>
        <w:rPr/>
        <w:t xml:space="preserve"> The preliminary study retrieved public registration 19639 on 24 October 2026 at 5:57:35 p.m. EDT, equivalent to 21:57:35 UTC. Selected measurements and their individual source timestamps are preserved in the evidence record. The table summarizes a subset; it is not a new live measurement or an executed adapter result (MERLIN Project 2026b). Source timestamps are on 24 October 2026 and are shown in UTC to preserve their original time basis.</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19.82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quantity, unit,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percentage kept separate from runtime or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10.6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21:46:09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a radio measurement distinguished from end-to-end availability?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SD-card indicator</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Is the source's coded meaning retained?</w:t>
            </w:r>
          </w:p>
        </w:tc>
      </w:tr>
    </w:tbl>
    <w:p>
      <w:pPr>
        <w:spacing w:after="40" w:before="0" w:line="60" w:lineRule="exact"/>
      </w:pPr>
    </w:p>
    <w:p>
      <w:pPr/>
      <w:r>
        <w:rPr/>
        <w:t>The historical temperature request returned 24 groups with one-hour average aggregation and a response-wide sample size of 1,439. The returned timestamps are not all exact hour boundaries. The original exact retrieval time for this request was not retained. These limits remain part of the evidence; this paper does not reconstruct an acquisition time or invent averaging intervals (MERLIN Project 2026b, record “smart-citizen-history-19639-temperature”).</w:t>
      </w:r>
    </w:p>
    <w:p>
      <w:pPr>
        <w:pStyle w:val="PaperCaption"/>
        <w:keepNext/>
      </w:pPr>
      <w:r>
        <w:rPr>
          <w:b/>
        </w:rPr>
        <w:t>Listing 1. Selected native temperature fields.</w:t>
      </w:r>
      <w:r>
        <w:rPr/>
        <w:t xml:space="preserve"> These members are reproduced from one channel in the captured response. Other members are omitted. The excerpt is not a complete API response or a formal source schema (MERLIN Project 2026b, record “smart-citizen-current-19639”).</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19.82,</w:t>
      </w:r>
    </w:p>
    <w:p>
      <w:pPr>
        <w:pStyle w:val="PaperCode"/>
        <w:keepNext/>
      </w:pPr>
      <w:r>
        <w:t xml:space="preserve">  "last_reading_at": "2026-10-24T21:55:12Z"</w:t>
      </w:r>
    </w:p>
    <w:p>
      <w:pPr>
        <w:pStyle w:val="PaperCode"/>
        <w:keepNext w:val="0"/>
        <w:spacing w:after="160"/>
      </w:pPr>
      <w:r>
        <w:t>}</w:t>
      </w:r>
    </w:p>
    <w:p>
      <w:pPr/>
      <w:r>
        <w:rPr/>
        <w:t>The source meaning of a field will not be inferred from this example alone. The value, unit definition, channel description, timestamp documentation, and observation context must be considered together. Definitions and actual samples can reveal different problems: documentation may describe a field that a public response filters, while a sample may expose a value whose broader meaning is underspecified.</w:t>
      </w:r>
    </w:p>
    <w:p>
      <w:pPr>
        <w:pStyle w:val="Heading1"/>
      </w:pPr>
      <w:r>
        <w:rPr/>
        <w:t>5 Proposed dataset and mapping method</w:t>
      </w:r>
    </w:p>
    <w:p>
      <w:pPr>
        <w:pStyle w:val="Heading2"/>
      </w:pPr>
      <w:r>
        <w:rPr/>
        <w:t>Evidence collection and scope</w:t>
      </w:r>
    </w:p>
    <w:p>
      <w:pPr/>
      <w:r>
        <w:rPr/>
        <w:t>The first dataset will include source registration and model metadata, channel inventory, definitions, units, individual timestamps, current readings, and bounded history. It will cover varied supported meanings: environmental temperature and humidity, particulate mass and particle-number concentration, light or pressure, noise level, battery percentage, radio signal strength, and storage indication. Selecting these different cases is intended to exercise semantic distinctions rather than maximize record count.</w:t>
      </w:r>
    </w:p>
    <w:p>
      <w:pPr/>
      <w:r>
        <w:rPr/>
        <w:t>Each formal acquisition will retain the endpoint and query, acquisition time in UTC, HTTP outcome, available source-version information, original-response fingerprint, and review/transformation revision. Published excerpts will identify their omissions and relationship to the captured body. A fingerprint alone is not an archive. The earlier evidence record preserves excerpts and available fingerprints rather than every complete response, and formal experiment captures will not be retroactively attributed to those feasibility checks (MERLIN Project 2026b).</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2" name="Picture 2"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2"/>
                    <a:stretch>
                      <a:fillRect/>
                    </a:stretch>
                  </pic:blipFill>
                  <pic:spPr>
                    <a:xfrm>
                      <a:off x="0" y="0"/>
                      <a:ext cx="6217920" cy="5129784"/>
                    </a:xfrm>
                    <a:prstGeom prst="rect"/>
                  </pic:spPr>
                </pic:pic>
              </a:graphicData>
            </a:graphic>
          </wp:inline>
        </w:drawing>
      </w:r>
    </w:p>
    <w:p>
      <w:pPr>
        <w:pStyle w:val="PaperCaption"/>
        <w:keepNext w:val="0"/>
      </w:pPr>
      <w:r>
        <w:rPr>
          <w:b/>
        </w:rPr>
        <w:t>Figure 2.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2.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links the captured temperature channel to the proposed output declaration in Listing 2. The source supplies channel identifier 55, the value 19.82, a Celsius unit reference, an air-temperature definition reference, and the channel's source timestamp (MERLIN Project 2026b, record “smart-citizen-current-19639”). In the underlying model, this is an observation of an environmental property produced by a sensing system, with a result that remains distinct from the system description. MPSS R11 requires the producer, observed subject, and temporal context to remain distinguishable, so the observation cannot become a measurement of the kit merely because the kit reported it (MERLIN Project 2026a, sec. 5.8, R11). R10 also keeps a declared output distinct from the availability of recorded data (MERLIN Project 2026a, sec. 5.8, R10).</w:t>
      </w:r>
    </w:p>
    <w:p>
      <w:pPr/>
      <w:r>
        <w:rPr/>
        <w:t xml:space="preserve">The observation-concept lineage runs through CSAPI to W3C SOSA/SSN: CSAPI explicitly identifies that semantic foundation, while documenting its own adaptations and allowing representations other than RDF (Open Geospatial Consortium 2025a, annex C.1). The individual contributing concepts are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which distinguish producer, observation activity, observed property, subject, and outcome (World Wide Web Consortium 2017, secs. 4.3.2, 4.6.2, 4.7.2). CSAPI supplies the DataStream and Observation resources and their associations; its observation </w:t>
      </w:r>
      <w:r>
        <w:rPr>
          <w:rFonts w:ascii="DejaVu Sans Mono" w:hAnsi="DejaVu Sans Mono"/>
          <w:sz w:val="19"/>
        </w:rPr>
        <w:t>result</w:t>
      </w:r>
      <w:r>
        <w:rPr/>
        <w:t xml:space="preserve"> corresponds to </w:t>
      </w:r>
      <w:r>
        <w:rPr>
          <w:rFonts w:ascii="DejaVu Sans Mono" w:hAnsi="DejaVu Sans Mono"/>
          <w:sz w:val="19"/>
        </w:rPr>
        <w:t>sosa:hasResult</w:t>
      </w:r>
      <w:r>
        <w:rPr/>
        <w:t xml:space="preserve">, and </w:t>
      </w:r>
      <w:r>
        <w:rPr>
          <w:rFonts w:ascii="DejaVu Sans Mono" w:hAnsi="DejaVu Sans Mono"/>
          <w:sz w:val="19"/>
        </w:rPr>
        <w:t>samplingFeature</w:t>
      </w:r>
      <w:r>
        <w:rPr/>
        <w:t xml:space="preserve"> corresponds to </w:t>
      </w:r>
      <w:r>
        <w:rPr>
          <w:rFonts w:ascii="DejaVu Sans Mono" w:hAnsi="DejaVu Sans Mono"/>
          <w:sz w:val="19"/>
        </w:rPr>
        <w:t>sosa:hasFeatureOfInterest</w:t>
      </w:r>
      <w:r>
        <w:rPr/>
        <w:t xml:space="preserve"> (Open Geospatial Consortium 2025b, secs. 9.2, 9.7). This is an identified conceptual contribution through the standard, rather than an assertion that every SOSA/SSN term or constraint is adopted by the experiment.</w:t>
      </w:r>
    </w:p>
    <w:p>
      <w:pPr/>
      <w:r>
        <w:rPr/>
        <w:t xml:space="preserve">Two further source contributions explain the property and unit: GEMET concept 281 identifies air temperature, and QUDT </w:t>
      </w:r>
      <w:r>
        <w:rPr>
          <w:rFonts w:ascii="DejaVu Sans Mono" w:hAnsi="DejaVu Sans Mono"/>
          <w:sz w:val="19"/>
        </w:rPr>
        <w:t>unit:DEG_C</w:t>
      </w:r>
      <w:r>
        <w:rPr/>
        <w:t xml:space="preserve"> identifies degree Celsius (European Environment Agency 2021; QUDT.org n.d.). These are the vocabulary references carried by the native specimen; retaining them does not establish that they were historical donors to every part of the DIM. SWE's Quantity, semantic </w:t>
      </w:r>
      <w:r>
        <w:rPr>
          <w:rFonts w:ascii="DejaVu Sans Mono" w:hAnsi="DejaVu Sans Mono"/>
          <w:sz w:val="19"/>
        </w:rPr>
        <w:t>definition</w:t>
      </w:r>
      <w:r>
        <w:rPr/>
        <w:t xml:space="preserve">, and unit-reference mechanisms provide the typed representation, while SensorML's </w:t>
      </w:r>
      <w:r>
        <w:rPr>
          <w:rFonts w:ascii="DejaVu Sans Mono" w:hAnsi="DejaVu Sans Mono"/>
          <w:sz w:val="19"/>
        </w:rPr>
        <w:t>outputs</w:t>
      </w:r>
      <w:r>
        <w:rPr/>
        <w:t xml:space="preserve"> member declares the output (Open Geospatial Consortium 2025c, secs. 8.2, 9.1; 2025d, secs. 7.3, 8.2, 9.1). The local name </w:t>
      </w:r>
      <w:r>
        <w:rPr>
          <w:rFonts w:ascii="DejaVu Sans Mono" w:hAnsi="DejaVu Sans Mono"/>
          <w:sz w:val="19"/>
        </w:rPr>
        <w:t>airTemperature</w:t>
      </w:r>
      <w:r>
        <w:rPr/>
        <w:t xml:space="preserve"> and display label remain authored choices, while the final producer identity, sampling subject, observation-time interpretation, and executed CSAPI publication remain to be resolved and tested.</w:t>
      </w:r>
    </w:p>
    <w:p>
      <w:pPr>
        <w:pStyle w:val="Heading2"/>
      </w:pPr>
      <w:r>
        <w:rPr/>
        <w:t>Battery mapping SC BATT 01</w:t>
      </w:r>
    </w:p>
    <w:p>
      <w:pPr/>
      <w:r>
        <w:rPr/>
        <w:t xml:space="preserve">Mapping </w:t>
      </w:r>
      <w:r>
        <w:rPr>
          <w:rFonts w:ascii="DejaVu Sans Mono" w:hAnsi="DejaVu Sans Mono"/>
          <w:sz w:val="19"/>
        </w:rPr>
        <w:t>SC-BATT-01</w:t>
      </w:r>
      <w:r>
        <w:rPr/>
        <w:t xml:space="preserve"> concerns the source-reported remaining battery level of 99 percent, not a demonstrated physical power arrangement (MERLIN Project 2026b, record “smart-citizen-current-19639”). The underlying model distinguishes a reported property from an identified power-source entity and from a relationship describing which equipment it supplies. MPSS R17 preserves the quantity, subject, measurement point, time, and reading-versus-estimate meaning, while R11 preserves producer-versus-subject context (MERLIN Project 2026a, secs. 5.8, 5.10). Its Sensor, Observation, ObservableProperty, FeatureOfInterest, and Result distinctions follow the same SOSA/SSN lineage explained for </w:t>
      </w:r>
      <w:r>
        <w:rPr>
          <w:rFonts w:ascii="DejaVu Sans Mono" w:hAnsi="DejaVu Sans Mono"/>
          <w:sz w:val="19"/>
        </w:rPr>
        <w:t>SC-TEMP-01</w:t>
      </w:r>
      <w:r>
        <w:rPr/>
        <w:t xml:space="preserve"> (World Wide Web Consortium 2017, secs. 4.3.2, 4.6.2, 4.7.2; Open Geospatial Consortium 2025a, annex C.1). A percent-scaled SWE Quantity within a CSAPI stream/observation representation is a proposed carrier, but the exact property definition and observation contract still require a completed mapping record (Open Geospatial Consortium 2025b, secs. 9.2, 9.6–9.7; 2025d, secs. 8.2.8, 9.1.9).</w:t>
      </w:r>
    </w:p>
    <w:p>
      <w:pPr/>
      <w:r>
        <w:rPr/>
        <w:t>RFC 7326 contributes distinct power-source, metering, and aggregation relationship concepts; its Power Source Relationship concerns the energy-supply interconnection (Parello et al. 2014, secs. 6.6, 8.1–8.3). In this mapping, those concepts constrain interpretation by explaining why a battery percentage does not itself establish a supply edge. R16's OGC relationship binding is authored by MERLIN, so any later topology mapping must identify the reused RFC meaning and assess the binding's adaptations separately (MERLIN Project 2026a, sec. 5.10, R16). The present percentage mapping does not instantiate any of these three relationship concepts, and the paper will report that absence explicitly.</w:t>
      </w:r>
    </w:p>
    <w:p>
      <w:pPr/>
      <w:r>
        <w:rPr/>
        <w:t xml:space="preserve">RFC 7577 supplies separate battery-monitoring concepts, including </w:t>
      </w:r>
      <w:r>
        <w:rPr>
          <w:rFonts w:ascii="DejaVu Sans Mono" w:hAnsi="DejaVu Sans Mono"/>
          <w:sz w:val="19"/>
        </w:rPr>
        <w:t>batteryActualCharge</w:t>
      </w:r>
      <w:r>
        <w:rPr/>
        <w:t xml:space="preserve"> in milliampere hours and </w:t>
      </w:r>
      <w:r>
        <w:rPr>
          <w:rFonts w:ascii="DejaVu Sans Mono" w:hAnsi="DejaVu Sans Mono"/>
          <w:sz w:val="19"/>
        </w:rPr>
        <w:t>batteryActualVoltage</w:t>
      </w:r>
      <w:r>
        <w:rPr/>
        <w:t xml:space="preserve"> in millivolts (Quittek et al. 2015, sec. 4). Neither quantity is established by a percentage alone, so this mapping has no demonstrated equivalence to either individual MIB object. The RFC is used here to test and reject unsupported substitutions, rather than to claim a directly reused battery-field definition. The proposed display therefore retains the supplier's percentage and its evidence limits without adding charge in milliampere hours, voltage, runtime, battery identity, or charging state.</w:t>
      </w:r>
    </w:p>
    <w:p>
      <w:pPr>
        <w:pStyle w:val="Heading2"/>
      </w:pPr>
      <w:r>
        <w:rPr/>
        <w:t>Expected domain coverage</w:t>
      </w:r>
    </w:p>
    <w:p>
      <w:pPr>
        <w:pStyle w:val="PaperCaption"/>
        <w:keepNext/>
      </w:pPr>
      <w:r>
        <w:rPr>
          <w:b/>
        </w:rPr>
        <w:t>Table 3.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6 Integration and evaluation protocol</w:t>
      </w:r>
    </w:p>
    <w:p>
      <w:pPr>
        <w:pStyle w:val="Heading2"/>
      </w:pPr>
      <w:r>
        <w:rPr/>
        <w:t>Acquisition and publication</w:t>
      </w:r>
    </w:p>
    <w:p>
      <w:pPr/>
      <w:r>
        <w:rPr/>
        <w:t>Before execution, the team will identify a public registration with sufficiently recent data and record the evidence used to assess freshness. Polling, caching, and retry behavior will follow the source's documented and observed behavior. Repeated retrieval of the same old observation will not make it new. The adapter will preserve acquisition time separately from source time and will document its duplicate-handling policy.</w:t>
      </w:r>
    </w:p>
    <w:p>
      <w:pPr/>
      <w:r>
        <w:rPr/>
        <w:t>The selected CSAPI service will be checked for the required resource creation and retrieval capabilities. Only the chosen supported interfaces will be used, and the actual endpoint and version will be recorded in the execution record. A source sample will then be followed through capture, normalized representation,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4.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7 Interface comparison and figure protocol</w:t>
      </w:r>
    </w:p>
    <w:p>
      <w:pPr/>
      <w:r>
        <w:rPr/>
        <w:t>The planned comparison has three conditions: the actual Smart Citizen interface, a competent generic OGC presentation, and a profile-aware Glaux presentation. The source platform documents front-end access to its data, but no matched screenshot comparison is reported in this draft (Smart Citizen n.d.-a).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5. Planned figures and evidence status.</w:t>
      </w:r>
      <w:r>
        <w:rPr/>
        <w:t xml:space="preserve"> Figures 1 and 2 are authored diagrams of the proposed experiment. Figures 3–5 are reserved evidence slots. No substitute or simulated screenshots are presented.</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0.2</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Smart Citizen interface showing the selected channels and interval</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documented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Matched generic and profile-aware Glaux views of the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implemented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server records and mapping results</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8 Results to be reported</w:t>
      </w:r>
    </w:p>
    <w:p>
      <w:pPr/>
      <w:r>
        <w:rPr>
          <w:b/>
        </w:rPr>
        <w:t>The proposed adapter, CSAPI loading, live integration, and comparative evaluation have not been executed as part of this study.</w:t>
      </w:r>
      <w:r>
        <w:rPr/>
        <w:t xml:space="preserve"> No experimental success rate, task-time improvement, or user outcome is reported in version 0.2. The public access observations in section 4 establish limited feasibility and remain separate from experimental results.</w:t>
      </w:r>
    </w:p>
    <w:p>
      <w:pPr/>
      <w:r>
        <w:rPr/>
        <w:t>The results section will be completed in three parts. First, acquisition and integration results will identify the actual versions, selected records, publication/retrieval outcomes, and failures. Second, semantic and coverage results will account for every selected assertion and relevant relationship, with source limitations distinguished from implementation defects. Third, presentation results will connect the matched figures to the predefined operator questions and document where profile-aware organization helped, made no difference, or introduced a problem.</w:t>
      </w:r>
    </w:p>
    <w:p>
      <w:pPr/>
      <w:r>
        <w:rPr/>
        <w:t>The expected reporting structure does not presume a favorable outcome. An accurate generic presentation may answer a task as well as the profile-aware condition. A proposed binding may prove unnecessary or insufficient. Those findings would inform the model and PBI rather than invalidate the experiment's purpose.</w:t>
      </w:r>
    </w:p>
    <w:p>
      <w:pPr>
        <w:pStyle w:val="Heading1"/>
      </w:pPr>
      <w:r>
        <w:rPr/>
        <w:t>9 Discussion and limitations</w:t>
      </w:r>
    </w:p>
    <w:p>
      <w:pPr/>
      <w:r>
        <w:rPr/>
        <w:t>The immediate public-data case is strongest for measurements, descriptions, source context, and integration provenance. It is weaker for unit-specific physical composition, operating configuration, deployment history, power topology, and maintenance. More readings can enrich temporal evidence without filling those missing relationships. Documentary model enrichment must not be presented as observation of a particular installation (MERLIN Project 2026a; 2026b; Smart Citizen n.d.-c).</w:t>
      </w:r>
    </w:p>
    <w:p>
      <w:pPr/>
      <w:r>
        <w:rPr/>
        <w:t>The selected source may change its fields, permissions, or availability. The research captures are limited in scope, and not every original response body was archived. Timestamp semantics and historical location applicability require verification. The example cannot establish general performance across all sensor families, operational conditions, or users. A later independent producer can test transfer, while an owned kit can address physical evidence gaps; these are different extensions.</w:t>
      </w:r>
    </w:p>
    <w:p>
      <w:pPr/>
      <w:r>
        <w:rPr/>
        <w:t>No full OGC conformance, whole-profile implementation, or native Smart Citizen support for MPSS is claimed. Structural correctness, service interoperability, and operator benefit require different evidence. The study will also retain the distinction between native source meanings, selected standard mechanisms, MERLIN-authored bindings, and client choices throughout its reporting.</w:t>
      </w:r>
    </w:p>
    <w:p>
      <w:pPr>
        <w:pStyle w:val="Heading1"/>
      </w:pPr>
      <w:r>
        <w:rPr/>
        <w:t>10 Reproducibility and document maintenance</w:t>
      </w:r>
    </w:p>
    <w:p>
      <w:pPr/>
      <w:r>
        <w:rPr/>
        <w:t>The manuscript,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the initial mapping record and actual execution evidence, including the first trace through the selected CSAPI service.</w:t>
      </w:r>
    </w:p>
    <w:p>
      <w:pPr>
        <w:pStyle w:val="Heading1"/>
      </w:pPr>
      <w:r>
        <w:rPr/>
        <w:t>11 Conclusion</w:t>
      </w:r>
    </w:p>
    <w:p>
      <w:pPr/>
      <w:r>
        <w:rPr/>
        <w:t>This protocol establishes a way to test whether a standards-grounded description of a sensing system remains useful after integration. The first case will combine public Smart Citizen readings with source definitions, documented model information, and explicit integration provenance. Its value will be assessed through traceable meaning, stated domain coverage, and observable operator tasks. The paper is prepared to accumulate both successful mappings and counterexamples as the experiment proceeds.</w:t>
      </w:r>
    </w:p>
    <w:p>
      <w:pPr>
        <w:pStyle w:val="Heading1"/>
      </w:pPr>
      <w:r>
        <w:rPr/>
        <w:t>References</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Seeed Studio. n.d. “Smart Citizen Kit 2.3—Open Source Environmental Monitoring Kit.” SKU 114993536. Accessed October 24, 2026. https://www.seeedstudio.com/Smart-Citizen2-3-p-6327.html.</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0.2   24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{"format":"glaux-paper-inputs-v1","sha256":"b841452383bf541b52c5b385486cf6ab23a3306911d892f432bfb8397f47360c"}</dc:description>
  <cp:lastModifiedBy/>
  <cp:revision>1</cp:revision>
  <dcterms:created xsi:type="dcterms:W3CDTF">2026-10-24T00:00:00Z</dcterms:created>
  <dcterms:modified xsi:type="dcterms:W3CDTF">2026-10-24T00:00:00Z</dcterms:modified>
  <cp:category/>
  <cp:version>0.2</cp:version>
</cp:coreProperties>
</file>