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MERLIN Semantic Presentation</w:t>
        <w:br/>
        <w:t>and Interaction Guide</w:t>
      </w:r>
    </w:p>
    <w:p>
      <w:pPr>
        <w:pStyle w:val="SubtitleCustom"/>
        <w:jc w:val="center"/>
      </w:pPr>
      <w:r>
        <w:t>Cross-Module Design Patterns for Standards-Based Resources</w:t>
      </w:r>
    </w:p>
    <w:p>
      <w:pPr>
        <w:jc w:val="center"/>
      </w:pPr>
      <w:r>
        <w:t>Working Application Guide  |  Draft v0.5  |  08 October 2026</w:t>
      </w:r>
    </w:p>
    <w:p>
      <w:pPr>
        <w:spacing w:before="480"/>
        <w:jc w:val="center"/>
      </w:pPr>
      <w:r>
        <w:rPr>
          <w:i/>
        </w:rPr>
        <w:t>Derived from the semantic presentation, normalization, and navigation decisions developed for MERLIN-932 Resource Discovery View Module.</w:t>
      </w:r>
    </w:p>
    <w:p>
      <w:pPr>
        <w:spacing w:before="560"/>
      </w:pP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AF7"/>
            <w:tcMar>
              <w:top w:w="90" w:type="dxa"/>
              <w:start w:w="110" w:type="dxa"/>
              <w:bottom w:w="90" w:type="dxa"/>
              <w:end w:w="110" w:type="dxa"/>
            </w:tcMar>
            <w:vAlign w:val="top"/>
          </w:tcPr>
          <w:p>
            <w:pPr>
              <w:spacing w:after="40" w:line="240" w:lineRule="auto"/>
            </w:pPr>
            <w:r>
              <w:rPr>
                <w:b/>
              </w:rPr>
              <w:t>Purpose</w:t>
            </w:r>
          </w:p>
        </w:tc>
        <w:tc>
          <w:tcPr>
            <w:tcW w:type="dxa" w:w="5040"/>
            <w:tcMar>
              <w:top w:w="90" w:type="dxa"/>
              <w:start w:w="110" w:type="dxa"/>
              <w:bottom w:w="90" w:type="dxa"/>
              <w:end w:w="110" w:type="dxa"/>
            </w:tcMar>
            <w:vAlign w:val="top"/>
          </w:tcPr>
          <w:p>
            <w:pPr>
              <w:spacing w:after="40" w:line="240" w:lineRule="auto"/>
            </w:pPr>
            <w:r>
              <w:t>Preserve reusable MERLIN application-level semantic and interaction patterns so future View Modules can remain consistent without redefining source-standard semantics.</w:t>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Scope</w:t>
            </w:r>
          </w:p>
        </w:tc>
        <w:tc>
          <w:tcPr>
            <w:tcW w:type="dxa" w:w="5040"/>
            <w:tcMar>
              <w:top w:w="90" w:type="dxa"/>
              <w:start w:w="110" w:type="dxa"/>
              <w:bottom w:w="90" w:type="dxa"/>
              <w:end w:w="110" w:type="dxa"/>
            </w:tcMar>
            <w:vAlign w:val="top"/>
          </w:tcPr>
          <w:p>
            <w:pPr>
              <w:spacing w:after="40" w:line="240" w:lineRule="auto"/>
            </w:pPr>
            <w:r>
              <w:t>Human-facing semantic normalization, naming, contextual clarification, and navigation patterns for resources obtained from OGC API - Connected Systems, OGC API - Features, and future supported standards/profile sources.</w:t>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Authority</w:t>
            </w:r>
          </w:p>
        </w:tc>
        <w:tc>
          <w:tcPr>
            <w:tcW w:type="dxa" w:w="5040"/>
            <w:tcMar>
              <w:top w:w="90" w:type="dxa"/>
              <w:start w:w="110" w:type="dxa"/>
              <w:bottom w:w="90" w:type="dxa"/>
              <w:end w:w="110" w:type="dxa"/>
            </w:tcMar>
            <w:vAlign w:val="top"/>
          </w:tcPr>
          <w:p>
            <w:pPr>
              <w:spacing w:after="40" w:line="240" w:lineRule="auto"/>
            </w:pPr>
            <w:r>
              <w:t>Application design guidance. This document does not redefine OGC standards, create new source-server properties, or establish a defense profile.</w:t>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Primary basis</w:t>
            </w:r>
          </w:p>
        </w:tc>
        <w:tc>
          <w:tcPr>
            <w:tcW w:type="dxa" w:w="5040"/>
            <w:tcMar>
              <w:top w:w="90" w:type="dxa"/>
              <w:start w:w="110" w:type="dxa"/>
              <w:bottom w:w="90" w:type="dxa"/>
              <w:end w:w="110" w:type="dxa"/>
            </w:tcMar>
            <w:vAlign w:val="top"/>
          </w:tcPr>
          <w:p>
            <w:pPr>
              <w:spacing w:after="40" w:line="240" w:lineRule="auto"/>
            </w:pPr>
            <w:r>
              <w:t>MERLIN-932 Resource Discovery View Module and its revised Resource Discovery Table Requirements workbook.</w:t>
            </w:r>
          </w:p>
        </w:tc>
      </w:tr>
    </w:tbl>
    <w:p>
      <w:pPr>
        <w:pStyle w:val="SmallNote"/>
        <w:jc w:val="center"/>
      </w:pPr>
      <w:r>
        <w:t>Living guide: update when MERLIN establishes a new cross-module semantic pattern or materially changes an existing one. Draft v0.5 preserves the established pattern catalog and interaction guidance from v0.4 and adds resource-centric application guidance, beginning with System. Candidate Resource Details presentation choices remain subject to the module’s PBI and do not change existing source mappings or MERLIN-932 requirements.</w:t>
      </w:r>
    </w:p>
    <w:p>
      <w:r>
        <w:br w:type="page"/>
      </w:r>
    </w:p>
    <w:p>
      <w:pPr>
        <w:pStyle w:val="Heading1"/>
      </w:pPr>
      <w:r>
        <w:t>Executive Summary</w:t>
      </w:r>
    </w:p>
    <w:p>
      <w:pPr>
        <w:pStyle w:val="NarrativeLead"/>
      </w:pPr>
      <w:r>
        <w:t>This guide captures a class of design decisions that began in Resource Discovery but are intended to outlive that single module. Its purpose is to give MERLIN a consistent application vocabulary for presenting standards-defined resources across different View Modules, even when those modules use different visual forms or support different workflows. The guide therefore focuses on semantic presentation and interaction patterns rather than on one table, one screen, or one implementation technology. It is meant to help future PBIs reuse established decisions instead of repeatedly rediscovering them.</w:t>
      </w:r>
    </w:p>
    <w:p>
      <w:pPr/>
      <w:r>
        <w:t>MERLIN-932 demonstrated that heterogeneous source concepts can often be presented through a smaller set of human-facing application concepts when they serve the same user task. Examples include Status, Stream, System, Type Detail, Start Time / End Time, and Result / Issue Time. Those consolidations improve comparison and consistency, but they are safe only when MERLIN preserves which source field, relationship, resource type, and meaning produced the displayed value. The application may simplify presentation without claiming that distinct source concepts have become semantically identical.</w:t>
      </w:r>
    </w:p>
    <w:p>
      <w:pPr/>
      <w:r>
        <w:t>The governing boundary is therefore simple but important: standards and supported profiles remain authoritative for source semantics; MERLIN defines reusable presentation semantics; and each View Module chooses an appropriate rendering for its workflow. This separation lets MERLIN become more coherent without creating a shadow data model or silently imposing client terminology on servers. The patterns in this guide should be reused when the same semantic role recurs, challenged when a new workflow exposes a genuine mismatch, and promoted to standards/profile work only when interoperable behavior depends on machine-readable semantics that the source does not yet provide.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00" w:type="dxa"/>
              <w:start w:w="140" w:type="dxa"/>
              <w:bottom w:w="100" w:type="dxa"/>
              <w:end w:w="140" w:type="dxa"/>
            </w:tcMar>
            <w:vAlign w:val="top"/>
          </w:tcPr>
          <w:p>
            <w:pPr>
              <w:spacing w:after="40" w:line="240" w:lineRule="auto"/>
            </w:pPr>
            <w:r>
              <w:rPr>
                <w:b/>
              </w:rPr>
              <w:t xml:space="preserve">Core principle: </w:t>
            </w:r>
            <w:r>
              <w:t>Reuse a shared MERLIN concept when different source semantics answer the same user-facing question and their distinctions can still be preserved. Do not consolidate merely because fields look similar or have similar names.</w:t>
            </w:r>
          </w:p>
        </w:tc>
      </w:tr>
    </w:tbl>
    <w:p>
      <w:pPr>
        <w:spacing w:after="40"/>
      </w:pPr>
    </w:p>
    <w:p>
      <w:r>
        <w:br w:type="page"/>
      </w:r>
    </w:p>
    <w:p>
      <w:pPr>
        <w:pStyle w:val="Heading1"/>
      </w:pPr>
      <w:r>
        <w:t>Guide Map</w:t>
      </w:r>
    </w:p>
    <w:p>
      <w:pPr>
        <w:pStyle w:val="NarrativeLead"/>
      </w:pPr>
      <w:r>
        <w:t>The guide is organized so a reader can move from governing ideas to reusable patterns without reconstructing the design logic from individual PBIs. Sections 1 through 4 establish scope, the three-layer semantic model, core principles, and the decision method for creating or reusing shared concepts. Sections 5 and 6 contain the semantic and interaction pattern catalogs that future module designers are most likely to consult during PBI development. Sections 7 through 9 explain cross-module reuse, governance, and review. Section 10 applies those patterns from the perspective of individual resource classes, beginning with System, while the appendices provide compact reference material and source provenance.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F4E78"/>
            <w:vAlign w:val="top"/>
          </w:tcPr>
          <w:p>
            <w:pPr>
              <w:spacing w:after="40" w:line="240" w:lineRule="auto"/>
            </w:pPr>
            <w:r>
              <w:rPr>
                <w:b/>
                <w:color w:val="FFFFFF"/>
              </w:rPr>
              <w:t>Section</w:t>
            </w:r>
          </w:p>
        </w:tc>
        <w:tc>
          <w:tcPr>
            <w:tcW w:type="dxa" w:w="5040"/>
            <w:shd w:fill="1F4E78"/>
            <w:vAlign w:val="top"/>
          </w:tcPr>
          <w:p>
            <w:pPr>
              <w:spacing w:after="40" w:line="240" w:lineRule="auto"/>
            </w:pPr>
            <w:r>
              <w:rPr>
                <w:b/>
                <w:color w:val="FFFFFF"/>
              </w:rPr>
              <w:t>What it provides</w:t>
            </w:r>
          </w:p>
        </w:tc>
      </w:tr>
      <w:tr>
        <w:trPr>
          <w:cantSplit/>
        </w:trPr>
        <w:tc>
          <w:tcPr>
            <w:tcW w:type="dxa" w:w="5040"/>
            <w:tcMar>
              <w:top w:w="80" w:type="dxa"/>
              <w:start w:w="100" w:type="dxa"/>
              <w:bottom w:w="80" w:type="dxa"/>
              <w:end w:w="100" w:type="dxa"/>
            </w:tcMar>
            <w:vAlign w:val="top"/>
          </w:tcPr>
          <w:p>
            <w:pPr>
              <w:spacing w:after="40" w:line="240" w:lineRule="auto"/>
            </w:pPr>
            <w:r>
              <w:t>1. Purpose and Scope</w:t>
            </w:r>
          </w:p>
        </w:tc>
        <w:tc>
          <w:tcPr>
            <w:tcW w:type="dxa" w:w="5040"/>
            <w:tcMar>
              <w:top w:w="80" w:type="dxa"/>
              <w:start w:w="100" w:type="dxa"/>
              <w:bottom w:w="80" w:type="dxa"/>
              <w:end w:w="100" w:type="dxa"/>
            </w:tcMar>
            <w:vAlign w:val="top"/>
          </w:tcPr>
          <w:p>
            <w:pPr>
              <w:spacing w:after="40" w:line="240" w:lineRule="auto"/>
            </w:pPr>
            <w:r>
              <w:t>What this guide governs and what it deliberately does not govern.</w:t>
            </w:r>
          </w:p>
        </w:tc>
      </w:tr>
      <w:tr>
        <w:trPr>
          <w:cantSplit/>
        </w:trPr>
        <w:tc>
          <w:tcPr>
            <w:tcW w:type="dxa" w:w="5040"/>
            <w:tcMar>
              <w:top w:w="80" w:type="dxa"/>
              <w:start w:w="100" w:type="dxa"/>
              <w:bottom w:w="80" w:type="dxa"/>
              <w:end w:w="100" w:type="dxa"/>
            </w:tcMar>
            <w:vAlign w:val="top"/>
          </w:tcPr>
          <w:p>
            <w:pPr>
              <w:spacing w:after="40" w:line="240" w:lineRule="auto"/>
            </w:pPr>
            <w:r>
              <w:t>2. Three-Layer Semantic Model</w:t>
            </w:r>
          </w:p>
        </w:tc>
        <w:tc>
          <w:tcPr>
            <w:tcW w:type="dxa" w:w="5040"/>
            <w:tcMar>
              <w:top w:w="80" w:type="dxa"/>
              <w:start w:w="100" w:type="dxa"/>
              <w:bottom w:w="80" w:type="dxa"/>
              <w:end w:w="100" w:type="dxa"/>
            </w:tcMar>
            <w:vAlign w:val="top"/>
          </w:tcPr>
          <w:p>
            <w:pPr>
              <w:spacing w:after="40" w:line="240" w:lineRule="auto"/>
            </w:pPr>
            <w:r>
              <w:t>How source semantics, MERLIN presentation semantics, and module rendering remain distinct.</w:t>
            </w:r>
          </w:p>
        </w:tc>
      </w:tr>
      <w:tr>
        <w:trPr>
          <w:cantSplit/>
        </w:trPr>
        <w:tc>
          <w:tcPr>
            <w:tcW w:type="dxa" w:w="5040"/>
            <w:tcMar>
              <w:top w:w="80" w:type="dxa"/>
              <w:start w:w="100" w:type="dxa"/>
              <w:bottom w:w="80" w:type="dxa"/>
              <w:end w:w="100" w:type="dxa"/>
            </w:tcMar>
            <w:vAlign w:val="top"/>
          </w:tcPr>
          <w:p>
            <w:pPr>
              <w:spacing w:after="40" w:line="240" w:lineRule="auto"/>
            </w:pPr>
            <w:r>
              <w:t>3. Core Design Principles</w:t>
            </w:r>
          </w:p>
        </w:tc>
        <w:tc>
          <w:tcPr>
            <w:tcW w:type="dxa" w:w="5040"/>
            <w:tcMar>
              <w:top w:w="80" w:type="dxa"/>
              <w:start w:w="100" w:type="dxa"/>
              <w:bottom w:w="80" w:type="dxa"/>
              <w:end w:w="100" w:type="dxa"/>
            </w:tcMar>
            <w:vAlign w:val="top"/>
          </w:tcPr>
          <w:p>
            <w:pPr>
              <w:spacing w:after="40" w:line="240" w:lineRule="auto"/>
            </w:pPr>
            <w:r>
              <w:t>Rules that protect meaning while improving consistency and cognitive efficiency.</w:t>
            </w:r>
          </w:p>
        </w:tc>
      </w:tr>
      <w:tr>
        <w:trPr>
          <w:cantSplit/>
        </w:trPr>
        <w:tc>
          <w:tcPr>
            <w:tcW w:type="dxa" w:w="5040"/>
            <w:tcMar>
              <w:top w:w="80" w:type="dxa"/>
              <w:start w:w="100" w:type="dxa"/>
              <w:bottom w:w="80" w:type="dxa"/>
              <w:end w:w="100" w:type="dxa"/>
            </w:tcMar>
            <w:vAlign w:val="top"/>
          </w:tcPr>
          <w:p>
            <w:pPr>
              <w:spacing w:after="40" w:line="240" w:lineRule="auto"/>
            </w:pPr>
            <w:r>
              <w:t>4. Decision Method for New Shared Concepts</w:t>
            </w:r>
          </w:p>
        </w:tc>
        <w:tc>
          <w:tcPr>
            <w:tcW w:type="dxa" w:w="5040"/>
            <w:tcMar>
              <w:top w:w="80" w:type="dxa"/>
              <w:start w:w="100" w:type="dxa"/>
              <w:bottom w:w="80" w:type="dxa"/>
              <w:end w:w="100" w:type="dxa"/>
            </w:tcMar>
            <w:vAlign w:val="top"/>
          </w:tcPr>
          <w:p>
            <w:pPr>
              <w:spacing w:after="40" w:line="240" w:lineRule="auto"/>
            </w:pPr>
            <w:r>
              <w:t>A repeatable test for deciding whether to reuse, consolidate, separate, profile, or defer.</w:t>
            </w:r>
          </w:p>
        </w:tc>
      </w:tr>
      <w:tr>
        <w:trPr>
          <w:cantSplit/>
        </w:trPr>
        <w:tc>
          <w:tcPr>
            <w:tcW w:type="dxa" w:w="5040"/>
            <w:tcMar>
              <w:top w:w="80" w:type="dxa"/>
              <w:start w:w="100" w:type="dxa"/>
              <w:bottom w:w="80" w:type="dxa"/>
              <w:end w:w="100" w:type="dxa"/>
            </w:tcMar>
            <w:vAlign w:val="top"/>
          </w:tcPr>
          <w:p>
            <w:pPr>
              <w:spacing w:after="40" w:line="240" w:lineRule="auto"/>
            </w:pPr>
            <w:r>
              <w:t>5. Established Semantic Pattern Catalog</w:t>
            </w:r>
          </w:p>
        </w:tc>
        <w:tc>
          <w:tcPr>
            <w:tcW w:type="dxa" w:w="5040"/>
            <w:tcMar>
              <w:top w:w="80" w:type="dxa"/>
              <w:start w:w="100" w:type="dxa"/>
              <w:bottom w:w="80" w:type="dxa"/>
              <w:end w:w="100" w:type="dxa"/>
            </w:tcMar>
            <w:vAlign w:val="top"/>
          </w:tcPr>
          <w:p>
            <w:pPr>
              <w:spacing w:after="40" w:line="240" w:lineRule="auto"/>
            </w:pPr>
            <w:r>
              <w:t>The shared concepts created in MERLIN-932 and how to reuse them.</w:t>
            </w:r>
          </w:p>
        </w:tc>
      </w:tr>
      <w:tr>
        <w:trPr>
          <w:cantSplit/>
        </w:trPr>
        <w:tc>
          <w:tcPr>
            <w:tcW w:type="dxa" w:w="5040"/>
            <w:tcMar>
              <w:top w:w="80" w:type="dxa"/>
              <w:start w:w="100" w:type="dxa"/>
              <w:bottom w:w="80" w:type="dxa"/>
              <w:end w:w="100" w:type="dxa"/>
            </w:tcMar>
            <w:vAlign w:val="top"/>
          </w:tcPr>
          <w:p>
            <w:r>
              <w:t>6. Interaction Patterns and Derived Guidance</w:t>
            </w:r>
          </w:p>
        </w:tc>
        <w:tc>
          <w:tcPr>
            <w:tcW w:type="dxa" w:w="5040"/>
            <w:tcMar>
              <w:top w:w="80" w:type="dxa"/>
              <w:start w:w="100" w:type="dxa"/>
              <w:bottom w:w="80" w:type="dxa"/>
              <w:end w:w="100" w:type="dxa"/>
            </w:tcMar>
            <w:vAlign w:val="top"/>
          </w:tcPr>
          <w:p>
            <w:r>
              <w:t>PBI-established navigation behaviors plus clearly labeled cross-module interaction guidance derived from them.</w:t>
            </w:r>
          </w:p>
        </w:tc>
      </w:tr>
      <w:tr>
        <w:trPr>
          <w:cantSplit/>
        </w:trPr>
        <w:tc>
          <w:tcPr>
            <w:tcW w:type="dxa" w:w="5040"/>
            <w:tcMar>
              <w:top w:w="80" w:type="dxa"/>
              <w:start w:w="100" w:type="dxa"/>
              <w:bottom w:w="80" w:type="dxa"/>
              <w:end w:w="100" w:type="dxa"/>
            </w:tcMar>
            <w:vAlign w:val="top"/>
          </w:tcPr>
          <w:p>
            <w:pPr>
              <w:spacing w:after="40" w:line="240" w:lineRule="auto"/>
            </w:pPr>
            <w:r>
              <w:t>7. Cross-Module Reuse Guidance</w:t>
            </w:r>
          </w:p>
        </w:tc>
        <w:tc>
          <w:tcPr>
            <w:tcW w:type="dxa" w:w="5040"/>
            <w:tcMar>
              <w:top w:w="80" w:type="dxa"/>
              <w:start w:w="100" w:type="dxa"/>
              <w:bottom w:w="80" w:type="dxa"/>
              <w:end w:w="100" w:type="dxa"/>
            </w:tcMar>
            <w:vAlign w:val="top"/>
          </w:tcPr>
          <w:p>
            <w:pPr>
              <w:spacing w:after="40" w:line="240" w:lineRule="auto"/>
            </w:pPr>
            <w:r>
              <w:t>How the same semantics may be rendered differently without changing meaning.</w:t>
            </w:r>
          </w:p>
        </w:tc>
      </w:tr>
      <w:tr>
        <w:trPr>
          <w:cantSplit/>
        </w:trPr>
        <w:tc>
          <w:tcPr>
            <w:tcW w:type="dxa" w:w="5040"/>
            <w:tcMar>
              <w:top w:w="80" w:type="dxa"/>
              <w:start w:w="100" w:type="dxa"/>
              <w:bottom w:w="80" w:type="dxa"/>
              <w:end w:w="100" w:type="dxa"/>
            </w:tcMar>
            <w:vAlign w:val="top"/>
          </w:tcPr>
          <w:p>
            <w:pPr>
              <w:spacing w:after="40" w:line="240" w:lineRule="auto"/>
            </w:pPr>
            <w:r>
              <w:t>8. Governance and Maintenance</w:t>
            </w:r>
          </w:p>
        </w:tc>
        <w:tc>
          <w:tcPr>
            <w:tcW w:type="dxa" w:w="5040"/>
            <w:tcMar>
              <w:top w:w="80" w:type="dxa"/>
              <w:start w:w="100" w:type="dxa"/>
              <w:bottom w:w="80" w:type="dxa"/>
              <w:end w:w="100" w:type="dxa"/>
            </w:tcMar>
            <w:vAlign w:val="top"/>
          </w:tcPr>
          <w:p>
            <w:pPr>
              <w:spacing w:after="40" w:line="240" w:lineRule="auto"/>
            </w:pPr>
            <w:r>
              <w:t>How to keep the catalog coherent as MERLIN grows.</w:t>
            </w:r>
          </w:p>
        </w:tc>
      </w:tr>
      <w:tr>
        <w:trPr>
          <w:cantSplit/>
        </w:trPr>
        <w:tc>
          <w:tcPr>
            <w:tcW w:type="dxa" w:w="5040"/>
            <w:tcMar>
              <w:top w:w="80" w:type="dxa"/>
              <w:start w:w="100" w:type="dxa"/>
              <w:bottom w:w="80" w:type="dxa"/>
              <w:end w:w="100" w:type="dxa"/>
            </w:tcMar>
            <w:vAlign w:val="top"/>
          </w:tcPr>
          <w:p>
            <w:pPr>
              <w:spacing w:after="40" w:line="240" w:lineRule="auto"/>
            </w:pPr>
            <w:r>
              <w:t>9. PBI / Design Review Checklist</w:t>
            </w:r>
          </w:p>
        </w:tc>
        <w:tc>
          <w:tcPr>
            <w:tcW w:type="dxa" w:w="5040"/>
            <w:tcMar>
              <w:top w:w="80" w:type="dxa"/>
              <w:start w:w="100" w:type="dxa"/>
              <w:bottom w:w="80" w:type="dxa"/>
              <w:end w:w="100" w:type="dxa"/>
            </w:tcMar>
            <w:vAlign w:val="top"/>
          </w:tcPr>
          <w:p>
            <w:pPr>
              <w:spacing w:after="40" w:line="240" w:lineRule="auto"/>
            </w:pPr>
            <w:r>
              <w:t>A concise review aid for future module work.</w:t>
            </w:r>
          </w:p>
        </w:tc>
      </w:tr>
      <w:tr>
        <w:tc>
          <w:tcPr>
            <w:tcW w:type="dxa" w:w="5040"/>
            <w:tcMar>
              <w:top w:w="80" w:type="dxa"/>
              <w:start w:w="100" w:type="dxa"/>
              <w:bottom w:w="80" w:type="dxa"/>
              <w:end w:w="100" w:type="dxa"/>
            </w:tcMar>
            <w:vAlign w:val="top"/>
          </w:tcPr>
          <w:p>
            <w:pPr>
              <w:spacing w:after="100"/>
            </w:pPr>
            <w:r>
              <w:rPr>
                <w:sz w:val="20"/>
              </w:rPr>
              <w:t>10. Resource-Centric Application Guidance</w:t>
            </w:r>
          </w:p>
        </w:tc>
        <w:tc>
          <w:tcPr>
            <w:tcW w:type="dxa" w:w="5040"/>
            <w:tcMar>
              <w:top w:w="80" w:type="dxa"/>
              <w:start w:w="100" w:type="dxa"/>
              <w:bottom w:w="80" w:type="dxa"/>
              <w:end w:w="100" w:type="dxa"/>
            </w:tcMar>
            <w:vAlign w:val="top"/>
          </w:tcPr>
          <w:p>
            <w:pPr>
              <w:spacing w:after="100"/>
            </w:pPr>
            <w:r>
              <w:rPr>
                <w:sz w:val="20"/>
              </w:rPr>
              <w:t>How established semantics and interactions apply when one resource is the focal subject; begins with System and separates shared guidance from candidate module presentation choices.</w:t>
            </w:r>
          </w:p>
        </w:tc>
      </w:tr>
    </w:tbl>
    <w:p>
      <w:r>
        <w:br w:type="page"/>
      </w:r>
    </w:p>
    <w:p>
      <w:pPr>
        <w:pStyle w:val="Heading1"/>
      </w:pPr>
      <w:r>
        <w:t>1. Purpose and Scope</w:t>
      </w:r>
    </w:p>
    <w:p>
      <w:pPr>
        <w:pStyle w:val="NarrativeLead"/>
      </w:pPr>
      <w:r>
        <w:t>MERLIN is expected to grow into a modular application in which the same standards-defined resources may appear in tables, maps, feeds, reports, details views, timelines, and specialized analytic modules. Without an application-level semantic discipline, each new PBI could invent different labels and interaction behaviors for the same underlying concepts. This guide establishes a shared vocabulary and decision method so those modules can feel like parts of one coherent application while still honoring the source standards they consume.</w:t>
      </w:r>
    </w:p>
    <w:p>
      <w:pPr/>
      <w:r>
        <w:t>The guide is intentionally abstracted from the Resource Discovery table where many of these patterns were first developed. A MERLIN presentation concept may be rendered as a table column, map-popup field, badge, report label, feed attribute, legend entry, or a filter label when the corresponding filter behavior is separately supported. What should remain stable is the human-facing meaning, the documented source mapping, and the semantic boundary around the concept. Visual form may change when the workflow changes; semantic identity should not.</w:t>
      </w:r>
    </w:p>
    <w:p>
      <w:pPr/>
      <w:r>
        <w:t>This document is therefore neither a UI style guide nor a replacement for OGC API - Connected Systems, OGC API - Features, SensorML, SWE Common, or future defense profiles. It records application-level choices that improve usability and consistency while preserving the standards-defined meanings beneath them. When a desired behavior depends on information that servers do not reliably provide, the guide should identify that boundary rather than conceal it with MERLIN-only inference.</w:t>
      </w:r>
    </w:p>
    <w:p>
      <w:pPr>
        <w:pStyle w:val="Heading2"/>
      </w:pPr>
      <w:r>
        <w:t>1.1 In Scope</w:t>
      </w:r>
    </w:p>
    <w:p>
      <w:pPr>
        <w:pStyle w:val="NarrativeLead"/>
      </w:pPr>
      <w:r>
        <w:t>The guide covers reusable decisions that help MERLIN present the same semantic role consistently when the contributing source fields, associations, or resource types differ. It includes shared human-facing concepts, explicit source mappings, contextual mechanisms for preserving important differences, and interaction patterns for navigating resources, related resources, sources, and linked content. It also provides a decision method for determining when a future module should reuse an existing concept, propose a new one, or avoid consolidation altogether.</w:t>
      </w:r>
    </w:p>
    <w:p>
      <w:pPr/>
      <w:r>
        <w:t>The scope is cross-module rather than table-specific. A concept established here should be considered whenever another View Module needs to answer the same user-facing question, even if its rendering is very different from Resource Discovery. Reuse is not automatic, however: the module must still verify that the source semantics, user task, and contextual safeguards remain compatible with the established pattern.</w:t>
      </w:r>
    </w:p>
    <w:p>
      <w:pPr>
        <w:pStyle w:val="ListBullet"/>
        <w:spacing w:after="60"/>
      </w:pPr>
      <w:r>
        <w:t>Shared human-facing concepts that map one or more standards-defined source fields or associations into consistent MERLIN terminology.</w:t>
      </w:r>
    </w:p>
    <w:p>
      <w:pPr>
        <w:pStyle w:val="ListBullet"/>
        <w:spacing w:after="60"/>
      </w:pPr>
      <w:r>
        <w:t>Rules for preserving source-specific meaning when a presentation concept is shared.</w:t>
      </w:r>
    </w:p>
    <w:p>
      <w:pPr>
        <w:pStyle w:val="ListBullet"/>
        <w:spacing w:after="60"/>
      </w:pPr>
      <w:r>
        <w:t>Cross-module naming, contextual clarification, and navigation patterns.</w:t>
      </w:r>
    </w:p>
    <w:p>
      <w:pPr>
        <w:pStyle w:val="ListBullet"/>
        <w:spacing w:after="60"/>
      </w:pPr>
      <w:r>
        <w:t>Decision criteria for creating or reusing future shared concepts.</w:t>
      </w:r>
    </w:p>
    <w:p>
      <w:pPr>
        <w:pStyle w:val="ListBullet"/>
        <w:spacing w:after="60"/>
      </w:pPr>
      <w:r>
        <w:t>Application-level boundaries between MERLIN presentation logic and source/profile responsibilities.</w:t>
      </w:r>
    </w:p>
    <w:p>
      <w:pPr>
        <w:pStyle w:val="Heading2"/>
      </w:pPr>
      <w:r>
        <w:t>1.2 Out of Scope</w:t>
      </w:r>
    </w:p>
    <w:p>
      <w:pPr>
        <w:pStyle w:val="NarrativeLead"/>
      </w:pPr>
      <w:r>
        <w:t>This guide does not redefine source standards, create new exchange properties, or require servers to emit MERLIN-specific fields simply because the client uses a convenient shared label. It also does not convert MERLIN presentation concepts into a canonical ontology or universal metadata model. The source standard or supported profile remains authoritative for what a value means and how a relationship is defined.</w:t>
      </w:r>
    </w:p>
    <w:p>
      <w:pPr/>
      <w:r>
        <w:t>The guide likewise does not prescribe identical layouts across View Modules or replace future standards/profile work when interoperability requires new machine-readable semantics. A map, report, feed, and table may render the same MERLIN concept differently while preserving the same meaning. When correct behavior cannot be reproduced from the available source semantics, the appropriate response may be a profile, enrichment service, or separately governed capability rather than additional presentation normalization.</w:t>
      </w:r>
    </w:p>
    <w:p>
      <w:pPr>
        <w:pStyle w:val="ListBullet"/>
        <w:spacing w:after="60"/>
      </w:pPr>
      <w:r>
        <w:t>Redefining OGC API - Connected Systems, OGC API - Features, SensorML, SWE Common, or other source standards.</w:t>
      </w:r>
    </w:p>
    <w:p>
      <w:pPr>
        <w:pStyle w:val="ListBullet"/>
        <w:spacing w:after="60"/>
      </w:pPr>
      <w:r>
        <w:t>Creating server-side MERLIN-specific fields merely because MERLIN uses a shared presentation label.</w:t>
      </w:r>
    </w:p>
    <w:p>
      <w:pPr>
        <w:pStyle w:val="ListBullet"/>
        <w:spacing w:after="60"/>
      </w:pPr>
      <w:r>
        <w:t>Treating MERLIN presentation concepts as a new ontology or canonical exchange model.</w:t>
      </w:r>
    </w:p>
    <w:p>
      <w:pPr>
        <w:pStyle w:val="ListBullet"/>
        <w:spacing w:after="60"/>
      </w:pPr>
      <w:r>
        <w:t>Prescribing identical visual layouts across modules. Modules may render the same semantic concept differently when their workflows require it.</w:t>
      </w:r>
    </w:p>
    <w:p>
      <w:pPr>
        <w:pStyle w:val="ListBullet"/>
        <w:spacing w:after="60"/>
      </w:pPr>
      <w:r>
        <w:t>Replacing future standards/profile work when interoperable clients require machine-readable source semantics that do not yet exist.</w:t>
      </w:r>
    </w:p>
    <w:p>
      <w:pPr>
        <w:pStyle w:val="Heading1"/>
      </w:pPr>
      <w:r>
        <w:t>2. Three-Layer Semantic Model</w:t>
      </w:r>
    </w:p>
    <w:p>
      <w:pPr>
        <w:pStyle w:val="NarrativeLead"/>
      </w:pPr>
      <w:r>
        <w:t>MERLIN should treat source semantics as the authoritative foundation. The first layer consists of the concepts actually defined by the source standard, encoding, schema, or supported profile: resource classes, properties, relationships, temporal meanings, identifiers, result structures, and other machine-readable semantics. MERLIN may map those concepts into a more consistent user experience, but it must not alter what they mean or silently substitute a different concept because it is more convenient to display.</w:t>
      </w:r>
    </w:p>
    <w:p>
      <w:pPr/>
      <w:r>
        <w:t>The second layer is MERLIN presentation semantics. This layer contains shared application concepts such as Status, Stream, Type Detail, Source, or Result / Issue Time that organize heterogeneous source information around recurring human-facing questions. A presentation concept may consolidate several source fields when they are functionally analogous, but the mapping must remain explicit and the distinctions that still matter must remain recoverable through context, resource type, hover/help, details views, or other appropriate mechanisms.</w:t>
      </w:r>
    </w:p>
    <w:p>
      <w:pPr/>
      <w:r>
        <w:t>The third layer is module rendering. Each View Module decides how an established MERLIN concept should appear in its own workflow: a table column, badge, label, map-popup field, timeline marker, report field, capability-supported filter, or another control. A module may change the visual treatment without redefining the concept, and it should not create a new semantic label merely because it uses a different control. Keeping these three layers separate is what allows MERLIN to achieve both consistency and workflow-specific flexibility.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F4E78"/>
            <w:vAlign w:val="top"/>
          </w:tcPr>
          <w:p>
            <w:pPr>
              <w:spacing w:after="40" w:line="240" w:lineRule="auto"/>
            </w:pPr>
            <w:r>
              <w:rPr>
                <w:b/>
                <w:color w:val="FFFFFF"/>
              </w:rPr>
              <w:t>Layer</w:t>
            </w:r>
          </w:p>
        </w:tc>
        <w:tc>
          <w:tcPr>
            <w:tcW w:type="dxa" w:w="3360"/>
            <w:shd w:fill="1F4E78"/>
            <w:vAlign w:val="top"/>
          </w:tcPr>
          <w:p>
            <w:pPr>
              <w:spacing w:after="40" w:line="240" w:lineRule="auto"/>
            </w:pPr>
            <w:r>
              <w:rPr>
                <w:b/>
                <w:color w:val="FFFFFF"/>
              </w:rPr>
              <w:t>Role</w:t>
            </w:r>
          </w:p>
        </w:tc>
        <w:tc>
          <w:tcPr>
            <w:tcW w:type="dxa" w:w="3360"/>
            <w:shd w:fill="1F4E78"/>
            <w:vAlign w:val="top"/>
          </w:tcPr>
          <w:p>
            <w:pPr>
              <w:spacing w:after="40" w:line="240" w:lineRule="auto"/>
            </w:pPr>
            <w:r>
              <w:rPr>
                <w:b/>
                <w:color w:val="FFFFFF"/>
              </w:rPr>
              <w:t>Example</w:t>
            </w:r>
          </w:p>
        </w:tc>
      </w:tr>
      <w:tr>
        <w:trPr>
          <w:cantSplit/>
        </w:trPr>
        <w:tc>
          <w:tcPr>
            <w:tcW w:type="dxa" w:w="3360"/>
            <w:tcMar>
              <w:top w:w="90" w:type="dxa"/>
              <w:start w:w="100" w:type="dxa"/>
              <w:bottom w:w="90" w:type="dxa"/>
              <w:end w:w="100" w:type="dxa"/>
            </w:tcMar>
            <w:vAlign w:val="top"/>
          </w:tcPr>
          <w:p>
            <w:pPr>
              <w:spacing w:after="40" w:line="240" w:lineRule="auto"/>
            </w:pPr>
            <w:r>
              <w:t>1. Source semantics</w:t>
            </w:r>
          </w:p>
        </w:tc>
        <w:tc>
          <w:tcPr>
            <w:tcW w:type="dxa" w:w="3360"/>
            <w:tcMar>
              <w:top w:w="90" w:type="dxa"/>
              <w:start w:w="100" w:type="dxa"/>
              <w:bottom w:w="90" w:type="dxa"/>
              <w:end w:w="100" w:type="dxa"/>
            </w:tcMar>
            <w:vAlign w:val="top"/>
          </w:tcPr>
          <w:p>
            <w:pPr>
              <w:spacing w:after="40" w:line="240" w:lineRule="auto"/>
            </w:pPr>
            <w:r>
              <w:t>Authoritative standards-defined fields, relationships, encodings, and profile semantics. MERLIN does not redefine these.</w:t>
            </w:r>
          </w:p>
        </w:tc>
        <w:tc>
          <w:tcPr>
            <w:tcW w:type="dxa" w:w="3360"/>
            <w:tcMar>
              <w:top w:w="90" w:type="dxa"/>
              <w:start w:w="100" w:type="dxa"/>
              <w:bottom w:w="90" w:type="dxa"/>
              <w:end w:w="100" w:type="dxa"/>
            </w:tcMar>
            <w:vAlign w:val="top"/>
          </w:tcPr>
          <w:p>
            <w:pPr>
              <w:spacing w:after="40" w:line="240" w:lineRule="auto"/>
            </w:pPr>
            <w:r>
              <w:t>DataStream.live; ControlStream.live; Command.currentStatus</w:t>
            </w:r>
          </w:p>
        </w:tc>
      </w:tr>
      <w:tr>
        <w:trPr>
          <w:cantSplit/>
        </w:trPr>
        <w:tc>
          <w:tcPr>
            <w:tcW w:type="dxa" w:w="3360"/>
            <w:tcMar>
              <w:top w:w="90" w:type="dxa"/>
              <w:start w:w="100" w:type="dxa"/>
              <w:bottom w:w="90" w:type="dxa"/>
              <w:end w:w="100" w:type="dxa"/>
            </w:tcMar>
            <w:vAlign w:val="top"/>
          </w:tcPr>
          <w:p>
            <w:pPr>
              <w:spacing w:after="40" w:line="240" w:lineRule="auto"/>
            </w:pPr>
            <w:r>
              <w:t>2. MERLIN presentation semantics</w:t>
            </w:r>
          </w:p>
        </w:tc>
        <w:tc>
          <w:tcPr>
            <w:tcW w:type="dxa" w:w="3360"/>
            <w:tcMar>
              <w:top w:w="90" w:type="dxa"/>
              <w:start w:w="100" w:type="dxa"/>
              <w:bottom w:w="90" w:type="dxa"/>
              <w:end w:w="100" w:type="dxa"/>
            </w:tcMar>
            <w:vAlign w:val="top"/>
          </w:tcPr>
          <w:p>
            <w:pPr>
              <w:spacing w:after="40" w:line="240" w:lineRule="auto"/>
            </w:pPr>
            <w:r>
              <w:t>A stable human-facing concept that may normalize analogous source semantics for consistent use across the application.</w:t>
            </w:r>
          </w:p>
        </w:tc>
        <w:tc>
          <w:tcPr>
            <w:tcW w:type="dxa" w:w="3360"/>
            <w:tcMar>
              <w:top w:w="90" w:type="dxa"/>
              <w:start w:w="100" w:type="dxa"/>
              <w:bottom w:w="90" w:type="dxa"/>
              <w:end w:w="100" w:type="dxa"/>
            </w:tcMar>
            <w:vAlign w:val="top"/>
          </w:tcPr>
          <w:p>
            <w:pPr>
              <w:spacing w:after="40" w:line="240" w:lineRule="auto"/>
            </w:pPr>
            <w:r>
              <w:t>Status</w:t>
            </w:r>
          </w:p>
        </w:tc>
      </w:tr>
      <w:tr>
        <w:trPr>
          <w:cantSplit/>
        </w:trPr>
        <w:tc>
          <w:tcPr>
            <w:tcW w:type="dxa" w:w="3360"/>
            <w:tcMar>
              <w:top w:w="90" w:type="dxa"/>
              <w:start w:w="100" w:type="dxa"/>
              <w:bottom w:w="90" w:type="dxa"/>
              <w:end w:w="100" w:type="dxa"/>
            </w:tcMar>
            <w:vAlign w:val="top"/>
          </w:tcPr>
          <w:p>
            <w:pPr>
              <w:spacing w:after="40" w:line="240" w:lineRule="auto"/>
            </w:pPr>
            <w:r>
              <w:t>3. Module rendering</w:t>
            </w:r>
          </w:p>
        </w:tc>
        <w:tc>
          <w:tcPr>
            <w:tcW w:type="dxa" w:w="3360"/>
            <w:tcMar>
              <w:top w:w="90" w:type="dxa"/>
              <w:start w:w="100" w:type="dxa"/>
              <w:bottom w:w="90" w:type="dxa"/>
              <w:end w:w="100" w:type="dxa"/>
            </w:tcMar>
            <w:vAlign w:val="top"/>
          </w:tcPr>
          <w:p>
            <w:pPr>
              <w:spacing w:after="40" w:line="240" w:lineRule="auto"/>
            </w:pPr>
            <w:r>
              <w:t>The module-specific visual or interaction form used to present that MERLIN concept.</w:t>
            </w:r>
          </w:p>
        </w:tc>
        <w:tc>
          <w:tcPr>
            <w:tcW w:type="dxa" w:w="3360"/>
            <w:tcMar>
              <w:top w:w="90" w:type="dxa"/>
              <w:start w:w="100" w:type="dxa"/>
              <w:bottom w:w="90" w:type="dxa"/>
              <w:end w:w="100" w:type="dxa"/>
            </w:tcMar>
            <w:vAlign w:val="top"/>
          </w:tcPr>
          <w:p>
            <w:pPr>
              <w:spacing w:after="40" w:line="240" w:lineRule="auto"/>
            </w:pPr>
            <w:r>
              <w:t>Table column, map badge, feed label, report field, details section</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00" w:type="dxa"/>
              <w:start w:w="140" w:type="dxa"/>
              <w:bottom w:w="100" w:type="dxa"/>
              <w:end w:w="140" w:type="dxa"/>
            </w:tcMar>
            <w:vAlign w:val="top"/>
          </w:tcPr>
          <w:p>
            <w:pPr>
              <w:spacing w:after="40" w:line="240" w:lineRule="auto"/>
            </w:pPr>
            <w:r>
              <w:rPr>
                <w:b/>
              </w:rPr>
              <w:t xml:space="preserve">Boundary: </w:t>
            </w:r>
            <w:r>
              <w:t>A module may change the visual treatment of a MERLIN concept, but it should not silently change the concept’s meaning. Likewise, a MERLIN presentation concept should not be treated as a source-server property unless separate standards/profile work explicitly establishes that requirement.</w:t>
            </w:r>
          </w:p>
        </w:tc>
      </w:tr>
    </w:tbl>
    <w:p>
      <w:pPr>
        <w:spacing w:after="40"/>
      </w:pPr>
    </w:p>
    <w:p>
      <w:pPr>
        <w:pStyle w:val="Heading1"/>
      </w:pPr>
      <w:r>
        <w:t>3. Core Design Principles</w:t>
      </w:r>
    </w:p>
    <w:p>
      <w:pPr>
        <w:pStyle w:val="NarrativeLead"/>
      </w:pPr>
      <w:r>
        <w:t>The principles in this section define when semantic consolidation is useful and the boundaries that keep it truthful. They should be applied together: a consolidation that improves consistency but invents unsupported meaning is not acceptable, and a technically faithful mapping that fragments the user experience unnecessarily may still be poor application design. The goal is disciplined simplification—reduce cognitive switching where the source concepts support it, while preserving the distinctions that users, standards, and downstream workflows still need.</w:t>
      </w:r>
    </w:p>
    <w:p>
      <w:pPr>
        <w:pStyle w:val="Heading2"/>
      </w:pPr>
      <w:r>
        <w:t>3.1 Functional Analogy Does Not Mean Synonymy</w:t>
      </w:r>
    </w:p>
    <w:p>
      <w:pPr>
        <w:pStyle w:val="NarrativeLead"/>
      </w:pPr>
      <w:r>
        <w:t>A shared MERLIN concept is justified by a common human-facing role, not by a claim that the contributing source fields mean exactly the same thing. Two source concepts may both help a user understand current operational state, parent context, or lifecycle timing even though their formal semantics differ. That functional analogy can justify a shared presentation label when it improves comparison and reduces unnecessary vocabulary in the interface.</w:t>
      </w:r>
    </w:p>
    <w:p>
      <w:pPr/>
      <w:r>
        <w:t>The analogy must never erase the distinctions that make the source concepts meaningful. MERLIN should retain the source mapping, resource type, and any contextual explanation needed to recover the specific meaning for a given value. A developer or future PBI should be able to answer both “why do these share one presentation concept?” and “how does the user still know which underlying concept applies?” If either answer is weak, consolidation should be reconsidered.</w:t>
      </w:r>
    </w:p>
    <w:p>
      <w:pPr>
        <w:pStyle w:val="Heading2"/>
      </w:pPr>
      <w:r>
        <w:t>3.2 Preserve the Source Meaning</w:t>
      </w:r>
    </w:p>
    <w:p>
      <w:pPr>
        <w:pStyle w:val="NarrativeLead"/>
      </w:pPr>
      <w:r>
        <w:t>The standards-defined or profile-defined meaning of a source value remains authoritative even when MERLIN presents it under a more convenient application label. Presentation normalization may improve comparison, grouping, readability, and filtering where that filter behavior is separately supported, but it does not authorize MERLIN to reinterpret a value into a different semantic category. This principle is especially important when several resource types contribute values to one shared concept.</w:t>
      </w:r>
    </w:p>
    <w:p>
      <w:pPr/>
      <w:r>
        <w:t>Preserving source meaning requires explicit mappings and, where necessary, context that identifies the originating field or relationship. Row-aware hover text, a Resource Details View Module, resource-type labeling, legends, or other contextual mechanisms can make a normalized presentation safe without forcing the main interface to expose every standards term simultaneously. If the source meaning cannot be recovered reliably, the shared presentation is too aggressive.</w:t>
      </w:r>
    </w:p>
    <w:p>
      <w:pPr>
        <w:pStyle w:val="Heading2"/>
      </w:pPr>
      <w:r>
        <w:t>3.3 Reuse Before Inventing</w:t>
      </w:r>
    </w:p>
    <w:p>
      <w:pPr>
        <w:pStyle w:val="NarrativeLead"/>
      </w:pPr>
      <w:r>
        <w:t>A modular application becomes inconsistent quickly when each PBI invents new labels for concepts that MERLIN has already defined elsewhere. Before creating a new presentation term, designers should determine whether an established concept already answers the same human-facing question with compatible source semantics. Reusing an established pattern reduces cognitive load for users and reduces semantic maintenance cost for the product team.</w:t>
      </w:r>
    </w:p>
    <w:p>
      <w:pPr/>
      <w:r>
        <w:t>Reuse should still be deliberate rather than mechanical. A new module may expose a workflow in which the established concept is too broad, too narrow, or dependent on different source semantics. In that case the designer should document the mismatch and apply the decision method in Section 4 instead of either forcing reuse or casually creating a competing label. The burden should be on explaining why a new concept is necessary, not on rediscovering familiar terminology by default.</w:t>
      </w:r>
    </w:p>
    <w:p>
      <w:pPr>
        <w:pStyle w:val="Heading2"/>
      </w:pPr>
      <w:r>
        <w:t>3.4 Context Can Preserve Necessary Differences</w:t>
      </w:r>
    </w:p>
    <w:p>
      <w:pPr>
        <w:pStyle w:val="NarrativeLead"/>
      </w:pPr>
      <w:r>
        <w:t>Shared terminology is safe only when the distinctions hidden by the shared label remain recoverable where they matter. MERLIN can preserve those distinctions through resource type, row-aware hover text, details views, legends, badges, help text, or other context appropriate to the module. This allows the primary interface to remain concise while still respecting different standards-defined meanings.</w:t>
      </w:r>
    </w:p>
    <w:p>
      <w:pPr/>
      <w:r>
        <w:t>Context should clarify rather than repair a fundamentally misleading consolidation. If users must repeatedly open secondary help just to discover that two values answer different questions, they may not belong under the same presentation concept. The best shared concepts are those whose common user-facing role is immediately useful and whose remaining differences can be explained succinctly when needed.</w:t>
      </w:r>
    </w:p>
    <w:p>
      <w:pPr>
        <w:pStyle w:val="Heading2"/>
      </w:pPr>
      <w:r>
        <w:t>3.5 Consolidate by User Task, Not by Field Name</w:t>
      </w:r>
    </w:p>
    <w:p>
      <w:pPr>
        <w:pStyle w:val="NarrativeLead"/>
      </w:pPr>
      <w:r>
        <w:t>Field-name similarity is a weak basis for consolidation because standards may use similar names for different purposes and different names for closely related user tasks. MERLIN should begin with the question the user is trying to answer: what kind of resource is this, what System is it associated with, what properties does this stream deal with, what is its current state, or when did the relevant occurrence happen? Source fields should be consolidated only when they support the same human-facing task in a way that remains semantically defensible.</w:t>
      </w:r>
    </w:p>
    <w:p>
      <w:pPr/>
      <w:r>
        <w:t>Conversely, different source names can legitimately feed one MERLIN concept when their structural or operational role is analogous. The Result / Issue Time and Stream patterns are examples of this approach: the source concepts differ, but the user benefits from one predictable place to find the relevant lifecycle time or parent stream. The mapping should therefore be justified by role and meaning, not by lexical resemblance.</w:t>
      </w:r>
    </w:p>
    <w:p>
      <w:pPr>
        <w:pStyle w:val="Heading2"/>
      </w:pPr>
      <w:r>
        <w:t>3.6 Do Not Manufacture Missing Semantics</w:t>
      </w:r>
    </w:p>
    <w:p>
      <w:pPr>
        <w:pStyle w:val="NarrativeLead"/>
      </w:pPr>
      <w:r>
        <w:t>MERLIN should not fill semantic gaps by inventing names, classifications, units, relationships, statuses, or other meaning that the source does not support. When required information is absent, the application should leave it absent, use a neutral fallback, or clearly identify the limitation rather than presenting an inference as fact. This rule protects both user trust and interoperability with other clients.</w:t>
      </w:r>
    </w:p>
    <w:p>
      <w:pPr/>
      <w:r>
        <w:t>A useful presentation convention is not permission to guess. For example, a generic Feature should not acquire a Name because a convenient text property happens to look like one, and an unknown URI should not receive a human-readable label invented by MERLIN. If the missing semantics are operationally important, that gap should become a separate enrichment, profiling, or standards question rather than hidden client logic.</w:t>
      </w:r>
    </w:p>
    <w:p>
      <w:pPr>
        <w:pStyle w:val="Heading2"/>
      </w:pPr>
      <w:r>
        <w:t>3.7 Separate Direct Presentation from Enrichment</w:t>
      </w:r>
    </w:p>
    <w:p>
      <w:pPr>
        <w:pStyle w:val="NarrativeLead"/>
      </w:pPr>
      <w:r>
        <w:t>Direct presentation uses information MERLIN already has from the returned resource, authoritative query context, or schema/profile information already available for that source. It may reformat or normalize that information for usability without issuing additional requests or traversing relationships merely to make a value richer. This is the baseline assumed by many of the patterns established in MERLIN-932.</w:t>
      </w:r>
    </w:p>
    <w:p>
      <w:pPr/>
      <w:r>
        <w:t>Enrichment is different because it obtains or derives additional context beyond what is directly available. Examples include following relationships to resolve a friendlier label, retrieving a DataStream result schema to interpret an Observation result, or composing multiple queries to derive spatial context. Enrichment may be valuable, but it introduces provenance, fan-out, caching, security, latency, ambiguity, and failure considerations that deserve explicit design rather than accidental implementation.</w:t>
      </w:r>
    </w:p>
    <w:p>
      <w:pPr/>
      <w:r>
        <w:t>Keeping the two modes distinct makes requirements easier to reason about. A module can state what it can present immediately and truthfully, then separately identify where richer interpretation or relationship-aware behavior would improve the workflow. This prevents seemingly small UI requests from silently becoming architectural commitments.</w:t>
      </w:r>
    </w:p>
    <w:p>
      <w:pPr>
        <w:pStyle w:val="Heading2"/>
      </w:pPr>
      <w:r>
        <w:t>3.8 Distinguish Client Presentation from Profile Requirements</w:t>
      </w:r>
    </w:p>
    <w:p>
      <w:pPr>
        <w:pStyle w:val="NarrativeLead"/>
      </w:pPr>
      <w:r>
        <w:t>Some consistency problems can be solved entirely within MERLIN because the required semantics are already available and the application merely needs a stable presentation pattern. In those cases, a client-side concept such as Status, Stream, or Source can improve usability without changing the server contract. The guide is the appropriate home for documenting that reusable application behavior.</w:t>
      </w:r>
    </w:p>
    <w:p>
      <w:pPr/>
      <w:r>
        <w:t>Other problems reveal a deeper interoperability need. If independent clients must receive the same machine-readable semantics from a server to reach the same correct behavior, a MERLIN-only convention may be insufficient. Examples can include more specific symbology classification, schema-aware interpretation that should be universally available, or a query predicate whose correct result depends on source-authoritative relationships or temporal state.</w:t>
      </w:r>
    </w:p>
    <w:p>
      <w:pPr/>
      <w:r>
        <w:t>The correct response may therefore be client presentation, standards/profile work, enrichment, or a hybrid of those approaches. The distinction should be made intentionally by asking where the authoritative knowledge belongs and which parties must reproduce the behavior. MERLIN should not hide a missing server-side semantic requirement behind private classification logic simply because the client can approximate the desired result.</w:t>
      </w:r>
    </w:p>
    <w:p>
      <w:pPr>
        <w:pStyle w:val="Heading2"/>
      </w:pPr>
      <w:r>
        <w:t>3.9 MERLIN Presentation Concepts Are Not a Shadow Ontology</w:t>
      </w:r>
    </w:p>
    <w:p>
      <w:pPr>
        <w:pStyle w:val="NarrativeLead"/>
      </w:pPr>
      <w:r>
        <w:t>MERLIN presentation concepts exist to organize the user experience, not to become a parallel semantic model that competes with the standards. Terms such as Status, Stream, Type Detail, or Result / Issue Time are application vocabulary: they provide predictable places for users to encounter functionally analogous information across resource types and modules. They do not create new canonical properties that servers are expected to emit.</w:t>
      </w:r>
    </w:p>
    <w:p>
      <w:pPr/>
      <w:r>
        <w:t>This boundary matters as the catalog grows. If MERLIN begins treating its presentation labels as authoritative data semantics, future modules may start designing around client-created abstractions rather than the source model, and profile work may be driven by accidental UI terminology. The guide should therefore record mappings and guardrails for each concept and resist turning convenient presentation vocabulary into a de facto ontology.</w:t>
      </w:r>
    </w:p>
    <w:p>
      <w:pPr>
        <w:pStyle w:val="Heading2"/>
      </w:pPr>
      <w:r>
        <w:t>3.10 Presentation Does Not Imply Query Capability</w:t>
      </w:r>
    </w:p>
    <w:p>
      <w:pPr>
        <w:pStyle w:val="NarrativeLead"/>
      </w:pPr>
      <w:r>
        <w:t>A MERLIN presentation concept does not automatically create a query or filter capability. A value may be available for display, grouping, sorting, navigation, or reporting even when the source cannot accept an equivalent predicate, and a shared presentation label does not make that predicate part of the underlying API. Filter behavior must therefore be justified independently from presentation behavior.</w:t>
      </w:r>
    </w:p>
    <w:p>
      <w:pPr/>
      <w:r>
        <w:t>A View Module may expose a concept as a filter only when the applicable source, standard, schema, supported profile, advertised queryable, or separately designed MERLIN capability can support the required behavior truthfully. If a selected source/resource combination cannot apply the predicate, MERLIN should follow that module's capability-aware filter rules rather than silently implying that the filter was enforced. This distinction is especially important for spatial and relationship-derived concepts, where a convenient display value may not correspond to a directly supported query.</w:t>
      </w:r>
    </w:p>
    <w:p>
      <w:pPr>
        <w:pStyle w:val="Heading1"/>
      </w:pPr>
      <w:r>
        <w:t>4. Decision Method for New Shared Concepts</w:t>
      </w:r>
    </w:p>
    <w:p>
      <w:pPr>
        <w:pStyle w:val="NarrativeLead"/>
      </w:pPr>
      <w:r>
        <w:t>New semantic consolidations should be created deliberately because every shared concept becomes part of MERLIN's application vocabulary and may be reused by future modules. The decision process should begin with the user-facing task and the authoritative source semantics, not with a desired label or control. Designers should identify what the user needs to understand, which source fields or relationships provide that information, and whether an established MERLIN pattern already covers the role.</w:t>
      </w:r>
    </w:p>
    <w:p>
      <w:pPr/>
      <w:r>
        <w:t>The sequence below is intended to expose both value and risk. It asks whether consolidation reduces duplication or cognitive switching, whether source-specific differences remain important, whether context can preserve those differences, and whether the mapping can be made without unsupported inference. It also forces the designer to identify when the request is actually enrichment, hidden relationship traversal, or a need for new source/profile semantics rather than a presentation decision.</w:t>
      </w:r>
    </w:p>
    <w:p>
      <w:pPr/>
      <w:r>
        <w:t>The result of the method is not always a new shared concept. A valid outcome may be reuse of an existing pattern, creation of a carefully bounded new pattern, retention of separate concepts, deferral pending additional evidence, or escalation to profile/enrichment work. Recording that decision and its rationale is part of the design, because future modules need to know not only what MERLIN chose but why.</w:t>
      </w:r>
    </w:p>
    <w:p>
      <w:pPr>
        <w:pStyle w:val="ListNumber"/>
        <w:spacing w:after="60"/>
      </w:pPr>
      <w:r>
        <w:t>Do the source concepts answer the same human-facing question or support the same user task?</w:t>
      </w:r>
    </w:p>
    <w:p>
      <w:pPr>
        <w:pStyle w:val="ListNumber"/>
        <w:spacing w:after="60"/>
      </w:pPr>
      <w:r>
        <w:t>Would separate labels or controls create unnecessary duplication, clutter, or cognitive switching?</w:t>
      </w:r>
    </w:p>
    <w:p>
      <w:pPr>
        <w:pStyle w:val="ListNumber"/>
        <w:spacing w:after="60"/>
      </w:pPr>
      <w:r>
        <w:t>Are the source meanings different in ways that still matter to the user?</w:t>
      </w:r>
    </w:p>
    <w:p>
      <w:pPr>
        <w:pStyle w:val="ListNumber"/>
        <w:spacing w:after="60"/>
      </w:pPr>
      <w:r>
        <w:t>Can those differences remain visible through context, details, hover/help, resource type, or another reliable mechanism?</w:t>
      </w:r>
    </w:p>
    <w:p>
      <w:pPr>
        <w:pStyle w:val="ListNumber"/>
        <w:spacing w:after="60"/>
      </w:pPr>
      <w:r>
        <w:t>Can MERLIN map the inputs explicitly and truthfully without inferring unsupported meaning?</w:t>
      </w:r>
    </w:p>
    <w:p>
      <w:pPr>
        <w:pStyle w:val="ListNumber"/>
        <w:spacing w:after="60"/>
      </w:pPr>
      <w:r>
        <w:t>Does an established MERLIN presentation concept already cover this role?</w:t>
      </w:r>
    </w:p>
    <w:p>
      <w:pPr>
        <w:pStyle w:val="ListNumber"/>
        <w:spacing w:after="60"/>
      </w:pPr>
      <w:r>
        <w:t>Would the desired behavior require hidden traversal, schema retrieval, or source-side semantics that should instead be separately designed?</w:t>
      </w:r>
    </w:p>
    <w:p>
      <w:pPr>
        <w:pStyle w:val="ListNumber"/>
        <w:spacing w:after="60"/>
      </w:pPr>
      <w:r>
        <w:t>Would the same concept plausibly benefit more than one module or workflow?</w:t>
      </w:r>
    </w:p>
    <w:p>
      <w:pPr>
        <w:pStyle w:val="Heading2"/>
      </w:pPr>
      <w:r>
        <w:t>4.1 Decision Outcomes</w:t>
      </w:r>
    </w:p>
    <w:p>
      <w:pPr>
        <w:pStyle w:val="NarrativeLead"/>
      </w:pPr>
      <w:r>
        <w:t>The decision process can lead to several legitimate outcomes, and consolidation should never be treated as the default objective. Sometimes the right answer is to reuse an established concept; in other cases the source meanings are too different, the user tasks do not align, or the required semantics are not directly available. The outcome should reflect the strongest combination of usability, semantic fidelity, and architectural clarity rather than a preference for fewer labels.</w:t>
      </w:r>
    </w:p>
    <w:p>
      <w:pPr/>
      <w:r>
        <w:t>The table below summarizes the recognized outcomes and the circumstances that support each one. Future PBIs should use these outcomes explicitly when a semantic question is material to the design, particularly when a proposed consolidation could affect more than one module. This makes cross-module consistency reviewable instead of allowing vocabulary to drift through local UI decisions.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F4E78"/>
            <w:vAlign w:val="top"/>
          </w:tcPr>
          <w:p>
            <w:pPr>
              <w:spacing w:after="40" w:line="240" w:lineRule="auto"/>
            </w:pPr>
            <w:r>
              <w:rPr>
                <w:b/>
                <w:color w:val="FFFFFF"/>
              </w:rPr>
              <w:t>Outcome</w:t>
            </w:r>
          </w:p>
        </w:tc>
        <w:tc>
          <w:tcPr>
            <w:tcW w:type="dxa" w:w="5040"/>
            <w:shd w:fill="1F4E78"/>
            <w:vAlign w:val="top"/>
          </w:tcPr>
          <w:p>
            <w:pPr>
              <w:spacing w:after="40" w:line="240" w:lineRule="auto"/>
            </w:pPr>
            <w:r>
              <w:rPr>
                <w:b/>
                <w:color w:val="FFFFFF"/>
              </w:rPr>
              <w:t>Use when</w:t>
            </w:r>
          </w:p>
        </w:tc>
      </w:tr>
      <w:tr>
        <w:trPr>
          <w:cantSplit/>
        </w:trPr>
        <w:tc>
          <w:tcPr>
            <w:tcW w:type="dxa" w:w="5040"/>
            <w:tcMar>
              <w:top w:w="80" w:type="dxa"/>
              <w:start w:w="100" w:type="dxa"/>
              <w:bottom w:w="80" w:type="dxa"/>
              <w:end w:w="100" w:type="dxa"/>
            </w:tcMar>
            <w:vAlign w:val="top"/>
          </w:tcPr>
          <w:p>
            <w:pPr>
              <w:spacing w:after="40" w:line="240" w:lineRule="auto"/>
            </w:pPr>
            <w:r>
              <w:t>Reuse an established MERLIN concept</w:t>
            </w:r>
          </w:p>
        </w:tc>
        <w:tc>
          <w:tcPr>
            <w:tcW w:type="dxa" w:w="5040"/>
            <w:tcMar>
              <w:top w:w="80" w:type="dxa"/>
              <w:start w:w="100" w:type="dxa"/>
              <w:bottom w:w="80" w:type="dxa"/>
              <w:end w:w="100" w:type="dxa"/>
            </w:tcMar>
            <w:vAlign w:val="top"/>
          </w:tcPr>
          <w:p>
            <w:pPr>
              <w:spacing w:after="40" w:line="240" w:lineRule="auto"/>
            </w:pPr>
            <w:r>
              <w:t>The user-facing role is already represented and the new source mapping can preserve the established semantic contract.</w:t>
            </w:r>
          </w:p>
        </w:tc>
      </w:tr>
      <w:tr>
        <w:trPr>
          <w:cantSplit/>
        </w:trPr>
        <w:tc>
          <w:tcPr>
            <w:tcW w:type="dxa" w:w="5040"/>
            <w:tcMar>
              <w:top w:w="80" w:type="dxa"/>
              <w:start w:w="100" w:type="dxa"/>
              <w:bottom w:w="80" w:type="dxa"/>
              <w:end w:w="100" w:type="dxa"/>
            </w:tcMar>
            <w:vAlign w:val="top"/>
          </w:tcPr>
          <w:p>
            <w:pPr>
              <w:spacing w:after="40" w:line="240" w:lineRule="auto"/>
            </w:pPr>
            <w:r>
              <w:t>Create a new shared MERLIN concept</w:t>
            </w:r>
          </w:p>
        </w:tc>
        <w:tc>
          <w:tcPr>
            <w:tcW w:type="dxa" w:w="5040"/>
            <w:tcMar>
              <w:top w:w="80" w:type="dxa"/>
              <w:start w:w="100" w:type="dxa"/>
              <w:bottom w:w="80" w:type="dxa"/>
              <w:end w:w="100" w:type="dxa"/>
            </w:tcMar>
            <w:vAlign w:val="top"/>
          </w:tcPr>
          <w:p>
            <w:pPr>
              <w:spacing w:after="40" w:line="240" w:lineRule="auto"/>
            </w:pPr>
            <w:r>
              <w:t>Multiple source concepts serve one recurring human-facing role, no existing concept fits, and differences can be preserved.</w:t>
            </w:r>
          </w:p>
        </w:tc>
      </w:tr>
      <w:tr>
        <w:trPr>
          <w:cantSplit/>
        </w:trPr>
        <w:tc>
          <w:tcPr>
            <w:tcW w:type="dxa" w:w="5040"/>
            <w:tcMar>
              <w:top w:w="80" w:type="dxa"/>
              <w:start w:w="100" w:type="dxa"/>
              <w:bottom w:w="80" w:type="dxa"/>
              <w:end w:w="100" w:type="dxa"/>
            </w:tcMar>
            <w:vAlign w:val="top"/>
          </w:tcPr>
          <w:p>
            <w:pPr>
              <w:spacing w:after="40" w:line="240" w:lineRule="auto"/>
            </w:pPr>
            <w:r>
              <w:t>Keep the concepts separate</w:t>
            </w:r>
          </w:p>
        </w:tc>
        <w:tc>
          <w:tcPr>
            <w:tcW w:type="dxa" w:w="5040"/>
            <w:tcMar>
              <w:top w:w="80" w:type="dxa"/>
              <w:start w:w="100" w:type="dxa"/>
              <w:bottom w:w="80" w:type="dxa"/>
              <w:end w:w="100" w:type="dxa"/>
            </w:tcMar>
            <w:vAlign w:val="top"/>
          </w:tcPr>
          <w:p>
            <w:pPr>
              <w:spacing w:after="40" w:line="240" w:lineRule="auto"/>
            </w:pPr>
            <w:r>
              <w:t>The user-facing meanings are materially different or consolidation would hide distinctions needed for correct interpretation or action.</w:t>
            </w:r>
          </w:p>
        </w:tc>
      </w:tr>
      <w:tr>
        <w:trPr>
          <w:cantSplit/>
        </w:trPr>
        <w:tc>
          <w:tcPr>
            <w:tcW w:type="dxa" w:w="5040"/>
            <w:tcMar>
              <w:top w:w="80" w:type="dxa"/>
              <w:start w:w="100" w:type="dxa"/>
              <w:bottom w:w="80" w:type="dxa"/>
              <w:end w:w="100" w:type="dxa"/>
            </w:tcMar>
            <w:vAlign w:val="top"/>
          </w:tcPr>
          <w:p>
            <w:pPr>
              <w:spacing w:after="40" w:line="240" w:lineRule="auto"/>
            </w:pPr>
            <w:r>
              <w:t>Defer to enrichment / relationship logic</w:t>
            </w:r>
          </w:p>
        </w:tc>
        <w:tc>
          <w:tcPr>
            <w:tcW w:type="dxa" w:w="5040"/>
            <w:tcMar>
              <w:top w:w="80" w:type="dxa"/>
              <w:start w:w="100" w:type="dxa"/>
              <w:bottom w:w="80" w:type="dxa"/>
              <w:end w:w="100" w:type="dxa"/>
            </w:tcMar>
            <w:vAlign w:val="top"/>
          </w:tcPr>
          <w:p>
            <w:pPr>
              <w:spacing w:after="40" w:line="240" w:lineRule="auto"/>
            </w:pPr>
            <w:r>
              <w:t>The desired presentation depends on additional requests, multi-hop relationships, or schemas that are not part of the direct representation.</w:t>
            </w:r>
          </w:p>
        </w:tc>
      </w:tr>
      <w:tr>
        <w:trPr>
          <w:cantSplit/>
        </w:trPr>
        <w:tc>
          <w:tcPr>
            <w:tcW w:type="dxa" w:w="5040"/>
            <w:tcMar>
              <w:top w:w="80" w:type="dxa"/>
              <w:start w:w="100" w:type="dxa"/>
              <w:bottom w:w="80" w:type="dxa"/>
              <w:end w:w="100" w:type="dxa"/>
            </w:tcMar>
            <w:vAlign w:val="top"/>
          </w:tcPr>
          <w:p>
            <w:pPr>
              <w:spacing w:after="40" w:line="240" w:lineRule="auto"/>
            </w:pPr>
            <w:r>
              <w:t>Raise a profile / standards question</w:t>
            </w:r>
          </w:p>
        </w:tc>
        <w:tc>
          <w:tcPr>
            <w:tcW w:type="dxa" w:w="5040"/>
            <w:tcMar>
              <w:top w:w="80" w:type="dxa"/>
              <w:start w:w="100" w:type="dxa"/>
              <w:bottom w:w="80" w:type="dxa"/>
              <w:end w:w="100" w:type="dxa"/>
            </w:tcMar>
            <w:vAlign w:val="top"/>
          </w:tcPr>
          <w:p>
            <w:pPr>
              <w:spacing w:after="40" w:line="240" w:lineRule="auto"/>
            </w:pPr>
            <w:r>
              <w:t>Interoperable clients need machine-readable source semantics that the current standards/profile do not reliably provide.</w:t>
            </w:r>
          </w:p>
        </w:tc>
      </w:tr>
    </w:tbl>
    <w:p>
      <w:pPr>
        <w:pStyle w:val="Heading1"/>
      </w:pPr>
      <w:r>
        <w:t>5. Established Semantic Pattern Catalog</w:t>
      </w:r>
    </w:p>
    <w:p>
      <w:pPr>
        <w:pStyle w:val="NarrativeLead"/>
      </w:pPr>
      <w:r>
        <w:t>The pattern catalog records the shared semantic concepts that MERLIN has already established and should preferentially reuse when the same human-facing role appears elsewhere. Each pattern documents the source concepts that feed it, the reason the consolidation is useful, the guardrails that preserve source meaning, and the contexts in which reuse is appropriate. The catalog therefore serves as both a vocabulary reference and a record of the reasoning behind that vocabulary.</w:t>
      </w:r>
    </w:p>
    <w:p>
      <w:pPr/>
      <w:r>
        <w:t>A pattern should not be copied mechanically into every module. Designers should confirm that the same source mapping and user-facing question are actually present, then choose a rendering appropriate to the module's workflow. The tables under each pattern provide a compact reference, while the narrative explains the semantic logic that should remain stable across implementations.</w:t>
      </w:r>
    </w:p>
    <w:p>
      <w:pPr>
        <w:pStyle w:val="Heading2"/>
      </w:pPr>
      <w:r>
        <w:t>5.1 Resource Type</w:t>
      </w:r>
    </w:p>
    <w:p>
      <w:pPr>
        <w:pStyle w:val="NarrativeLead"/>
      </w:pPr>
      <w:r>
        <w:t>Resource Type answers the broad application question of what class of resource the user is looking at. It provides a stable MERLIN concept for recognized OGC API - Connected Systems resource classes and, for generic OGC API - Features resources, by preferring an explicitly supported feature type when available, otherwise a more specific advertised itemType when applicable, and otherwise falling back to Feature. This broad classification is useful for grouping, capability-supported filtering, legends, summaries, navigation context, and other places where users need to distinguish one kind of resource from another.</w:t>
      </w:r>
    </w:p>
    <w:p>
      <w:pPr/>
      <w:r>
        <w:t>Resource Type should remain deliberately separate from more specific classification concepts such as systemType, deploymentType, System Event type, or assetType. MERLIN should not infer it from a collection name, title, or coincidental property value, because doing so would turn presentation convenience into unsupported classification. The pattern is established in MERLIN-932 and should be reused whenever another module needs the same broad resource-class context.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Identify the broad standards-supported resource class represented by the resource.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r>
              <w:t>Recognized OGC API - Connected Systems resource type; for generic OGC API - Features, an explicitly supported feature type when available, otherwise a more specific advertised itemType when applicable, otherwise Feature.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Users need a stable answer to “what kind of resource is this?” independent of more specific resource-specific classification details.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Do not infer Resource Type from a collection name, title, or coincidental property value. Keep Resource Type separate from Type Detail.</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r>
              <w:t>Reuse Resource Type wherever a module needs grouping, labeling, legends, or other broad resource-class context; use it as a filter only when the applicable filter/query capability is separately supported.</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Do not</w:t>
            </w:r>
          </w:p>
        </w:tc>
        <w:tc>
          <w:tcPr>
            <w:tcW w:type="dxa" w:w="5040"/>
            <w:vAlign w:val="top"/>
            <w:tcMar>
              <w:top w:w="80" w:type="dxa"/>
              <w:start w:w="100" w:type="dxa"/>
              <w:bottom w:w="80" w:type="dxa"/>
              <w:end w:w="100" w:type="dxa"/>
            </w:tcMar>
          </w:tcPr>
          <w:p>
            <w:pPr>
              <w:spacing w:after="40" w:line="240" w:lineRule="auto"/>
            </w:pPr>
            <w:r>
              <w:t>Do not overload Resource Type with systemType, deploymentType, event type, asset type, or other more specific classification concepts.</w:t>
            </w:r>
          </w:p>
        </w:tc>
      </w:tr>
    </w:tbl>
    <w:p>
      <w:pPr>
        <w:spacing w:after="40"/>
      </w:pPr>
    </w:p>
    <w:p>
      <w:pPr>
        <w:pStyle w:val="Heading2"/>
      </w:pPr>
      <w:r>
        <w:t>5.2 Type Detail</w:t>
      </w:r>
    </w:p>
    <w:p>
      <w:pPr>
        <w:pStyle w:val="NarrativeLead"/>
      </w:pPr>
      <w:r>
        <w:t>Type Detail provides a compact place for resource-specific classification that is more specific than Resource Type but serves a similar human-facing role across several resource types. In the current pattern, System systemType, Deployment deploymentType, and System Event type can appear under one MERLIN presentation concept even though they come from different fields and vocabularies. This reduces unnecessary competing labels while keeping Resource Type available as the broader class.</w:t>
      </w:r>
    </w:p>
    <w:p>
      <w:pPr/>
      <w:r>
        <w:t>The consolidation is safe only if MERLIN preserves which source field and vocabulary applies to the value. Recognized standards/profile URI or CURIE values may use legitimate human-readable labels, but unknown values should not be relabeled by guesswork, and Asset Type remains separate because a System may legitimately carry both systemType and assetType. The pattern is established in MERLIN-932 and is suitable for labels, grouping, popups, reports, and capability-supported filters when this same 'specific type' role recurs.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Present resource-specific type/classification information that is more specific than Resource Type.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System.systemType; Deployment.deploymentType; System Event type.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Each field provides additional type detail for its resource without warranting three competing application labels.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The source fields do not share one vocabulary and are not synonyms. Context must preserve which field and meaning applies. Asset Type remains separate because a System may legitimately have both systemType and assetType.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r>
              <w:t>Reuse when a module needs a compact “specific type” concept across applicable resource types, such as a label, grouping, popup field, report field, or capability-supported filter.</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Do not</w:t>
            </w:r>
          </w:p>
        </w:tc>
        <w:tc>
          <w:tcPr>
            <w:tcW w:type="dxa" w:w="5040"/>
            <w:vAlign w:val="top"/>
            <w:tcMar>
              <w:top w:w="80" w:type="dxa"/>
              <w:start w:w="100" w:type="dxa"/>
              <w:bottom w:w="80" w:type="dxa"/>
              <w:end w:w="100" w:type="dxa"/>
            </w:tcMar>
          </w:tcPr>
          <w:p>
            <w:pPr>
              <w:spacing w:after="40" w:line="240" w:lineRule="auto"/>
            </w:pPr>
            <w:r>
              <w:t>Do not assume an unknown URI/CURIE can be humanized by guesswork; only use legitimate labels from recognized standards/profile vocabularies.</w:t>
            </w:r>
          </w:p>
        </w:tc>
      </w:tr>
    </w:tbl>
    <w:p>
      <w:pPr>
        <w:spacing w:after="40"/>
      </w:pPr>
    </w:p>
    <w:p>
      <w:pPr>
        <w:pStyle w:val="Heading2"/>
      </w:pPr>
      <w:r>
        <w:t>5.3 System</w:t>
      </w:r>
    </w:p>
    <w:p>
      <w:pPr>
        <w:pStyle w:val="NarrativeLead"/>
      </w:pPr>
      <w:r>
        <w:t>The System concept presents the directly associated System relationship in one recognizable application term even though the relationship role differs by resource type. A DataStream identifies the System that produces it, a ControlStream identifies the System that receives commands from it, and a System Event may identify the System to which the event applies. For the user, each case answers a recurring question: which System is this resource associated with?</w:t>
      </w:r>
    </w:p>
    <w:p>
      <w:pPr/>
      <w:r>
        <w:t>MERLIN should preserve the resource-specific relationship role and should not make an additional request solely to obtain a friendlier label for presentation. When the associated System identity is already direct and reliable, the displayed value may also serve as a navigation link to that System's Resource Details View Module. The pattern is established in MERLIN-932 and can be reused in details, feeds, map popups, reports, capability-supported filters, and downstream handoff contexts where the directly associated System matters.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Represent the directly associated System relationship in a consistent human-facing way.</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DataStream.system; ControlStream.system; System Event System relationship when directly available from the selected representation or authoritative query context.</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The relationship role differs by resource, but in each case the user needs to understand “which System is this resource associated with?”</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DataStream refers to the producing System; ControlStream refers to the System receiving commands; System Event refers to the System to which the event applies. Do not hide those role differences.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r>
              <w:t>Reuse in labels, relationship summaries, details sections, feeds, maps, reports, downstream handoff contexts, and capability-supported filters where the directly associated System is relevant.</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Interaction guidance</w:t>
            </w:r>
          </w:p>
        </w:tc>
        <w:tc>
          <w:tcPr>
            <w:tcW w:type="dxa" w:w="5040"/>
            <w:vAlign w:val="top"/>
            <w:tcMar>
              <w:top w:w="80" w:type="dxa"/>
              <w:start w:w="100" w:type="dxa"/>
              <w:bottom w:w="80" w:type="dxa"/>
              <w:end w:w="100" w:type="dxa"/>
            </w:tcMar>
          </w:tcPr>
          <w:p>
            <w:pPr>
              <w:spacing w:after="40" w:line="240" w:lineRule="auto"/>
            </w:pPr>
            <w:r>
              <w:t>When the associated System identity is directly and reliably available, the displayed value may link to that System’s Resource Details View Module.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Do not</w:t>
            </w:r>
          </w:p>
        </w:tc>
        <w:tc>
          <w:tcPr>
            <w:tcW w:type="dxa" w:w="5040"/>
            <w:vAlign w:val="top"/>
            <w:tcMar>
              <w:top w:w="80" w:type="dxa"/>
              <w:start w:w="100" w:type="dxa"/>
              <w:bottom w:w="80" w:type="dxa"/>
              <w:end w:w="100" w:type="dxa"/>
            </w:tcMar>
          </w:tcPr>
          <w:p>
            <w:pPr>
              <w:spacing w:after="40" w:line="240" w:lineRule="auto"/>
            </w:pPr>
            <w:r>
              <w:t>Do not make an additional request solely to obtain a friendlier System label for presentation.</w:t>
            </w:r>
          </w:p>
        </w:tc>
      </w:tr>
    </w:tbl>
    <w:p>
      <w:pPr>
        <w:spacing w:after="40"/>
      </w:pPr>
    </w:p>
    <w:p>
      <w:pPr>
        <w:pStyle w:val="Heading2"/>
      </w:pPr>
      <w:r>
        <w:t>5.4 Stream</w:t>
      </w:r>
    </w:p>
    <w:p>
      <w:pPr>
        <w:pStyle w:val="NarrativeLead"/>
      </w:pPr>
      <w:r>
        <w:t>Stream provides one application concept for the parent stream that gives an Observation or Command its immediate operational context. For an Observation the parent is a DataStream; for a Command it is a ControlStream. The shared concept captures their analogous structural role as the stream under which the child occurrence exists without asserting that DataStream and ControlStream are interchangeable resource types.</w:t>
      </w:r>
    </w:p>
    <w:p>
      <w:pPr/>
      <w:r>
        <w:t>The module should preserve whether the value refers to a DataStream or ControlStream and may expose a direct link to that parent resource when its identity is reliably available. Stream is useful wherever a user needs to navigate, group, or summarize an Observation or Command by its parent context, and it may support filtering when the applicable capability exists. The pattern is established in MERLIN-932 and should be preferred over inventing separate generic labels for Observation-parent and Command-parent stream relationships.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Represent the parent stream that provides context for an Observation or Command.</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Observation -&gt; parent DataStream; Command -&gt; parent ControlStream.</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Both resources are child occurrences whose meaning is contextualized by their parent stream, even though DataStream and ControlStream are different resource types.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Preserve whether the parent is a DataStream or ControlStream. The shared concept is the structural role, not an assertion that the two stream types are interchangeable.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r>
              <w:t>Reuse wherever a module needs to expose, navigate, group, or summarize an Observation/Command by its parent stream, and use it as a filter only when the applicable capability is separately supported.</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Interaction guidance</w:t>
            </w:r>
          </w:p>
        </w:tc>
        <w:tc>
          <w:tcPr>
            <w:tcW w:type="dxa" w:w="5040"/>
            <w:vAlign w:val="top"/>
            <w:tcMar>
              <w:top w:w="80" w:type="dxa"/>
              <w:start w:w="100" w:type="dxa"/>
              <w:bottom w:w="80" w:type="dxa"/>
              <w:end w:w="100" w:type="dxa"/>
            </w:tcMar>
          </w:tcPr>
          <w:p>
            <w:pPr>
              <w:spacing w:after="40" w:line="240" w:lineRule="auto"/>
            </w:pPr>
            <w:r>
              <w:t>When directly and reliably identified, the Stream value may link to the parent DataStream or ControlStream Resource Details View Module.</w:t>
            </w:r>
          </w:p>
        </w:tc>
      </w:tr>
    </w:tbl>
    <w:p>
      <w:pPr>
        <w:spacing w:after="40"/>
      </w:pPr>
    </w:p>
    <w:p>
      <w:pPr>
        <w:pStyle w:val="Heading2"/>
      </w:pPr>
      <w:r>
        <w:t>5.5 Properties</w:t>
      </w:r>
    </w:p>
    <w:p>
      <w:pPr>
        <w:pStyle w:val="NarrativeLead"/>
      </w:pPr>
      <w:r>
        <w:t>Properties consolidates DataStream observedProperties and ControlStream controlledProperties because both help the user understand what domain properties a stream deals with. The analogy is strong at the application level: one stream reports or measures properties, while the other can change properties through control. A single MERLIN concept reduces terminology switching when the user is comparing sensing and control resources in the same application.</w:t>
      </w:r>
    </w:p>
    <w:p>
      <w:pPr/>
      <w:r>
        <w:t>The sensing/control direction must remain visible. Observed Properties and Controlled Properties are not synonyms, and MERLIN should not flatten them into a directionless property vocabulary that loses whether the stream senses or controls the property. The pattern is established in MERLIN-932 and can be reused in stream summaries, capability-supported filters, reports, details views, and other contexts where users need a concise account of what a stream observes or controls.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Present the properties associated with the sensing or control role of a stream.</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DataStream.observedProperties; ControlStream.controlledProperties.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Both answer the user-facing question “what properties does this stream deal with?” while preserving the difference between sensing and control.</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Observed Properties and Controlled Properties are functionally analogous, not synonymous. Context should indicate which meaning applies.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r>
              <w:t>Reuse in stream summaries, details, reports, legends, and capability-supported filters where users need to explain what a stream observes or controls.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Do not</w:t>
            </w:r>
          </w:p>
        </w:tc>
        <w:tc>
          <w:tcPr>
            <w:tcW w:type="dxa" w:w="5040"/>
            <w:vAlign w:val="top"/>
            <w:tcMar>
              <w:top w:w="80" w:type="dxa"/>
              <w:start w:w="100" w:type="dxa"/>
              <w:bottom w:w="80" w:type="dxa"/>
              <w:end w:w="100" w:type="dxa"/>
            </w:tcMar>
          </w:tcPr>
          <w:p>
            <w:pPr>
              <w:spacing w:after="40" w:line="240" w:lineRule="auto"/>
            </w:pPr>
            <w:r>
              <w:t>Do not flatten observed and controlled semantics into a generic property vocabulary that loses sensing/control direction.</w:t>
            </w:r>
          </w:p>
        </w:tc>
      </w:tr>
    </w:tbl>
    <w:p>
      <w:pPr>
        <w:spacing w:after="40"/>
      </w:pPr>
    </w:p>
    <w:p>
      <w:pPr>
        <w:pStyle w:val="Heading2"/>
      </w:pPr>
      <w:r>
        <w:t>5.6 Status</w:t>
      </w:r>
    </w:p>
    <w:p>
      <w:pPr>
        <w:pStyle w:val="NarrativeLead"/>
      </w:pPr>
      <w:r>
        <w:t>Status provides a compact application view of current operational state across resource types that expose different underlying state fields. DataStream live indicates whether live data is available, ControlStream live indicates whether live commands can currently be accepted, and Command currentStatus describes the current state of a particular command. These are different semantics, but they occupy a sufficiently similar user-facing role to justify one presentation concept when the resource context is clear.</w:t>
      </w:r>
    </w:p>
    <w:p>
      <w:pPr/>
      <w:r>
        <w:t>Modules may render Status as a table value, badge, capability-supported filter, feed attribute, map-popup field, or report field, but the underlying mapping must remain resource-specific. Command Status should continue to come from currentStatus rather than a different status association or CommandStatus resource, and this presentation concept must remain distinct from Resource Discovery Live Mode. The pattern is established in MERLIN-932 and should be reused only where the same operational-state question is being answered.</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Provide a compact human-facing concept for the current operational state of applicable resources.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DataStream.live; ControlStream.live; Command.currentStatus.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The underlying fields differ, but users interpret each to understand whether the resource is currently live/available/active in its own operational sense.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DataStream live means live data is available; ControlStream live means the stream currently accepts live commands; Command currentStatus is the command’s current status. This concept is distinct from Resource Discovery Live Mode.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r>
              <w:t>Reuse as a badge, label, feed attribute, map-popup field, report field, or capability-supported filter when the same source mappings are involved.</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Do not</w:t>
            </w:r>
          </w:p>
        </w:tc>
        <w:tc>
          <w:tcPr>
            <w:tcW w:type="dxa" w:w="5040"/>
            <w:vAlign w:val="top"/>
            <w:tcMar>
              <w:top w:w="80" w:type="dxa"/>
              <w:start w:w="100" w:type="dxa"/>
              <w:bottom w:w="80" w:type="dxa"/>
              <w:end w:w="100" w:type="dxa"/>
            </w:tcMar>
          </w:tcPr>
          <w:p>
            <w:pPr>
              <w:spacing w:after="40" w:line="240" w:lineRule="auto"/>
            </w:pPr>
            <w:r>
              <w:t>Do not populate Command Status from a different status association or CommandStatus resource when the established mapping is currentStatus.</w:t>
            </w:r>
          </w:p>
        </w:tc>
      </w:tr>
    </w:tbl>
    <w:p>
      <w:pPr>
        <w:spacing w:after="40"/>
      </w:pPr>
    </w:p>
    <w:p>
      <w:pPr>
        <w:pStyle w:val="Heading2"/>
      </w:pPr>
      <w:r>
        <w:t>5.7 Start Time / End Time</w:t>
      </w:r>
    </w:p>
    <w:p>
      <w:pPr>
        <w:pStyle w:val="NarrativeLead"/>
      </w:pPr>
      <w:r>
        <w:t>Start Time and End Time provide a common temporal frame for resources whose source semantics may be expressed as instants or extents under different field names. The current mapping includes validTime on applicable resources, System Event eventTime, Observation phenomenonTime, and Command executionTime. This normalization gives users a consistent way to compare, order, and display heterogeneous temporal information, and to filter it when the applicable filter behavior is supported, without requiring each module to invent a different pair of labels.</w:t>
      </w:r>
    </w:p>
    <w:p>
      <w:pPr/>
      <w:r>
        <w:t>The common presentation must not obscure the source meaning. An extent maps to its start and end bounds, while an instant may be represented by the same timestamp in both columns or equivalent module-specific treatment, and contextual help should clarify whether the time describes validity, event occurrence, phenomenon time, or command execution. Result Time and Issue Time answer a different lifecycle question and therefore remain outside this pattern. Start Time / End Time is established in MERLIN-932 and can be reused in timelines, feeds, maps, reports, and capability-supported filters where this normalized interval role is useful.</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Provide a consistent presentation for source temporal instants and extents while preserving their underlying temporal meaning.</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validTime on applicable resources; System Event eventTime; Observation phenomenonTime; Command executionTime.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r>
              <w:t>Users often need one consistent temporal frame for comparison, ordering, display, and supported filtering across heterogeneous resources.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An extent maps to its start/end bounds. An instant may be shown as the same timestamp in both Start and End. Context must identify whether the source meaning is validity, event occurrence, phenomenon time, or command execution time.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r>
              <w:t>Reuse in timelines, map popups, feeds, reports, and capability-supported filters where a normalized temporal presentation improves consistency.</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Do not</w:t>
            </w:r>
          </w:p>
        </w:tc>
        <w:tc>
          <w:tcPr>
            <w:tcW w:type="dxa" w:w="5040"/>
            <w:vAlign w:val="top"/>
            <w:tcMar>
              <w:top w:w="80" w:type="dxa"/>
              <w:start w:w="100" w:type="dxa"/>
              <w:bottom w:w="80" w:type="dxa"/>
              <w:end w:w="100" w:type="dxa"/>
            </w:tcMar>
          </w:tcPr>
          <w:p>
            <w:pPr>
              <w:spacing w:after="40" w:line="240" w:lineRule="auto"/>
            </w:pPr>
            <w:r>
              <w:t>Do not reinterpret Observation resultTime or Command issueTime as Start/End bounds; those belong to the separate Result / Issue Time concept.</w:t>
            </w:r>
          </w:p>
        </w:tc>
      </w:tr>
    </w:tbl>
    <w:p>
      <w:pPr>
        <w:spacing w:after="40"/>
      </w:pPr>
    </w:p>
    <w:p>
      <w:pPr>
        <w:pStyle w:val="Heading2"/>
      </w:pPr>
      <w:r>
        <w:t>5.8 Result / Issue Time</w:t>
      </w:r>
    </w:p>
    <w:p>
      <w:pPr>
        <w:pStyle w:val="NarrativeLead"/>
      </w:pPr>
      <w:r>
        <w:t>Result / Issue Time consolidates two lifecycle timestamps that occupy a similar presentation role for Observation and Command without claiming that the timestamps are equivalent. Observation resultTime identifies when an observation result was obtained or became available, while Command issueTime identifies when a command was received by the System. Users may benefit from one predictable place to find the applicable lifecycle timestamp when those resource types appear together.</w:t>
      </w:r>
    </w:p>
    <w:p>
      <w:pPr/>
      <w:r>
        <w:t>The module must preserve which meaning applies and must not reinterpret either value as a Start Time or End Time bound. The concept is especially useful in feeds, timelines, reports, details views, and mixed-resource displays where separate generic labels would add clutter without improving comprehension. The pattern is established in MERLIN-932 and should be reused only for these source mappings or a future mapping that passes the same functional-analogy test.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Present the applicable system-side lifecycle timestamp for Observation and Command in one compact concept.</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Observation.resultTime; Command.issueTime.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Both are important occurrence lifecycle timestamps that users may compare or display in the same application context, even though one concerns obtaining a result and the other concerns receipt of a command.</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The values are not synonyms. Context must preserve whether the value is Observation Result Time or Command Issue Time.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pPr>
              <w:spacing w:after="40" w:line="240" w:lineRule="auto"/>
            </w:pPr>
            <w:r>
              <w:t>Reuse in feeds, timelines, reports, details, or other views that need the applicable Observation/Command lifecycle timestamp without introducing two competing generic labels.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Do not</w:t>
            </w:r>
          </w:p>
        </w:tc>
        <w:tc>
          <w:tcPr>
            <w:tcW w:type="dxa" w:w="5040"/>
            <w:vAlign w:val="top"/>
            <w:tcMar>
              <w:top w:w="80" w:type="dxa"/>
              <w:start w:w="100" w:type="dxa"/>
              <w:bottom w:w="80" w:type="dxa"/>
              <w:end w:w="100" w:type="dxa"/>
            </w:tcMar>
          </w:tcPr>
          <w:p>
            <w:pPr>
              <w:spacing w:after="40" w:line="240" w:lineRule="auto"/>
            </w:pPr>
            <w:r>
              <w:t>Do not collapse these values into Start Time or End Time.</w:t>
            </w:r>
          </w:p>
        </w:tc>
      </w:tr>
    </w:tbl>
    <w:p>
      <w:pPr>
        <w:spacing w:after="40"/>
      </w:pPr>
    </w:p>
    <w:p>
      <w:pPr>
        <w:pStyle w:val="Heading2"/>
      </w:pPr>
      <w:r>
        <w:t>5.9 Result / Parameters / Message</w:t>
      </w:r>
    </w:p>
    <w:p>
      <w:pPr>
        <w:pStyle w:val="NarrativeLead"/>
      </w:pPr>
      <w:r>
        <w:t>Result / Parameters / Message provides a shared presentation role for substantive occurrence-specific content across Observation, Command, and System Event resources. Observation result contains values produced by sensing, Command parameters contain values supplied to control, and a directly available System Event message provides human-readable commentary about the event occurrence. The first two form a strong sensing/control analogy; System Event Message is a looser but still useful consolidation because it serves the same broad user need to see substantive content associated with the occurrence.</w:t>
      </w:r>
    </w:p>
    <w:p>
      <w:pPr/>
      <w:r>
        <w:t>Because the content can vary greatly in structure, the pattern includes rendering rules as well as semantic mapping. Simple scalar or textual values may display directly, small flat structures may use compact key/value presentation, directly linked values may expose supplied link metadata and an open/access action, and complex inline values should use neutral structural labels rather than raw serialization or invented interpretation. Description remains a separate concept because it explains what a resource or event is rather than the substantive content of a particular occurrence.</w:t>
      </w:r>
    </w:p>
    <w:p>
      <w:pPr/>
      <w:r>
        <w:t>This pattern should not become a shortcut for schema-aware interpretation. MERLIN should not invent labels, units, or domain meaning from a result or parameter payload alone; richer interpretation belongs to a separately designed capability using authoritative resultSchema, parametersSchema, or supported profile information. The pattern is established in MERLIN-932 and can be reused when another module needs a concise occurrence-content slot while preserving the same source mappings and interaction boundaries.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Provide a shared presentation role for substantive occurrence-specific content.</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Observation.result; Command.parameters; System Event message when directly available from the selected representation/profile.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Observation results and Command parameters form a strong sensing/control analogy; System Event Message is a looser but useful human-facing consolidation because it carries substantive occurrence-specific content. Description remains a separate concept that explains what the resource/event is.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Preserve which source field applies. Do not synthesize a System Event Message from Description or generic event properties. Simple values may display directly; flat structures may use compact key/value presentation; linked values may expose supplied link metadata; complex values should use neutral structural labels rather than invented semantics.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pPr>
              <w:spacing w:after="40" w:line="240" w:lineRule="auto"/>
            </w:pPr>
            <w:r>
              <w:t>Reuse when another module needs a concise “substantive content” slot for Observation, Command, or System Event occurrences, while allowing the module to render the content appropriately for its workflow.</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Interaction guidance</w:t>
            </w:r>
          </w:p>
        </w:tc>
        <w:tc>
          <w:tcPr>
            <w:tcW w:type="dxa" w:w="5040"/>
            <w:vAlign w:val="top"/>
            <w:tcMar>
              <w:top w:w="80" w:type="dxa"/>
              <w:start w:w="100" w:type="dxa"/>
              <w:bottom w:w="80" w:type="dxa"/>
              <w:end w:w="100" w:type="dxa"/>
            </w:tcMar>
          </w:tcPr>
          <w:p>
            <w:pPr>
              <w:spacing w:after="40" w:line="240" w:lineRule="auto"/>
            </w:pPr>
            <w:r>
              <w:t>A directly linked result may expose an action to open/access that linked content. This is distinct from opening the resource’s Resource Details View Module.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Do not</w:t>
            </w:r>
          </w:p>
        </w:tc>
        <w:tc>
          <w:tcPr>
            <w:tcW w:type="dxa" w:w="5040"/>
            <w:vAlign w:val="top"/>
            <w:tcMar>
              <w:top w:w="80" w:type="dxa"/>
              <w:start w:w="100" w:type="dxa"/>
              <w:bottom w:w="80" w:type="dxa"/>
              <w:end w:w="100" w:type="dxa"/>
            </w:tcMar>
          </w:tcPr>
          <w:p>
            <w:pPr>
              <w:spacing w:after="40" w:line="240" w:lineRule="auto"/>
            </w:pPr>
            <w:r>
              <w:t>Do not invent labels, units, or domain meaning from the payload alone. Schema-aware result/parameter interpretation is a separate enrichment capability.</w:t>
            </w:r>
          </w:p>
        </w:tc>
      </w:tr>
    </w:tbl>
    <w:p>
      <w:pPr>
        <w:spacing w:after="40"/>
      </w:pPr>
    </w:p>
    <w:p>
      <w:pPr>
        <w:pStyle w:val="Heading2"/>
      </w:pPr>
      <w:r>
        <w:t>5.10 Location</w:t>
      </w:r>
    </w:p>
    <w:p>
      <w:pPr>
        <w:pStyle w:val="NarrativeLead"/>
      </w:pPr>
      <w:r>
        <w:t>Location gives MERLIN one human-facing spatial concept for resources that directly provide authoritative position or geometry in different standards-defined forms. The pattern improves consistency when users need to understand where a System, Deployment, Sampling Feature, generic Feature, or another supported spatial resource is located or spatially represented. A point may be rendered in a concise coordinate form such as MGRS, while non-point geometry should remain recognizable as its actual geometry type or shape rather than being reduced to an artificial representative point.</w:t>
      </w:r>
    </w:p>
    <w:p>
      <w:pPr/>
      <w:r>
        <w:t>The pattern is intentionally conservative about absence. If a resource does not directly carry the applicable spatial information, MERLIN should not substitute a related System location, ultimate Feature of Interest geometry, Deployment area, result geometry, or another convenient proxy unless a separately designed enrichment rule explicitly permits it. Location is established in MERLIN-932 and is suitable for maps, popups, reports, and capability-supported spatial filters when the authoritative geometry and applicable filter behavior are available.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Provide a consistent human-facing spatial presentation when authoritative spatial information is directly available for the resource.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Direct location/position/geometry on applicable System, Deployment, Sampling Feature, generic Feature, or other supported resource representations.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Different resources expose spatial information differently, but users need one consistent concept for “where is this resource/spatial support?” when that information is directly present.</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A point may be rendered as MGRS; non-point geometry should remain a concise geometry-type/shape representation rather than being reduced to an artificial representative point. Absence of direct spatial information should remain absence rather than inferred location.</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r>
              <w:t>Reuse for maps, location labels, popups, reports, and capability-supported spatial filters when the source geometry and filter behavior are supported.</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Do not</w:t>
            </w:r>
          </w:p>
        </w:tc>
        <w:tc>
          <w:tcPr>
            <w:tcW w:type="dxa" w:w="5040"/>
            <w:vAlign w:val="top"/>
            <w:tcMar>
              <w:top w:w="80" w:type="dxa"/>
              <w:start w:w="100" w:type="dxa"/>
              <w:bottom w:w="80" w:type="dxa"/>
              <w:end w:w="100" w:type="dxa"/>
            </w:tcMar>
          </w:tcPr>
          <w:p>
            <w:pPr>
              <w:spacing w:after="40" w:line="240" w:lineRule="auto"/>
            </w:pPr>
            <w:r>
              <w:t>Do not substitute System location, ultimate FOI geometry, Deployment area, result geometry, or other related geometry for a resource that does not directly carry the applicable spatial information unless a separately designed enrichment rule explicitly permits it.</w:t>
            </w:r>
          </w:p>
        </w:tc>
      </w:tr>
    </w:tbl>
    <w:p>
      <w:pPr>
        <w:spacing w:after="40"/>
      </w:pPr>
    </w:p>
    <w:p>
      <w:pPr>
        <w:pStyle w:val="Heading2"/>
      </w:pPr>
      <w:r>
        <w:t>5.11 Source</w:t>
      </w:r>
    </w:p>
    <w:p>
      <w:pPr>
        <w:pStyle w:val="NarrativeLead"/>
      </w:pPr>
      <w:r>
        <w:t>Source is a MERLIN application-context concept that records which API source or server supplied a resource even though that information is not necessarily a property of the resource representation itself. Provenance becomes increasingly important when the same resource classes can be discovered across multiple servers, because source identity may affect troubleshooting, trust, available capabilities, and downstream actions. MERLIN should therefore preserve Source even when a particular module chooses not to display it prominently.</w:t>
      </w:r>
    </w:p>
    <w:p>
      <w:pPr/>
      <w:r>
        <w:t>Because Source comes from query/server context, modules should not misrepresent it as a standards-defined resource property. When the applicable OGC API root or landing-page URL is known, the Source value may also provide a predictable navigation path to that server's landing page; the URL should not be guessed when the root is unknown. The pattern is established in MERLIN-932 and should be reused wherever provenance or source-specific behavior matters.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Preserve provenance by identifying the API source/server that supplied a resource.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MERLIN query/source context.</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Source is application context rather than a resource-schema field, but it becomes important when the same resource classes are discovered across multiple servers.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Do not pretend Source is a property emitted by every resource. Keep the source identity associated with the resource even when the Source label is hidden in a particular view.</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r>
              <w:t>Reuse anywhere provenance or source-specific action matters, including details, reports, troubleshooting, cross-source comparison, and source filtering when separately supported.</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Interaction guidance</w:t>
            </w:r>
          </w:p>
        </w:tc>
        <w:tc>
          <w:tcPr>
            <w:tcW w:type="dxa" w:w="5040"/>
            <w:vAlign w:val="top"/>
            <w:tcMar>
              <w:top w:w="80" w:type="dxa"/>
              <w:start w:w="100" w:type="dxa"/>
              <w:bottom w:w="80" w:type="dxa"/>
              <w:end w:w="100" w:type="dxa"/>
            </w:tcMar>
          </w:tcPr>
          <w:p>
            <w:pPr>
              <w:spacing w:after="40" w:line="240" w:lineRule="auto"/>
            </w:pPr>
            <w:r>
              <w:t>When the applicable OGC API landing-page/API-root URL is known, Source may link to that server’s landing page.</w:t>
            </w:r>
          </w:p>
        </w:tc>
      </w:tr>
    </w:tbl>
    <w:p>
      <w:pPr>
        <w:spacing w:after="40"/>
      </w:pPr>
    </w:p>
    <w:p>
      <w:pPr>
        <w:pStyle w:val="Heading2"/>
      </w:pPr>
      <w:r>
        <w:t>5.12 Name</w:t>
      </w:r>
    </w:p>
    <w:p>
      <w:pPr>
        <w:pStyle w:val="NarrativeLead"/>
      </w:pPr>
      <w:r>
        <w:t>Name represents a source-provided human-readable resource name when the applicable resource type or supported schema/profile actually defines one. It gives users a stable recognition and navigation cue without forcing resources that do not define names, such as some Observation or Command representations, to fabricate one. Generic Features should only map into Name when an applicable schema or profile explicitly establishes that mapping.</w:t>
      </w:r>
    </w:p>
    <w:p>
      <w:pPr/>
      <w:r>
        <w:t>MERLIN should keep Name distinct from Title unless an underlying standard genuinely defines a title concept and a deliberate mapping is made. When a Name is available, it can serve as the primary compact link-style control for opening that resource's Resource Details View Module; when no Name exists, the module should provide another compact access mechanism rather than manufacturing text. The pattern is established in MERLIN-932 and should be reused as the primary human-readable resource identifier wherever the source actually supplies it.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Mar>
              <w:top w:w="80" w:type="dxa"/>
              <w:start w:w="100" w:type="dxa"/>
              <w:bottom w:w="80" w:type="dxa"/>
              <w:end w:w="100" w:type="dxa"/>
            </w:tcMar>
          </w:tcPr>
          <w:p>
            <w:pPr>
              <w:spacing w:after="40" w:line="240" w:lineRule="auto"/>
            </w:pPr>
            <w:r>
              <w:rPr>
                <w:b/>
              </w:rPr>
              <w:t>Intent</w:t>
            </w:r>
          </w:p>
        </w:tc>
        <w:tc>
          <w:tcPr>
            <w:tcW w:type="dxa" w:w="5040"/>
            <w:vAlign w:val="top"/>
            <w:tcMar>
              <w:top w:w="80" w:type="dxa"/>
              <w:start w:w="100" w:type="dxa"/>
              <w:bottom w:w="80" w:type="dxa"/>
              <w:end w:w="100" w:type="dxa"/>
            </w:tcMar>
          </w:tcPr>
          <w:p>
            <w:pPr>
              <w:spacing w:after="40" w:line="240" w:lineRule="auto"/>
            </w:pPr>
            <w:r>
              <w:t>Present a source-provided human-readable resource name when one exists.</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Source mappings / inputs</w:t>
            </w:r>
          </w:p>
        </w:tc>
        <w:tc>
          <w:tcPr>
            <w:tcW w:type="dxa" w:w="5040"/>
            <w:vAlign w:val="top"/>
            <w:tcMar>
              <w:top w:w="80" w:type="dxa"/>
              <w:start w:w="100" w:type="dxa"/>
              <w:bottom w:w="80" w:type="dxa"/>
              <w:end w:w="100" w:type="dxa"/>
            </w:tcMar>
          </w:tcPr>
          <w:p>
            <w:pPr>
              <w:spacing w:after="40" w:line="240" w:lineRule="auto"/>
            </w:pPr>
            <w:r>
              <w:t>Direct resource Name field when defined, or an explicit supported schema/profile mapping for a generic Feature or future resource type.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Why the concept is shared</w:t>
            </w:r>
          </w:p>
        </w:tc>
        <w:tc>
          <w:tcPr>
            <w:tcW w:type="dxa" w:w="5040"/>
            <w:vAlign w:val="top"/>
            <w:tcMar>
              <w:top w:w="80" w:type="dxa"/>
              <w:start w:w="100" w:type="dxa"/>
              <w:bottom w:w="80" w:type="dxa"/>
              <w:end w:w="100" w:type="dxa"/>
            </w:tcMar>
          </w:tcPr>
          <w:p>
            <w:pPr>
              <w:spacing w:after="40" w:line="240" w:lineRule="auto"/>
            </w:pPr>
            <w:r>
              <w:t>A stable Name concept supports recognition and navigation without forcing resources that do not define a name to fabricate one.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Semantic guardrails</w:t>
            </w:r>
          </w:p>
        </w:tc>
        <w:tc>
          <w:tcPr>
            <w:tcW w:type="dxa" w:w="5040"/>
            <w:vAlign w:val="top"/>
            <w:tcMar>
              <w:top w:w="80" w:type="dxa"/>
              <w:start w:w="100" w:type="dxa"/>
              <w:bottom w:w="80" w:type="dxa"/>
              <w:end w:w="100" w:type="dxa"/>
            </w:tcMar>
          </w:tcPr>
          <w:p>
            <w:pPr>
              <w:spacing w:after="40" w:line="240" w:lineRule="auto"/>
            </w:pPr>
            <w:r>
              <w:t>Do not manufacture a Name for resources such as Observation or Command merely to satisfy UI expectations. Title is not an alternate MERLIN column name unless an underlying standard genuinely defines title and an explicit mapping is established.</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Reuse guidance</w:t>
            </w:r>
          </w:p>
        </w:tc>
        <w:tc>
          <w:tcPr>
            <w:tcW w:type="dxa" w:w="5040"/>
            <w:vAlign w:val="top"/>
            <w:tcMar>
              <w:top w:w="80" w:type="dxa"/>
              <w:start w:w="100" w:type="dxa"/>
              <w:bottom w:w="80" w:type="dxa"/>
              <w:end w:w="100" w:type="dxa"/>
            </w:tcMar>
          </w:tcPr>
          <w:p>
            <w:pPr>
              <w:spacing w:after="40" w:line="240" w:lineRule="auto"/>
            </w:pPr>
            <w:r>
              <w:t>Reuse consistently as the primary human-readable resource identifier where the source provides one.</w:t>
            </w:r>
          </w:p>
        </w:tc>
      </w:tr>
      <w:tr>
        <w:trPr>
          <w:cantSplit/>
        </w:trPr>
        <w:tc>
          <w:tcPr>
            <w:tcW w:type="dxa" w:w="5040"/>
            <w:vAlign w:val="top"/>
            <w:shd w:fill="D9EAF7"/>
            <w:tcMar>
              <w:top w:w="80" w:type="dxa"/>
              <w:start w:w="100" w:type="dxa"/>
              <w:bottom w:w="80" w:type="dxa"/>
              <w:end w:w="100" w:type="dxa"/>
            </w:tcMar>
          </w:tcPr>
          <w:p>
            <w:pPr>
              <w:spacing w:after="40" w:line="240" w:lineRule="auto"/>
            </w:pPr>
            <w:r>
              <w:rPr>
                <w:b/>
              </w:rPr>
              <w:t>Interaction guidance</w:t>
            </w:r>
          </w:p>
        </w:tc>
        <w:tc>
          <w:tcPr>
            <w:tcW w:type="dxa" w:w="5040"/>
            <w:vAlign w:val="top"/>
            <w:tcMar>
              <w:top w:w="80" w:type="dxa"/>
              <w:start w:w="100" w:type="dxa"/>
              <w:bottom w:w="80" w:type="dxa"/>
              <w:end w:w="100" w:type="dxa"/>
            </w:tcMar>
          </w:tcPr>
          <w:p>
            <w:pPr>
              <w:spacing w:after="40" w:line="240" w:lineRule="auto"/>
            </w:pPr>
            <w:r>
              <w:t>When a resource provides a Name, MERLIN may use it as the primary link-style control for opening that resource’s Resource Details View Module.</w:t>
            </w:r>
          </w:p>
        </w:tc>
      </w:tr>
    </w:tbl>
    <w:p>
      <w:pPr>
        <w:spacing w:after="40"/>
      </w:pPr>
    </w:p>
    <w:p>
      <w:pPr>
        <w:pStyle w:val="Heading2"/>
      </w:pPr>
      <w:r>
        <w:t>5.13 Resource Symbols and Symbology</w:t>
      </w:r>
    </w:p>
    <w:p>
      <w:pPr>
        <w:pStyle w:val="NarrativeLead"/>
      </w:pPr>
      <w:r>
        <w:t>Resource Symbols and Symbology defines the reusable rule for choosing visual portrayal without hiding semantic classification inside MERLIN-only code. MERLIN-932 establishes that basic resource-type symbology may be determined from the standards-supported Resource Type already available to the client, while more specific portrayal should be driven by machine-readable semantic or symbology information supplied by the source through an applicable supported profile. When the available information is insufficient to determine a more specific symbol, MERLIN should use an appropriate generic or neutral fallback rather than infer one.</w:t>
      </w:r>
    </w:p>
    <w:p>
      <w:pPr/>
      <w:r>
        <w:t>This pattern allows modules to reuse consistent symbols across tables, maps, feeds, details views, and other presentations while preserving the boundary between client presentation and source-authoritative semantics. A legend, tooltip, label, or equivalent mechanism should keep the meaning of displayed symbols understandable to the user. More specific defense/MASINT portrayal remains a profiling question where interoperable clients need the same machine-readable inputs; MERLIN-932 explicitly leaves the resulting MIL-STD-2525/DGIWG profile, property, vocabulary, or encoding for future work.</w:t>
      </w:r>
    </w:p>
    <w:tbl>
      <w:tblPr>
        <w:tblStyle w:val="TableGrid"/>
        <w:tblW w:type="auto" w:w="0"/>
        <w:tblLook w:firstColumn="1" w:firstRow="1" w:lastColumn="0" w:lastRow="0" w:noHBand="0" w:noVBand="1" w:val="04A0"/>
      </w:tblPr>
      <w:tblGrid>
        <w:gridCol w:w="5040"/>
        <w:gridCol w:w="5040"/>
      </w:tblGrid>
      <w:tr>
        <w:trPr>
          <w:cantSplit/>
        </w:trPr>
        <w:tc>
          <w:tcPr>
            <w:tcW w:type="dxa" w:w="5040"/>
            <w:shd w:fill="D9EAF7"/>
          </w:tcPr>
          <w:p>
            <w:r>
              <w:rPr>
                <w:b/>
              </w:rPr>
              <w:t>Intent</w:t>
            </w:r>
          </w:p>
        </w:tc>
        <w:tc>
          <w:tcPr>
            <w:tcW w:type="dxa" w:w="5040"/>
          </w:tcPr>
          <w:p>
            <w:r>
              <w:t>Provide consistent resource portrayal across MERLIN while avoiding hidden MERLIN-only classification logic.</w:t>
            </w:r>
          </w:p>
        </w:tc>
      </w:tr>
      <w:tr>
        <w:trPr>
          <w:cantSplit/>
        </w:trPr>
        <w:tc>
          <w:tcPr>
            <w:tcW w:type="dxa" w:w="5040"/>
            <w:shd w:fill="D9EAF7"/>
          </w:tcPr>
          <w:p>
            <w:r>
              <w:rPr>
                <w:b/>
              </w:rPr>
              <w:t>Source mappings / inputs</w:t>
            </w:r>
          </w:p>
        </w:tc>
        <w:tc>
          <w:tcPr>
            <w:tcW w:type="dxa" w:w="5040"/>
          </w:tcPr>
          <w:p>
            <w:r>
              <w:t>Standards-supported Resource Type for basic/generic symbology; additional machine-readable semantic or symbology information from an applicable supported profile for more specific portrayal.</w:t>
            </w:r>
          </w:p>
        </w:tc>
      </w:tr>
      <w:tr>
        <w:trPr>
          <w:cantSplit/>
        </w:trPr>
        <w:tc>
          <w:tcPr>
            <w:tcW w:type="dxa" w:w="5040"/>
            <w:shd w:fill="D9EAF7"/>
          </w:tcPr>
          <w:p>
            <w:r>
              <w:rPr>
                <w:b/>
              </w:rPr>
              <w:t>Why the concept is shared</w:t>
            </w:r>
          </w:p>
        </w:tc>
        <w:tc>
          <w:tcPr>
            <w:tcW w:type="dxa" w:w="5040"/>
          </w:tcPr>
          <w:p>
            <w:r>
              <w:t>Users should see the same resource portrayed consistently across modules, and interoperable clients should be able to reproduce more specific portrayal from the same authoritative inputs.</w:t>
            </w:r>
          </w:p>
        </w:tc>
      </w:tr>
      <w:tr>
        <w:trPr>
          <w:cantSplit/>
        </w:trPr>
        <w:tc>
          <w:tcPr>
            <w:tcW w:type="dxa" w:w="5040"/>
            <w:shd w:fill="D9EAF7"/>
          </w:tcPr>
          <w:p>
            <w:r>
              <w:rPr>
                <w:b/>
              </w:rPr>
              <w:t>Semantic guardrails</w:t>
            </w:r>
          </w:p>
        </w:tc>
        <w:tc>
          <w:tcPr>
            <w:tcW w:type="dxa" w:w="5040"/>
          </w:tcPr>
          <w:p>
            <w:r>
              <w:t>Do not infer specific symbols from collection names, incidental properties, or private client classification. When sufficient information is absent, use an appropriate generic or neutral fallback.</w:t>
            </w:r>
          </w:p>
        </w:tc>
      </w:tr>
      <w:tr>
        <w:trPr>
          <w:cantSplit/>
        </w:trPr>
        <w:tc>
          <w:tcPr>
            <w:tcW w:type="dxa" w:w="5040"/>
            <w:shd w:fill="D9EAF7"/>
          </w:tcPr>
          <w:p>
            <w:r>
              <w:rPr>
                <w:b/>
              </w:rPr>
              <w:t>Reuse guidance</w:t>
            </w:r>
          </w:p>
        </w:tc>
        <w:tc>
          <w:tcPr>
            <w:tcW w:type="dxa" w:w="5040"/>
          </w:tcPr>
          <w:p>
            <w:r>
              <w:t>Reuse across Table, Map, Split, Feed, Details, Reporting, and analytic views when the same resource portrayal is needed. Visual size or treatment may vary without changing the semantic basis.</w:t>
            </w:r>
          </w:p>
        </w:tc>
      </w:tr>
      <w:tr>
        <w:trPr>
          <w:cantSplit/>
        </w:trPr>
        <w:tc>
          <w:tcPr>
            <w:tcW w:type="dxa" w:w="5040"/>
            <w:shd w:fill="D9EAF7"/>
          </w:tcPr>
          <w:p>
            <w:r>
              <w:rPr>
                <w:b/>
              </w:rPr>
              <w:t>User understanding</w:t>
            </w:r>
          </w:p>
        </w:tc>
        <w:tc>
          <w:tcPr>
            <w:tcW w:type="dxa" w:w="5040"/>
          </w:tcPr>
          <w:p>
            <w:r>
              <w:t>Provide a legend, tooltip, label, or equivalent explanation of symbol meaning where needed.</w:t>
            </w:r>
          </w:p>
        </w:tc>
      </w:tr>
      <w:tr>
        <w:trPr>
          <w:cantSplit/>
        </w:trPr>
        <w:tc>
          <w:tcPr>
            <w:tcW w:type="dxa" w:w="5040"/>
            <w:shd w:fill="D9EAF7"/>
          </w:tcPr>
          <w:p>
            <w:r>
              <w:rPr>
                <w:b/>
              </w:rPr>
              <w:t>Do not</w:t>
            </w:r>
          </w:p>
        </w:tc>
        <w:tc>
          <w:tcPr>
            <w:tcW w:type="dxa" w:w="5040"/>
          </w:tcPr>
          <w:p>
            <w:r>
              <w:t>Do not treat unfinished defense/MASINT symbology-profile research as already-defined server requirements or encode specific tactical portrayal through undocumented MERLIN-only rules.</w:t>
            </w:r>
          </w:p>
        </w:tc>
      </w:tr>
    </w:tbl>
    <w:p>
      <w:pPr>
        <w:pStyle w:val="Heading2"/>
      </w:pPr>
      <w:r>
        <w:t>5.14 Important Non-Consolidations to Preserve</w:t>
      </w:r>
    </w:p>
    <w:p>
      <w:pPr>
        <w:pStyle w:val="NarrativeLead"/>
      </w:pPr>
      <w:r>
        <w:t>The concepts MERLIN deliberately refuses to consolidate are part of the semantic design just as much as the concepts it shares. These separations mark boundaries where a superficially simpler label would destroy useful meaning, create ambiguity, or encourage incorrect assumptions about the source model. Recording those non-consolidations prevents future modules from reopening settled questions without recognizing the tradeoff that was already considered.</w:t>
      </w:r>
    </w:p>
    <w:p>
      <w:pPr/>
      <w:r>
        <w:t>Future designers should treat this list as a guardrail, not merely historical trivia. A proposed change may still be valid if a new standard, profile, or workflow materially changes the problem, but the burden is to explain why the earlier distinction no longer matters. In ordinary reuse, the safer choice is to preserve these separations while using context and established shared concepts around them.</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F4E78"/>
            <w:vAlign w:val="top"/>
          </w:tcPr>
          <w:p>
            <w:pPr>
              <w:spacing w:after="40" w:line="240" w:lineRule="auto"/>
            </w:pPr>
            <w:r>
              <w:rPr>
                <w:b/>
                <w:color w:val="FFFFFF"/>
              </w:rPr>
              <w:t>Keep separate</w:t>
            </w:r>
          </w:p>
        </w:tc>
        <w:tc>
          <w:tcPr>
            <w:tcW w:type="dxa" w:w="3360"/>
            <w:shd w:fill="1F4E78"/>
            <w:vAlign w:val="top"/>
          </w:tcPr>
          <w:p>
            <w:pPr>
              <w:spacing w:after="40" w:line="240" w:lineRule="auto"/>
            </w:pPr>
            <w:r>
              <w:rPr>
                <w:b/>
                <w:color w:val="FFFFFF"/>
              </w:rPr>
              <w:t>Reason</w:t>
            </w:r>
          </w:p>
        </w:tc>
        <w:tc>
          <w:tcPr>
            <w:tcW w:type="dxa" w:w="3360"/>
            <w:shd w:fill="1F4E78"/>
            <w:vAlign w:val="top"/>
          </w:tcPr>
          <w:p>
            <w:pPr>
              <w:spacing w:after="40" w:line="240" w:lineRule="auto"/>
            </w:pPr>
            <w:r>
              <w:rPr>
                <w:b/>
                <w:color w:val="FFFFFF"/>
              </w:rPr>
              <w:t>Guardrail</w:t>
            </w:r>
          </w:p>
        </w:tc>
      </w:tr>
      <w:tr>
        <w:trPr>
          <w:cantSplit/>
        </w:trPr>
        <w:tc>
          <w:tcPr>
            <w:tcW w:type="dxa" w:w="3360"/>
            <w:tcMar>
              <w:top w:w="80" w:type="dxa"/>
              <w:start w:w="100" w:type="dxa"/>
              <w:bottom w:w="80" w:type="dxa"/>
              <w:end w:w="100" w:type="dxa"/>
            </w:tcMar>
            <w:vAlign w:val="top"/>
          </w:tcPr>
          <w:p>
            <w:pPr>
              <w:spacing w:after="40" w:line="240" w:lineRule="auto"/>
            </w:pPr>
            <w:r>
              <w:t>Resource Type vs. Type Detail</w:t>
            </w:r>
          </w:p>
        </w:tc>
        <w:tc>
          <w:tcPr>
            <w:tcW w:type="dxa" w:w="3360"/>
            <w:tcMar>
              <w:top w:w="80" w:type="dxa"/>
              <w:start w:w="100" w:type="dxa"/>
              <w:bottom w:w="80" w:type="dxa"/>
              <w:end w:w="100" w:type="dxa"/>
            </w:tcMar>
            <w:vAlign w:val="top"/>
          </w:tcPr>
          <w:p>
            <w:pPr>
              <w:spacing w:after="40" w:line="240" w:lineRule="auto"/>
            </w:pPr>
            <w:r>
              <w:t>Resource Type is the broad resource class; Type Detail is resource-specific additional classification.</w:t>
            </w:r>
          </w:p>
        </w:tc>
        <w:tc>
          <w:tcPr>
            <w:tcW w:type="dxa" w:w="3360"/>
            <w:tcMar>
              <w:top w:w="80" w:type="dxa"/>
              <w:start w:w="100" w:type="dxa"/>
              <w:bottom w:w="80" w:type="dxa"/>
              <w:end w:w="100" w:type="dxa"/>
            </w:tcMar>
            <w:vAlign w:val="top"/>
          </w:tcPr>
          <w:p>
            <w:pPr>
              <w:spacing w:after="40" w:line="240" w:lineRule="auto"/>
            </w:pPr>
            <w:r>
              <w:t>Do not overload one with the other.</w:t>
            </w:r>
          </w:p>
        </w:tc>
      </w:tr>
      <w:tr>
        <w:trPr>
          <w:cantSplit/>
        </w:trPr>
        <w:tc>
          <w:tcPr>
            <w:tcW w:type="dxa" w:w="3360"/>
            <w:tcMar>
              <w:top w:w="80" w:type="dxa"/>
              <w:start w:w="100" w:type="dxa"/>
              <w:bottom w:w="80" w:type="dxa"/>
              <w:end w:w="100" w:type="dxa"/>
            </w:tcMar>
            <w:vAlign w:val="top"/>
          </w:tcPr>
          <w:p>
            <w:pPr>
              <w:spacing w:after="40" w:line="240" w:lineRule="auto"/>
            </w:pPr>
            <w:r>
              <w:t>Type Detail vs. Asset Type</w:t>
            </w:r>
          </w:p>
        </w:tc>
        <w:tc>
          <w:tcPr>
            <w:tcW w:type="dxa" w:w="3360"/>
            <w:tcMar>
              <w:top w:w="80" w:type="dxa"/>
              <w:start w:w="100" w:type="dxa"/>
              <w:bottom w:w="80" w:type="dxa"/>
              <w:end w:w="100" w:type="dxa"/>
            </w:tcMar>
            <w:vAlign w:val="top"/>
          </w:tcPr>
          <w:p>
            <w:pPr>
              <w:spacing w:after="40" w:line="240" w:lineRule="auto"/>
            </w:pPr>
            <w:r>
              <w:t>A System may legitimately have both systemType and assetType.</w:t>
            </w:r>
          </w:p>
        </w:tc>
        <w:tc>
          <w:tcPr>
            <w:tcW w:type="dxa" w:w="3360"/>
            <w:tcMar>
              <w:top w:w="80" w:type="dxa"/>
              <w:start w:w="100" w:type="dxa"/>
              <w:bottom w:w="80" w:type="dxa"/>
              <w:end w:w="100" w:type="dxa"/>
            </w:tcMar>
            <w:vAlign w:val="top"/>
          </w:tcPr>
          <w:p>
            <w:pPr>
              <w:spacing w:after="40" w:line="240" w:lineRule="auto"/>
            </w:pPr>
            <w:r>
              <w:t>Asset Type remains independently representable.</w:t>
            </w:r>
          </w:p>
        </w:tc>
      </w:tr>
      <w:tr>
        <w:trPr>
          <w:cantSplit/>
        </w:trPr>
        <w:tc>
          <w:tcPr>
            <w:tcW w:type="dxa" w:w="3360"/>
            <w:tcMar>
              <w:top w:w="80" w:type="dxa"/>
              <w:start w:w="100" w:type="dxa"/>
              <w:bottom w:w="80" w:type="dxa"/>
              <w:end w:w="100" w:type="dxa"/>
            </w:tcMar>
            <w:vAlign w:val="top"/>
          </w:tcPr>
          <w:p>
            <w:pPr>
              <w:spacing w:after="40" w:line="240" w:lineRule="auto"/>
            </w:pPr>
            <w:r>
              <w:t>Description vs. System Event Message</w:t>
            </w:r>
          </w:p>
        </w:tc>
        <w:tc>
          <w:tcPr>
            <w:tcW w:type="dxa" w:w="3360"/>
            <w:tcMar>
              <w:top w:w="80" w:type="dxa"/>
              <w:start w:w="100" w:type="dxa"/>
              <w:bottom w:w="80" w:type="dxa"/>
              <w:end w:w="100" w:type="dxa"/>
            </w:tcMar>
            <w:vAlign w:val="top"/>
          </w:tcPr>
          <w:p>
            <w:pPr>
              <w:spacing w:after="40" w:line="240" w:lineRule="auto"/>
            </w:pPr>
            <w:r>
              <w:t>Description explains what the resource/event is; Message is occurrence-specific operator commentary when directly available.</w:t>
            </w:r>
          </w:p>
        </w:tc>
        <w:tc>
          <w:tcPr>
            <w:tcW w:type="dxa" w:w="3360"/>
            <w:tcMar>
              <w:top w:w="80" w:type="dxa"/>
              <w:start w:w="100" w:type="dxa"/>
              <w:bottom w:w="80" w:type="dxa"/>
              <w:end w:w="100" w:type="dxa"/>
            </w:tcMar>
            <w:vAlign w:val="top"/>
          </w:tcPr>
          <w:p>
            <w:pPr>
              <w:spacing w:after="40" w:line="240" w:lineRule="auto"/>
            </w:pPr>
            <w:r>
              <w:t>Do not synthesize Message from Description.</w:t>
            </w:r>
          </w:p>
        </w:tc>
      </w:tr>
      <w:tr>
        <w:trPr>
          <w:cantSplit/>
        </w:trPr>
        <w:tc>
          <w:tcPr>
            <w:tcW w:type="dxa" w:w="3360"/>
            <w:tcMar>
              <w:top w:w="80" w:type="dxa"/>
              <w:start w:w="100" w:type="dxa"/>
              <w:bottom w:w="80" w:type="dxa"/>
              <w:end w:w="100" w:type="dxa"/>
            </w:tcMar>
            <w:vAlign w:val="top"/>
          </w:tcPr>
          <w:p>
            <w:pPr>
              <w:spacing w:after="40" w:line="240" w:lineRule="auto"/>
            </w:pPr>
            <w:r>
              <w:t>Resource ID vs. Unique Identifier</w:t>
            </w:r>
          </w:p>
        </w:tc>
        <w:tc>
          <w:tcPr>
            <w:tcW w:type="dxa" w:w="3360"/>
            <w:tcMar>
              <w:top w:w="80" w:type="dxa"/>
              <w:start w:w="100" w:type="dxa"/>
              <w:bottom w:w="80" w:type="dxa"/>
              <w:end w:w="100" w:type="dxa"/>
            </w:tcMar>
            <w:vAlign w:val="top"/>
          </w:tcPr>
          <w:p>
            <w:pPr>
              <w:spacing w:after="40" w:line="240" w:lineRule="auto"/>
            </w:pPr>
            <w:r>
              <w:t>Resource ID is the local/API identity; Unique Identifier is the persistent URI/URN-style identity where defined.</w:t>
            </w:r>
          </w:p>
        </w:tc>
        <w:tc>
          <w:tcPr>
            <w:tcW w:type="dxa" w:w="3360"/>
            <w:tcMar>
              <w:top w:w="80" w:type="dxa"/>
              <w:start w:w="100" w:type="dxa"/>
              <w:bottom w:w="80" w:type="dxa"/>
              <w:end w:w="100" w:type="dxa"/>
            </w:tcMar>
            <w:vAlign w:val="top"/>
          </w:tcPr>
          <w:p>
            <w:pPr>
              <w:spacing w:after="40" w:line="240" w:lineRule="auto"/>
            </w:pPr>
            <w:r>
              <w:t>Do not collapse the two under a generic Identifier label.</w:t>
            </w:r>
          </w:p>
        </w:tc>
      </w:tr>
      <w:tr>
        <w:trPr>
          <w:cantSplit/>
        </w:trPr>
        <w:tc>
          <w:tcPr>
            <w:tcW w:type="dxa" w:w="3360"/>
            <w:tcMar>
              <w:top w:w="80" w:type="dxa"/>
              <w:start w:w="100" w:type="dxa"/>
              <w:bottom w:w="80" w:type="dxa"/>
              <w:end w:w="100" w:type="dxa"/>
            </w:tcMar>
            <w:vAlign w:val="top"/>
          </w:tcPr>
          <w:p>
            <w:pPr>
              <w:spacing w:after="40" w:line="240" w:lineRule="auto"/>
            </w:pPr>
            <w:r>
              <w:t>Start/End Time vs. Result/Issue Time</w:t>
            </w:r>
          </w:p>
        </w:tc>
        <w:tc>
          <w:tcPr>
            <w:tcW w:type="dxa" w:w="3360"/>
            <w:tcMar>
              <w:top w:w="80" w:type="dxa"/>
              <w:start w:w="100" w:type="dxa"/>
              <w:bottom w:w="80" w:type="dxa"/>
              <w:end w:w="100" w:type="dxa"/>
            </w:tcMar>
            <w:vAlign w:val="top"/>
          </w:tcPr>
          <w:p>
            <w:pPr>
              <w:spacing w:after="40" w:line="240" w:lineRule="auto"/>
            </w:pPr>
            <w:r>
              <w:t>They answer different temporal questions.</w:t>
            </w:r>
          </w:p>
        </w:tc>
        <w:tc>
          <w:tcPr>
            <w:tcW w:type="dxa" w:w="3360"/>
            <w:tcMar>
              <w:top w:w="80" w:type="dxa"/>
              <w:start w:w="100" w:type="dxa"/>
              <w:bottom w:w="80" w:type="dxa"/>
              <w:end w:w="100" w:type="dxa"/>
            </w:tcMar>
            <w:vAlign w:val="top"/>
          </w:tcPr>
          <w:p>
            <w:pPr>
              <w:spacing w:after="40" w:line="240" w:lineRule="auto"/>
            </w:pPr>
            <w:r>
              <w:t>Do not force lifecycle timestamps into interval bounds.</w:t>
            </w:r>
          </w:p>
        </w:tc>
      </w:tr>
      <w:tr>
        <w:trPr>
          <w:cantSplit/>
        </w:trPr>
        <w:tc>
          <w:tcPr>
            <w:tcW w:type="dxa" w:w="3360"/>
            <w:tcMar>
              <w:top w:w="80" w:type="dxa"/>
              <w:start w:w="100" w:type="dxa"/>
              <w:bottom w:w="80" w:type="dxa"/>
              <w:end w:w="100" w:type="dxa"/>
            </w:tcMar>
            <w:vAlign w:val="top"/>
          </w:tcPr>
          <w:p>
            <w:pPr>
              <w:spacing w:after="40" w:line="240" w:lineRule="auto"/>
            </w:pPr>
            <w:r>
              <w:t>Source vs. resource metadata</w:t>
            </w:r>
          </w:p>
        </w:tc>
        <w:tc>
          <w:tcPr>
            <w:tcW w:type="dxa" w:w="3360"/>
            <w:tcMar>
              <w:top w:w="80" w:type="dxa"/>
              <w:start w:w="100" w:type="dxa"/>
              <w:bottom w:w="80" w:type="dxa"/>
              <w:end w:w="100" w:type="dxa"/>
            </w:tcMar>
            <w:vAlign w:val="top"/>
          </w:tcPr>
          <w:p>
            <w:pPr>
              <w:spacing w:after="40" w:line="240" w:lineRule="auto"/>
            </w:pPr>
            <w:r>
              <w:t>Source comes from MERLIN query/server context, not necessarily the resource representation.</w:t>
            </w:r>
          </w:p>
        </w:tc>
        <w:tc>
          <w:tcPr>
            <w:tcW w:type="dxa" w:w="3360"/>
            <w:tcMar>
              <w:top w:w="80" w:type="dxa"/>
              <w:start w:w="100" w:type="dxa"/>
              <w:bottom w:w="80" w:type="dxa"/>
              <w:end w:w="100" w:type="dxa"/>
            </w:tcMar>
            <w:vAlign w:val="top"/>
          </w:tcPr>
          <w:p>
            <w:pPr>
              <w:spacing w:after="40" w:line="240" w:lineRule="auto"/>
            </w:pPr>
            <w:r>
              <w:t>Preserve provenance without misrepresenting it as a source-schema field.</w:t>
            </w:r>
          </w:p>
        </w:tc>
      </w:tr>
    </w:tbl>
    <w:p>
      <w:pPr>
        <w:pStyle w:val="Heading1"/>
      </w:pPr>
      <w:r>
        <w:t>6. Interaction Patterns and Derived Guidance</w:t>
      </w:r>
    </w:p>
    <w:p>
      <w:pPr>
        <w:pStyle w:val="NarrativeLead"/>
      </w:pPr>
      <w:r>
        <w:t>Semantic consistency becomes more useful when navigation and action behavior are also predictable across modules. Sections 6.1 through 6.4 restate interaction behaviors explicitly established for Resource Discovery in MERLIN-932: opening the current resource, navigating to a directly identified related resource, visiting the source API, and opening directly linked content. They are recorded here so future modules can deliberately reuse them when the same interaction need exists.</w:t>
      </w:r>
    </w:p>
    <w:p>
      <w:pPr/>
      <w:r>
        <w:t>Sections 6.5 and 6.6 are different: they are guide-derived cross-module design guidance distilled from the PBI rather than acceptance criteria that MERLIN-932 itself imposed on every future module. They should inform future PBIs, but they become mandatory for a new module only when that module deliberately adopts them. Across both groups, the guide describes what an interaction means and what destination or action the user should expect while leaving each View Module room to choose an appropriate visual control.</w:t>
      </w:r>
    </w:p>
    <w:p>
      <w:pPr>
        <w:pStyle w:val="Heading2"/>
      </w:pPr>
      <w:r>
        <w:t>6.1 Open the Resource Represented by the Row / Item</w:t>
      </w:r>
    </w:p>
    <w:p>
      <w:pPr>
        <w:pStyle w:val="NarrativeLead"/>
      </w:pPr>
      <w:r>
        <w:t>MERLIN-932 establishes that every Discovery result provides a predictable means to open the Resource Details View Module for the exact source and resource identity represented by that result. When a Name exists, it serves as the primary compact link-style control; when no Name exists, Resource Discovery provides an equivalent compact access mechanism so navigation does not depend on fabricated text. Future View Modules that present resource summaries should reuse this pattern when the same navigation need exists rather than treating it as an automatic requirement merely because they display a resource.</w:t>
      </w:r>
    </w:p>
    <w:p>
      <w:pPr/>
      <w:r>
        <w:t>In Resource Discovery, opening the Resource Details View Module remains distinct from selecting the resource for batch or downstream actions. This separation prevents a simple row click from unexpectedly changing modules when the user's intent was only to select or work with a set of results. Other modules may reuse the same distinction when their workflows contain both navigation and selection, but that reuse should be an explicit module-level design decision.</w:t>
      </w:r>
    </w:p>
    <w:p>
      <w:pPr>
        <w:pStyle w:val="Heading2"/>
      </w:pPr>
      <w:r>
        <w:t>6.2 Navigate a Directly Identified Related Resource</w:t>
      </w:r>
    </w:p>
    <w:p>
      <w:pPr>
        <w:pStyle w:val="NarrativeLead"/>
      </w:pPr>
      <w:r>
        <w:t>MERLIN should make standards-defined relationships useful when the displayed value already and reliably identifies another resource. A System, Stream, Sampling Feature, Feature of Interest, or another supported relationship can therefore become a navigation link to the related resource's Resource Details View Module when the target identity is directly available. This turns the relationship model into practical application navigation without requiring hidden graph traversal.</w:t>
      </w:r>
    </w:p>
    <w:p>
      <w:pPr/>
      <w:r>
        <w:t>The link should not be created when MERLIN cannot reliably determine the target resource identity from the information already available. Following the link is a user-initiated navigation action and is distinct from making additional requests merely to enrich the original display value. This pattern can be reused wherever a module exposes direct relationships and a predictable target destination exists.</w:t>
      </w:r>
    </w:p>
    <w:p>
      <w:pPr>
        <w:pStyle w:val="Heading2"/>
      </w:pPr>
      <w:r>
        <w:t>6.3 Navigate to the Source API</w:t>
      </w:r>
    </w:p>
    <w:p>
      <w:pPr>
        <w:pStyle w:val="NarrativeLead"/>
      </w:pPr>
      <w:r>
        <w:t>Source provenance can also provide a useful navigation path when MERLIN knows the API root or landing-page URL for the server that supplied a resource. Linking the Source value to the OGC API landing page gives technically oriented users a direct route to the authoritative service context without requiring MERLIN to invent a separate Source Details object. The interaction is especially useful for troubleshooting, capability inspection, and cross-source workflows.</w:t>
      </w:r>
    </w:p>
    <w:p>
      <w:pPr/>
      <w:r>
        <w:t>MERLIN should use the known API-root or landing-page URL rather than constructing one by trimming a resource URL or guessing from request structure. If the root is not reliably known, Source remains a provenance value without a navigation link. The pattern may be reused in any module that displays Source and can preserve the same reliable destination semantics.</w:t>
      </w:r>
    </w:p>
    <w:p>
      <w:pPr>
        <w:pStyle w:val="Heading2"/>
      </w:pPr>
      <w:r>
        <w:t>6.4 Open Directly Linked Content</w:t>
      </w:r>
    </w:p>
    <w:p>
      <w:pPr>
        <w:pStyle w:val="NarrativeLead"/>
      </w:pPr>
      <w:r>
        <w:t>Some resource values are themselves explicit links to external or separately retrievable content, such as a linked Observation result. When the representation supplies that link and useful metadata such as title or media type, MERLIN may present a concise action that opens or accesses the linked content directly. The destination is the linked content itself, not the resource's Resource Details View Module.</w:t>
      </w:r>
    </w:p>
    <w:p>
      <w:pPr/>
      <w:r>
        <w:t>The application should not infer what the linked content depicts or means beyond metadata explicitly supplied by the source. This pattern is useful because it exposes a capability already present in the representation without overloading the surrounding resource-navigation semantics. It may be reused for other source-provided links when the relationship and destination are explicit, reliable, and useful to the module's workflow.</w:t>
      </w:r>
    </w:p>
    <w:p>
      <w:pPr>
        <w:pStyle w:val="Heading2"/>
      </w:pPr>
      <w:r>
        <w:t>6.5 Derived Guidance: Keep Selection and Navigation Distinct</w:t>
      </w:r>
    </w:p>
    <w:p>
      <w:pPr>
        <w:pStyle w:val="NarrativeLead"/>
      </w:pPr>
      <w:r>
        <w:t>Selection and navigation support different user intentions and should not be collapsed into the same default gesture without a deliberate module-specific reason. Selection typically builds a working set for comparison, batch action, or downstream handoff, while navigation changes the user's focus to another resource, source, or content item. Conflating them can make dense analytical interfaces unpredictable and can cause accidental context changes.</w:t>
      </w:r>
    </w:p>
    <w:p>
      <w:pPr/>
      <w:r>
        <w:t>A row, map feature, feed item, or other resource representation may therefore expose both a selection affordance and one or more links without treating the entire surface as one ambiguous click target. Modules may choose different controls, but the distinction in meaning is a useful cross-module design guideline when both intentions are present. This guidance is derived from the Resource Discovery design and becomes a requirement for another module only when that module deliberately adopts it.</w:t>
      </w:r>
    </w:p>
    <w:p>
      <w:pPr>
        <w:pStyle w:val="Heading2"/>
      </w:pPr>
      <w:r>
        <w:t>6.6 Derived Guidance: Avoid Hyperlink Soup</w:t>
      </w:r>
    </w:p>
    <w:p>
      <w:pPr>
        <w:pStyle w:val="NarrativeLead"/>
      </w:pPr>
      <w:r>
        <w:t>Clickable text is useful only when users can predict that it represents a meaningful destination. MERLIN should not turn every identifier, URI-looking string, classification, or descriptive value into a link merely because it is technically possible. Excessive linking makes dense interfaces harder to scan and weakens the distinction between navigation and ordinary data.</w:t>
      </w:r>
    </w:p>
    <w:p>
      <w:pPr/>
      <w:r>
        <w:t>A link should correspond to a known navigable resource, source, or content destination with reliable identity and a clear user purpose. When the target is uncertain or the value is primarily descriptive, ordinary text is preferable. This restraint is guide-derived cross-module advice rather than a universal acceptance criterion from MERLIN-932, and future PBIs should adopt it explicitly when it fits their interaction model.</w:t>
      </w:r>
    </w:p>
    <w:p>
      <w:pPr>
        <w:pStyle w:val="Heading1"/>
      </w:pPr>
      <w:r>
        <w:t>7. Cross-Module Reuse Guidance</w:t>
      </w:r>
    </w:p>
    <w:p>
      <w:pPr>
        <w:pStyle w:val="NarrativeLead"/>
      </w:pPr>
      <w:r>
        <w:t>Cross-module consistency should preserve semantic identity without forcing every View Module to use the same layout or control. A Status concept might appear as a table value, colored badge, feed attribute, report field, or map-popup label depending on the workflow, yet it should still carry the same source mapping and resource-specific meaning. The goal is for users to recognize the concept across MERLIN even when the visual treatment changes.</w:t>
      </w:r>
    </w:p>
    <w:p>
      <w:pPr/>
      <w:r>
        <w:t>Reuse should therefore focus on meaning, terminology, mappings, and interaction expectations rather than pixel-level uniformity. A module may omit a concept that is irrelevant to its task, emphasize it differently, or combine it with other workflow-specific information so long as it does not silently redefine the concept. When a module genuinely needs a different semantic concept, that difference should be named and justified instead of being hidden behind a familiar label.</w:t>
      </w:r>
    </w:p>
    <w:p>
      <w:pPr/>
      <w:r>
        <w:t>The table below illustrates how established concepts can migrate across module types while preserving their semantic core. These examples are illustrative only and do not create requirements for the future modules named in the table; each future PBI must decide which patterns actually apply to its workflow. Future PBI authors should use the examples as patterns rather than prescriptions and should document any deliberate departure that could affect user understanding or another module's interpretation. This approach allows MERLIN to grow in capability without fragmenting its application vocabulary.</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shd w:fill="1F4E78"/>
            <w:vAlign w:val="top"/>
          </w:tcPr>
          <w:p>
            <w:pPr>
              <w:spacing w:after="40" w:line="240" w:lineRule="auto"/>
            </w:pPr>
            <w:r>
              <w:rPr>
                <w:b/>
                <w:color w:val="FFFFFF"/>
              </w:rPr>
              <w:t>Module context</w:t>
            </w:r>
          </w:p>
        </w:tc>
        <w:tc>
          <w:tcPr>
            <w:tcW w:type="dxa" w:w="2520"/>
            <w:shd w:fill="1F4E78"/>
            <w:vAlign w:val="top"/>
          </w:tcPr>
          <w:p>
            <w:pPr>
              <w:spacing w:after="40" w:line="240" w:lineRule="auto"/>
            </w:pPr>
            <w:r>
              <w:rPr>
                <w:b/>
                <w:color w:val="FFFFFF"/>
              </w:rPr>
              <w:t>Possible reuse</w:t>
            </w:r>
          </w:p>
        </w:tc>
        <w:tc>
          <w:tcPr>
            <w:tcW w:type="dxa" w:w="2520"/>
            <w:shd w:fill="1F4E78"/>
            <w:vAlign w:val="top"/>
          </w:tcPr>
          <w:p>
            <w:pPr>
              <w:spacing w:after="40" w:line="240" w:lineRule="auto"/>
            </w:pPr>
            <w:r>
              <w:rPr>
                <w:b/>
                <w:color w:val="FFFFFF"/>
              </w:rPr>
              <w:t>Example presentation</w:t>
            </w:r>
          </w:p>
        </w:tc>
        <w:tc>
          <w:tcPr>
            <w:tcW w:type="dxa" w:w="2520"/>
            <w:shd w:fill="1F4E78"/>
            <w:vAlign w:val="top"/>
          </w:tcPr>
          <w:p>
            <w:pPr>
              <w:spacing w:after="40" w:line="240" w:lineRule="auto"/>
            </w:pPr>
            <w:r>
              <w:rPr>
                <w:b/>
                <w:color w:val="FFFFFF"/>
              </w:rPr>
              <w:t>Consistency requirement</w:t>
            </w:r>
          </w:p>
        </w:tc>
      </w:tr>
      <w:tr>
        <w:trPr>
          <w:cantSplit/>
        </w:trPr>
        <w:tc>
          <w:tcPr>
            <w:tcW w:type="dxa" w:w="2520"/>
            <w:tcMar>
              <w:top w:w="75" w:type="dxa"/>
              <w:start w:w="90" w:type="dxa"/>
              <w:bottom w:w="75" w:type="dxa"/>
              <w:end w:w="90" w:type="dxa"/>
            </w:tcMar>
            <w:vAlign w:val="top"/>
          </w:tcPr>
          <w:p>
            <w:pPr>
              <w:spacing w:after="40" w:line="240" w:lineRule="auto"/>
            </w:pPr>
            <w:r>
              <w:t>Map View Module</w:t>
            </w:r>
          </w:p>
        </w:tc>
        <w:tc>
          <w:tcPr>
            <w:tcW w:type="dxa" w:w="2520"/>
            <w:tcMar>
              <w:top w:w="75" w:type="dxa"/>
              <w:start w:w="90" w:type="dxa"/>
              <w:bottom w:w="75" w:type="dxa"/>
              <w:end w:w="90" w:type="dxa"/>
            </w:tcMar>
            <w:vAlign w:val="top"/>
          </w:tcPr>
          <w:p>
            <w:r>
              <w:t>Resource Type, Type Detail, Resource Symbols and Symbology, Status, System, Location</w:t>
            </w:r>
          </w:p>
        </w:tc>
        <w:tc>
          <w:tcPr>
            <w:tcW w:type="dxa" w:w="2520"/>
            <w:tcMar>
              <w:top w:w="75" w:type="dxa"/>
              <w:start w:w="90" w:type="dxa"/>
              <w:bottom w:w="75" w:type="dxa"/>
              <w:end w:w="90" w:type="dxa"/>
            </w:tcMar>
            <w:vAlign w:val="top"/>
          </w:tcPr>
          <w:p>
            <w:r>
              <w:t>Legend categories, source/profile-driven symbols, popup labels, status badge, relationship links</w:t>
            </w:r>
          </w:p>
        </w:tc>
        <w:tc>
          <w:tcPr>
            <w:tcW w:type="dxa" w:w="2520"/>
            <w:tcMar>
              <w:top w:w="75" w:type="dxa"/>
              <w:start w:w="90" w:type="dxa"/>
              <w:bottom w:w="75" w:type="dxa"/>
              <w:end w:w="90" w:type="dxa"/>
            </w:tcMar>
            <w:vAlign w:val="top"/>
          </w:tcPr>
          <w:p>
            <w:pPr>
              <w:spacing w:after="40" w:line="240" w:lineRule="auto"/>
            </w:pPr>
            <w:r>
              <w:t>Use the same MERLIN concept names/mappings even if the table column is absent.</w:t>
            </w:r>
          </w:p>
        </w:tc>
      </w:tr>
      <w:tr>
        <w:trPr>
          <w:cantSplit/>
        </w:trPr>
        <w:tc>
          <w:tcPr>
            <w:tcW w:type="dxa" w:w="2520"/>
            <w:tcMar>
              <w:top w:w="75" w:type="dxa"/>
              <w:start w:w="90" w:type="dxa"/>
              <w:bottom w:w="75" w:type="dxa"/>
              <w:end w:w="90" w:type="dxa"/>
            </w:tcMar>
            <w:vAlign w:val="top"/>
          </w:tcPr>
          <w:p>
            <w:pPr>
              <w:spacing w:after="40" w:line="240" w:lineRule="auto"/>
            </w:pPr>
            <w:r>
              <w:t>Feed View Module</w:t>
            </w:r>
          </w:p>
        </w:tc>
        <w:tc>
          <w:tcPr>
            <w:tcW w:type="dxa" w:w="2520"/>
            <w:tcMar>
              <w:top w:w="75" w:type="dxa"/>
              <w:start w:w="90" w:type="dxa"/>
              <w:bottom w:w="75" w:type="dxa"/>
              <w:end w:w="90" w:type="dxa"/>
            </w:tcMar>
            <w:vAlign w:val="top"/>
          </w:tcPr>
          <w:p>
            <w:pPr>
              <w:spacing w:after="40" w:line="240" w:lineRule="auto"/>
            </w:pPr>
            <w:r>
              <w:t>Start/End Time, Result / Issue Time, Status, Result / Parameters / Message</w:t>
            </w:r>
          </w:p>
        </w:tc>
        <w:tc>
          <w:tcPr>
            <w:tcW w:type="dxa" w:w="2520"/>
            <w:tcMar>
              <w:top w:w="75" w:type="dxa"/>
              <w:start w:w="90" w:type="dxa"/>
              <w:bottom w:w="75" w:type="dxa"/>
              <w:end w:w="90" w:type="dxa"/>
            </w:tcMar>
            <w:vAlign w:val="top"/>
          </w:tcPr>
          <w:p>
            <w:pPr>
              <w:spacing w:after="40" w:line="240" w:lineRule="auto"/>
            </w:pPr>
            <w:r>
              <w:t>Timestamp labels, badges, occurrence-content snippet</w:t>
            </w:r>
          </w:p>
        </w:tc>
        <w:tc>
          <w:tcPr>
            <w:tcW w:type="dxa" w:w="2520"/>
            <w:tcMar>
              <w:top w:w="75" w:type="dxa"/>
              <w:start w:w="90" w:type="dxa"/>
              <w:bottom w:w="75" w:type="dxa"/>
              <w:end w:w="90" w:type="dxa"/>
            </w:tcMar>
            <w:vAlign w:val="top"/>
          </w:tcPr>
          <w:p>
            <w:pPr>
              <w:spacing w:after="40" w:line="240" w:lineRule="auto"/>
            </w:pPr>
            <w:r>
              <w:t>Preserve which underlying time/content semantic applies to each resource.</w:t>
            </w:r>
          </w:p>
        </w:tc>
      </w:tr>
      <w:tr>
        <w:trPr>
          <w:cantSplit/>
        </w:trPr>
        <w:tc>
          <w:tcPr>
            <w:tcW w:type="dxa" w:w="2520"/>
            <w:tcMar>
              <w:top w:w="75" w:type="dxa"/>
              <w:start w:w="90" w:type="dxa"/>
              <w:bottom w:w="75" w:type="dxa"/>
              <w:end w:w="90" w:type="dxa"/>
            </w:tcMar>
            <w:vAlign w:val="top"/>
          </w:tcPr>
          <w:p>
            <w:pPr>
              <w:spacing w:after="40" w:line="240" w:lineRule="auto"/>
            </w:pPr>
            <w:r>
              <w:t>Reporting View Module</w:t>
            </w:r>
          </w:p>
        </w:tc>
        <w:tc>
          <w:tcPr>
            <w:tcW w:type="dxa" w:w="2520"/>
            <w:tcMar>
              <w:top w:w="75" w:type="dxa"/>
              <w:start w:w="90" w:type="dxa"/>
              <w:bottom w:w="75" w:type="dxa"/>
              <w:end w:w="90" w:type="dxa"/>
            </w:tcMar>
            <w:vAlign w:val="top"/>
          </w:tcPr>
          <w:p>
            <w:pPr>
              <w:spacing w:after="40" w:line="240" w:lineRule="auto"/>
            </w:pPr>
            <w:r>
              <w:t>Resource Type, System, Properties, Status, Source</w:t>
            </w:r>
          </w:p>
        </w:tc>
        <w:tc>
          <w:tcPr>
            <w:tcW w:type="dxa" w:w="2520"/>
            <w:tcMar>
              <w:top w:w="75" w:type="dxa"/>
              <w:start w:w="90" w:type="dxa"/>
              <w:bottom w:w="75" w:type="dxa"/>
              <w:end w:w="90" w:type="dxa"/>
            </w:tcMar>
            <w:vAlign w:val="top"/>
          </w:tcPr>
          <w:p>
            <w:pPr>
              <w:spacing w:after="40" w:line="240" w:lineRule="auto"/>
            </w:pPr>
            <w:r>
              <w:t>Report fields, grouping, provenance block</w:t>
            </w:r>
          </w:p>
        </w:tc>
        <w:tc>
          <w:tcPr>
            <w:tcW w:type="dxa" w:w="2520"/>
            <w:tcMar>
              <w:top w:w="75" w:type="dxa"/>
              <w:start w:w="90" w:type="dxa"/>
              <w:bottom w:w="75" w:type="dxa"/>
              <w:end w:w="90" w:type="dxa"/>
            </w:tcMar>
            <w:vAlign w:val="top"/>
          </w:tcPr>
          <w:p>
            <w:pPr>
              <w:spacing w:after="40" w:line="240" w:lineRule="auto"/>
            </w:pPr>
            <w:r>
              <w:t>Use established mappings; do not create alternate labels that imply different semantics.</w:t>
            </w:r>
          </w:p>
        </w:tc>
      </w:tr>
      <w:tr>
        <w:trPr>
          <w:cantSplit/>
        </w:trPr>
        <w:tc>
          <w:tcPr>
            <w:tcW w:type="dxa" w:w="2520"/>
            <w:tcMar>
              <w:top w:w="75" w:type="dxa"/>
              <w:start w:w="90" w:type="dxa"/>
              <w:bottom w:w="75" w:type="dxa"/>
              <w:end w:w="90" w:type="dxa"/>
            </w:tcMar>
            <w:vAlign w:val="top"/>
          </w:tcPr>
          <w:p>
            <w:pPr>
              <w:spacing w:after="40" w:line="240" w:lineRule="auto"/>
            </w:pPr>
            <w:r>
              <w:t>Resource Details View Module</w:t>
            </w:r>
          </w:p>
        </w:tc>
        <w:tc>
          <w:tcPr>
            <w:tcW w:type="dxa" w:w="2520"/>
            <w:tcMar>
              <w:top w:w="75" w:type="dxa"/>
              <w:start w:w="90" w:type="dxa"/>
              <w:bottom w:w="75" w:type="dxa"/>
              <w:end w:w="90" w:type="dxa"/>
            </w:tcMar>
            <w:vAlign w:val="top"/>
          </w:tcPr>
          <w:p>
            <w:pPr>
              <w:spacing w:after="40" w:line="240" w:lineRule="auto"/>
            </w:pPr>
            <w:r>
              <w:t>All applicable concepts plus source-specific detail</w:t>
            </w:r>
          </w:p>
        </w:tc>
        <w:tc>
          <w:tcPr>
            <w:tcW w:type="dxa" w:w="2520"/>
            <w:tcMar>
              <w:top w:w="75" w:type="dxa"/>
              <w:start w:w="90" w:type="dxa"/>
              <w:bottom w:w="75" w:type="dxa"/>
              <w:end w:w="90" w:type="dxa"/>
            </w:tcMar>
            <w:vAlign w:val="top"/>
          </w:tcPr>
          <w:p>
            <w:pPr>
              <w:spacing w:after="40" w:line="240" w:lineRule="auto"/>
            </w:pPr>
            <w:r>
              <w:t>Section headings and relationship navigation</w:t>
            </w:r>
          </w:p>
        </w:tc>
        <w:tc>
          <w:tcPr>
            <w:tcW w:type="dxa" w:w="2520"/>
            <w:tcMar>
              <w:top w:w="75" w:type="dxa"/>
              <w:start w:w="90" w:type="dxa"/>
              <w:bottom w:w="75" w:type="dxa"/>
              <w:end w:w="90" w:type="dxa"/>
            </w:tcMar>
            <w:vAlign w:val="top"/>
          </w:tcPr>
          <w:p>
            <w:pPr>
              <w:spacing w:after="40" w:line="240" w:lineRule="auto"/>
            </w:pPr>
            <w:r>
              <w:t>Details may expose more specificity, but shared MERLIN concepts should remain recognizable.</w:t>
            </w:r>
          </w:p>
        </w:tc>
      </w:tr>
      <w:tr>
        <w:trPr>
          <w:cantSplit/>
        </w:trPr>
        <w:tc>
          <w:tcPr>
            <w:tcW w:type="dxa" w:w="2520"/>
            <w:tcMar>
              <w:top w:w="75" w:type="dxa"/>
              <w:start w:w="90" w:type="dxa"/>
              <w:bottom w:w="75" w:type="dxa"/>
              <w:end w:w="90" w:type="dxa"/>
            </w:tcMar>
            <w:vAlign w:val="top"/>
          </w:tcPr>
          <w:p>
            <w:pPr>
              <w:spacing w:after="40" w:line="240" w:lineRule="auto"/>
            </w:pPr>
            <w:r>
              <w:t>TBAV / analytic views</w:t>
            </w:r>
          </w:p>
        </w:tc>
        <w:tc>
          <w:tcPr>
            <w:tcW w:type="dxa" w:w="2520"/>
            <w:tcMar>
              <w:top w:w="75" w:type="dxa"/>
              <w:start w:w="90" w:type="dxa"/>
              <w:bottom w:w="75" w:type="dxa"/>
              <w:end w:w="90" w:type="dxa"/>
            </w:tcMar>
            <w:vAlign w:val="top"/>
          </w:tcPr>
          <w:p>
            <w:pPr>
              <w:spacing w:after="40" w:line="240" w:lineRule="auto"/>
            </w:pPr>
            <w:r>
              <w:t>System, Stream, Properties, time concepts, Source</w:t>
            </w:r>
          </w:p>
        </w:tc>
        <w:tc>
          <w:tcPr>
            <w:tcW w:type="dxa" w:w="2520"/>
            <w:tcMar>
              <w:top w:w="75" w:type="dxa"/>
              <w:start w:w="90" w:type="dxa"/>
              <w:bottom w:w="75" w:type="dxa"/>
              <w:end w:w="90" w:type="dxa"/>
            </w:tcMar>
            <w:vAlign w:val="top"/>
          </w:tcPr>
          <w:p>
            <w:r>
              <w:t>Context panels, capability-supported filters, view labels</w:t>
            </w:r>
          </w:p>
        </w:tc>
        <w:tc>
          <w:tcPr>
            <w:tcW w:type="dxa" w:w="2520"/>
            <w:tcMar>
              <w:top w:w="75" w:type="dxa"/>
              <w:start w:w="90" w:type="dxa"/>
              <w:bottom w:w="75" w:type="dxa"/>
              <w:end w:w="90" w:type="dxa"/>
            </w:tcMar>
            <w:vAlign w:val="top"/>
          </w:tcPr>
          <w:p>
            <w:pPr>
              <w:spacing w:after="40" w:line="240" w:lineRule="auto"/>
            </w:pPr>
            <w:r>
              <w:t>Reuse shared terms where they answer the same user task; preserve domain-specific detail where required.</w:t>
            </w:r>
          </w:p>
        </w:tc>
      </w:tr>
      <w:tr>
        <w:trPr>
          <w:cantSplit/>
        </w:trPr>
        <w:tc>
          <w:tcPr>
            <w:tcW w:type="dxa" w:w="2520"/>
            <w:tcMar>
              <w:top w:w="75" w:type="dxa"/>
              <w:start w:w="90" w:type="dxa"/>
              <w:bottom w:w="75" w:type="dxa"/>
              <w:end w:w="90" w:type="dxa"/>
            </w:tcMar>
            <w:vAlign w:val="top"/>
          </w:tcPr>
          <w:p>
            <w:pPr>
              <w:spacing w:after="40" w:line="240" w:lineRule="auto"/>
            </w:pPr>
            <w:r>
              <w:t>Spectrogram / Video View Modules</w:t>
            </w:r>
          </w:p>
        </w:tc>
        <w:tc>
          <w:tcPr>
            <w:tcW w:type="dxa" w:w="2520"/>
            <w:tcMar>
              <w:top w:w="75" w:type="dxa"/>
              <w:start w:w="90" w:type="dxa"/>
              <w:bottom w:w="75" w:type="dxa"/>
              <w:end w:w="90" w:type="dxa"/>
            </w:tcMar>
            <w:vAlign w:val="top"/>
          </w:tcPr>
          <w:p>
            <w:pPr>
              <w:spacing w:after="40" w:line="240" w:lineRule="auto"/>
            </w:pPr>
            <w:r>
              <w:t>System, Stream, Source, temporal context</w:t>
            </w:r>
          </w:p>
        </w:tc>
        <w:tc>
          <w:tcPr>
            <w:tcW w:type="dxa" w:w="2520"/>
            <w:tcMar>
              <w:top w:w="75" w:type="dxa"/>
              <w:start w:w="90" w:type="dxa"/>
              <w:bottom w:w="75" w:type="dxa"/>
              <w:end w:w="90" w:type="dxa"/>
            </w:tcMar>
            <w:vAlign w:val="top"/>
          </w:tcPr>
          <w:p>
            <w:pPr>
              <w:spacing w:after="40" w:line="240" w:lineRule="auto"/>
            </w:pPr>
            <w:r>
              <w:t>Context header, handoff provenance</w:t>
            </w:r>
          </w:p>
        </w:tc>
        <w:tc>
          <w:tcPr>
            <w:tcW w:type="dxa" w:w="2520"/>
            <w:tcMar>
              <w:top w:w="75" w:type="dxa"/>
              <w:start w:w="90" w:type="dxa"/>
              <w:bottom w:w="75" w:type="dxa"/>
              <w:end w:w="90" w:type="dxa"/>
            </w:tcMar>
            <w:vAlign w:val="top"/>
          </w:tcPr>
          <w:p>
            <w:pPr>
              <w:spacing w:after="40" w:line="240" w:lineRule="auto"/>
            </w:pPr>
            <w:r>
              <w:t>Do not rename the same relationship merely because the visualization differs.</w:t>
            </w:r>
          </w:p>
        </w:tc>
      </w:tr>
    </w:tbl>
    <w:p>
      <w:pPr>
        <w:pStyle w:val="Heading1"/>
      </w:pPr>
      <w:r>
        <w:t>8. Governance and Maintenance</w:t>
      </w:r>
    </w:p>
    <w:p>
      <w:pPr>
        <w:pStyle w:val="NarrativeLead"/>
      </w:pPr>
      <w:r>
        <w:t>The guide will remain useful only if semantic decisions are maintained as shared application assets rather than copied into isolated PBIs and allowed to drift. Governance should be lightweight enough to support normal product development but explicit enough that changes to established concepts are visible to teams working on other modules. The guide should therefore function as a living semantic pattern registry rather than a static historical artifact.</w:t>
      </w:r>
    </w:p>
    <w:p>
      <w:pPr/>
      <w:r>
        <w:t>Maintenance should occur when a new cross-module concept is deliberately established, an existing mapping changes, a new standard/profile materially affects a pattern, or an interaction rule becomes broadly reusable. Routine visual changes inside one module do not require a guide update unless they alter the meaning or expected interaction. The objective is not bureaucratic approval; it is preserving a shared application language that future designers can trust.</w:t>
      </w:r>
    </w:p>
    <w:p>
      <w:pPr>
        <w:pStyle w:val="Heading2"/>
      </w:pPr>
      <w:r>
        <w:t>8.1 Before a New Module Invents a Label</w:t>
      </w:r>
    </w:p>
    <w:p>
      <w:pPr>
        <w:pStyle w:val="NarrativeLead"/>
      </w:pPr>
      <w:r>
        <w:t>New module design should begin by checking the established pattern catalog rather than assuming that a new screen requires new terminology. If an existing concept already serves the same human-facing role with compatible source semantics, reuse normally provides the most coherent user experience and reduces duplicate design work. The catalog, decision method, and non-consolidation guardrails together provide the evidence needed to make that determination.</w:t>
      </w:r>
    </w:p>
    <w:p>
      <w:pPr/>
      <w:r>
        <w:t>When no existing pattern fits, the module team should document the proposed concept, its source mappings, its functional analogy if one exists, and the distinctions that must remain visible. The bullets below provide a practical sequence for doing that review. A new label should become shared application vocabulary only after this reasoning is explicit enough for other modules to understand and reuse.</w:t>
      </w:r>
    </w:p>
    <w:p>
      <w:pPr>
        <w:pStyle w:val="ListBullet"/>
        <w:spacing w:after="60"/>
      </w:pPr>
      <w:r>
        <w:t>Search the established pattern catalog for an existing concept with the same human-facing role.</w:t>
      </w:r>
    </w:p>
    <w:p>
      <w:pPr>
        <w:pStyle w:val="ListBullet"/>
        <w:spacing w:after="60"/>
      </w:pPr>
      <w:r>
        <w:t>If one exists, reuse it unless the module has a documented semantic reason not to.</w:t>
      </w:r>
    </w:p>
    <w:p>
      <w:pPr>
        <w:pStyle w:val="ListBullet"/>
        <w:spacing w:after="60"/>
      </w:pPr>
      <w:r>
        <w:t>If no pattern fits, apply the decision method in Section 4 before creating a new shared concept.</w:t>
      </w:r>
    </w:p>
    <w:p>
      <w:pPr>
        <w:pStyle w:val="ListBullet"/>
        <w:spacing w:after="60"/>
      </w:pPr>
      <w:r>
        <w:t>Record the source mappings and semantic distinctions explicitly.</w:t>
      </w:r>
    </w:p>
    <w:p>
      <w:pPr>
        <w:pStyle w:val="ListBullet"/>
        <w:spacing w:after="60"/>
      </w:pPr>
      <w:r>
        <w:t>Identify which existing modules would be affected by a changed definition or label.</w:t>
      </w:r>
    </w:p>
    <w:p>
      <w:pPr>
        <w:pStyle w:val="Heading2"/>
      </w:pPr>
      <w:r>
        <w:t>8.2 Changes to an Established Pattern</w:t>
      </w:r>
    </w:p>
    <w:p>
      <w:pPr>
        <w:pStyle w:val="NarrativeLead"/>
      </w:pPr>
      <w:r>
        <w:t>Once a concept is reused across modules, changing its label, mapping, or meaning can affect multiple workflows even if the proposed change begins in only one PBI. Such changes should therefore be treated as application-wide semantic changes rather than local UI cleanup. The first step is to identify which modules, filters, reports, navigation behaviors, or saved layouts depend on the existing concept.</w:t>
      </w:r>
    </w:p>
    <w:p>
      <w:pPr/>
      <w:r>
        <w:t>A change may still be appropriate when new evidence, standards revisions, or operational use reveals a flaw in the original pattern. In that case the guide should record the revised definition, the reason for the change, and any compatibility or migration considerations. Silent divergence is the outcome to avoid: if one module needs a genuinely different concept, it should receive a different name rather than quietly redefining the established one.</w:t>
      </w:r>
    </w:p>
    <w:p>
      <w:pPr>
        <w:pStyle w:val="Heading2"/>
      </w:pPr>
      <w:r>
        <w:t>8.3 When a Profile May Be the Better Home</w:t>
      </w:r>
    </w:p>
    <w:p>
      <w:pPr>
        <w:pStyle w:val="NarrativeLead"/>
      </w:pPr>
      <w:r>
        <w:t>A presentation convention is insufficient when correct and interoperable behavior depends on information that servers do not reliably expose. If independent clients need the same machine-readable semantics to choose the same symbol, apply the same query predicate, interpret the same result structure, or resolve the same authoritative relationship, the need may belong in a profile or standards extension rather than in MERLIN-only logic. This is a semantic ownership question, not merely an implementation preference.</w:t>
      </w:r>
    </w:p>
    <w:p>
      <w:pPr/>
      <w:r>
        <w:t>Profile work is particularly appropriate when the source is the authoritative holder of the required meaning and inconsistent client inference would produce materially different results. Examples from current MERLIN research include more specific interoperable symbology inputs and time-aware Observation spatial discovery through Sampling Feature context. By contrast, a stable label or presentation mapping derived from semantics already exposed by the source can remain an application-level concern.</w:t>
      </w:r>
    </w:p>
    <w:p>
      <w:pPr/>
      <w:r>
        <w:t>The boundary is not always binary. MERLIN may need a bounded fallback for base-standard or legacy servers while a defense profile defines the preferred future behavior, or a client may enrich presentation from optional profile information when available. The important requirement is to state which layer owns the authoritative semantics and to avoid allowing a useful MERLIN workaround to become an undocumented substitute for interoperable source behavior.</w:t>
      </w:r>
    </w:p>
    <w:p>
      <w:pPr>
        <w:pStyle w:val="Heading2"/>
      </w:pPr>
      <w:r>
        <w:t>8.4 Pattern Proposal Template</w:t>
      </w:r>
    </w:p>
    <w:p>
      <w:pPr>
        <w:pStyle w:val="NarrativeLead"/>
      </w:pPr>
      <w:r>
        <w:t>The proposal template gives future designers a compact structure for documenting a candidate shared concept before it becomes part of MERLIN's application vocabulary. It prompts the author to identify the user-facing role, source mappings, analogy, guardrails, reuse contexts, and architectural boundary rather than proposing only a label. Completing the template should make it possible for another module team to understand both the value of the concept and the conditions under which it is safe to reuse.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AF7"/>
            <w:tcMar>
              <w:top w:w="90" w:type="dxa"/>
              <w:start w:w="110" w:type="dxa"/>
              <w:bottom w:w="90" w:type="dxa"/>
              <w:end w:w="110" w:type="dxa"/>
            </w:tcMar>
            <w:vAlign w:val="top"/>
          </w:tcPr>
          <w:p>
            <w:pPr>
              <w:spacing w:after="40" w:line="240" w:lineRule="auto"/>
            </w:pPr>
            <w:r>
              <w:rPr>
                <w:b/>
              </w:rPr>
              <w:t>Proposed MERLIN concept</w:t>
            </w:r>
          </w:p>
        </w:tc>
        <w:tc>
          <w:tcPr>
            <w:tcW w:type="dxa" w:w="5040"/>
            <w:tcMar>
              <w:top w:w="90" w:type="dxa"/>
              <w:start w:w="110" w:type="dxa"/>
              <w:bottom w:w="90" w:type="dxa"/>
              <w:end w:w="110" w:type="dxa"/>
            </w:tcMar>
            <w:vAlign w:val="top"/>
          </w:tcPr>
          <w:p>
            <w:pPr>
              <w:spacing w:after="40" w:line="240" w:lineRule="auto"/>
            </w:pPr>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User-facing question / task</w:t>
            </w:r>
          </w:p>
        </w:tc>
        <w:tc>
          <w:tcPr>
            <w:tcW w:type="dxa" w:w="5040"/>
            <w:tcMar>
              <w:top w:w="90" w:type="dxa"/>
              <w:start w:w="110" w:type="dxa"/>
              <w:bottom w:w="90" w:type="dxa"/>
              <w:end w:w="110" w:type="dxa"/>
            </w:tcMar>
            <w:vAlign w:val="top"/>
          </w:tcPr>
          <w:p>
            <w:pPr>
              <w:spacing w:after="40" w:line="240" w:lineRule="auto"/>
            </w:pPr>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Source fields / associations</w:t>
            </w:r>
          </w:p>
        </w:tc>
        <w:tc>
          <w:tcPr>
            <w:tcW w:type="dxa" w:w="5040"/>
            <w:tcMar>
              <w:top w:w="90" w:type="dxa"/>
              <w:start w:w="110" w:type="dxa"/>
              <w:bottom w:w="90" w:type="dxa"/>
              <w:end w:w="110" w:type="dxa"/>
            </w:tcMar>
            <w:vAlign w:val="top"/>
          </w:tcPr>
          <w:p>
            <w:pPr>
              <w:spacing w:after="40" w:line="240" w:lineRule="auto"/>
            </w:pPr>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Why consolidation helps</w:t>
            </w:r>
          </w:p>
        </w:tc>
        <w:tc>
          <w:tcPr>
            <w:tcW w:type="dxa" w:w="5040"/>
            <w:tcMar>
              <w:top w:w="90" w:type="dxa"/>
              <w:start w:w="110" w:type="dxa"/>
              <w:bottom w:w="90" w:type="dxa"/>
              <w:end w:w="110" w:type="dxa"/>
            </w:tcMar>
            <w:vAlign w:val="top"/>
          </w:tcPr>
          <w:p>
            <w:pPr>
              <w:spacing w:after="40" w:line="240" w:lineRule="auto"/>
            </w:pPr>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Differences that must be preserved</w:t>
            </w:r>
          </w:p>
        </w:tc>
        <w:tc>
          <w:tcPr>
            <w:tcW w:type="dxa" w:w="5040"/>
            <w:tcMar>
              <w:top w:w="90" w:type="dxa"/>
              <w:start w:w="110" w:type="dxa"/>
              <w:bottom w:w="90" w:type="dxa"/>
              <w:end w:w="110" w:type="dxa"/>
            </w:tcMar>
            <w:vAlign w:val="top"/>
          </w:tcPr>
          <w:p>
            <w:pPr>
              <w:spacing w:after="40" w:line="240" w:lineRule="auto"/>
            </w:pPr>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Applicable modules / resource types</w:t>
            </w:r>
          </w:p>
        </w:tc>
        <w:tc>
          <w:tcPr>
            <w:tcW w:type="dxa" w:w="5040"/>
            <w:tcMar>
              <w:top w:w="90" w:type="dxa"/>
              <w:start w:w="110" w:type="dxa"/>
              <w:bottom w:w="90" w:type="dxa"/>
              <w:end w:w="110" w:type="dxa"/>
            </w:tcMar>
            <w:vAlign w:val="top"/>
          </w:tcPr>
          <w:p>
            <w:pPr>
              <w:spacing w:after="40" w:line="240" w:lineRule="auto"/>
            </w:pPr>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Interaction behavior, if any</w:t>
            </w:r>
          </w:p>
        </w:tc>
        <w:tc>
          <w:tcPr>
            <w:tcW w:type="dxa" w:w="5040"/>
            <w:tcMar>
              <w:top w:w="90" w:type="dxa"/>
              <w:start w:w="110" w:type="dxa"/>
              <w:bottom w:w="90" w:type="dxa"/>
              <w:end w:w="110" w:type="dxa"/>
            </w:tcMar>
            <w:vAlign w:val="top"/>
          </w:tcPr>
          <w:p>
            <w:pPr>
              <w:spacing w:after="40" w:line="240" w:lineRule="auto"/>
            </w:pPr>
            <w:r/>
          </w:p>
        </w:tc>
      </w:tr>
      <w:tr>
        <w:trPr>
          <w:cantSplit/>
        </w:trPr>
        <w:tc>
          <w:tcPr>
            <w:tcW w:type="dxa" w:w="5040"/>
            <w:shd w:fill="D9EAF7"/>
            <w:tcMar>
              <w:top w:w="90" w:type="dxa"/>
              <w:start w:w="110" w:type="dxa"/>
              <w:bottom w:w="90" w:type="dxa"/>
              <w:end w:w="110" w:type="dxa"/>
            </w:tcMar>
            <w:vAlign w:val="top"/>
          </w:tcPr>
          <w:p>
            <w:pPr>
              <w:spacing w:after="40" w:line="240" w:lineRule="auto"/>
            </w:pPr>
            <w:r>
              <w:rPr>
                <w:b/>
              </w:rPr>
              <w:t>Profile/enrichment dependency</w:t>
            </w:r>
          </w:p>
        </w:tc>
        <w:tc>
          <w:tcPr>
            <w:tcW w:type="dxa" w:w="5040"/>
            <w:tcMar>
              <w:top w:w="90" w:type="dxa"/>
              <w:start w:w="110" w:type="dxa"/>
              <w:bottom w:w="90" w:type="dxa"/>
              <w:end w:w="110" w:type="dxa"/>
            </w:tcMar>
            <w:vAlign w:val="top"/>
          </w:tcPr>
          <w:p>
            <w:pPr>
              <w:spacing w:after="40" w:line="240" w:lineRule="auto"/>
            </w:pPr>
            <w:r/>
          </w:p>
        </w:tc>
      </w:tr>
    </w:tbl>
    <w:p>
      <w:pPr>
        <w:pStyle w:val="Heading1"/>
      </w:pPr>
      <w:r>
        <w:t>9. PBI / Design Review Checklist</w:t>
      </w:r>
    </w:p>
    <w:p>
      <w:pPr>
        <w:pStyle w:val="NarrativeLead"/>
      </w:pPr>
      <w:r>
        <w:t>The checklist translates the guide into practical review questions that can be applied during PBI drafting, refinement, and design review. It is intended to catch semantic drift early, before a local naming or interaction decision becomes embedded in code and reused elsewhere. A negative answer does not automatically block the design, but it should trigger an explicit explanation of the exception or a return to the decision method in Section 4.</w:t>
      </w:r>
    </w:p>
    <w:p>
      <w:pPr>
        <w:spacing w:after="80"/>
      </w:pPr>
      <w:r>
        <w:rPr>
          <w:rFonts w:ascii="Segoe UI Symbol" w:hAnsi="Segoe UI Symbol"/>
          <w:sz w:val="21"/>
        </w:rPr>
        <w:t xml:space="preserve">☐ </w:t>
      </w:r>
      <w:r>
        <w:t>Does the module reuse established MERLIN terminology when it presents the same semantic role?</w:t>
      </w:r>
    </w:p>
    <w:p>
      <w:pPr>
        <w:spacing w:after="80"/>
      </w:pPr>
      <w:r>
        <w:rPr>
          <w:rFonts w:ascii="Segoe UI Symbol" w:hAnsi="Segoe UI Symbol"/>
          <w:sz w:val="21"/>
        </w:rPr>
        <w:t xml:space="preserve">☐ </w:t>
      </w:r>
      <w:r>
        <w:t>If a new shared concept is proposed, is the functional analogy explicit and defensible?</w:t>
      </w:r>
    </w:p>
    <w:p>
      <w:pPr>
        <w:spacing w:after="80"/>
      </w:pPr>
      <w:r>
        <w:rPr>
          <w:rFonts w:ascii="Segoe UI Symbol" w:hAnsi="Segoe UI Symbol"/>
          <w:sz w:val="21"/>
        </w:rPr>
        <w:t xml:space="preserve">☐ </w:t>
      </w:r>
      <w:r>
        <w:t>Are the underlying source fields/associations recorded?</w:t>
      </w:r>
    </w:p>
    <w:p>
      <w:pPr>
        <w:spacing w:after="80"/>
      </w:pPr>
      <w:r>
        <w:rPr>
          <w:rFonts w:ascii="Segoe UI Symbol" w:hAnsi="Segoe UI Symbol"/>
          <w:sz w:val="21"/>
        </w:rPr>
        <w:t xml:space="preserve">☐ </w:t>
      </w:r>
      <w:r>
        <w:t>Does the design preserve semantic differences rather than treating analogous fields as synonyms?</w:t>
      </w:r>
    </w:p>
    <w:p>
      <w:pPr>
        <w:spacing w:after="80"/>
      </w:pPr>
      <w:r>
        <w:rPr>
          <w:rFonts w:ascii="Segoe UI Symbol" w:hAnsi="Segoe UI Symbol"/>
          <w:sz w:val="21"/>
        </w:rPr>
        <w:t xml:space="preserve">☐ </w:t>
      </w:r>
      <w:r>
        <w:t>Is any contextual clarification needed so users can recover the source-specific meaning?</w:t>
      </w:r>
    </w:p>
    <w:p>
      <w:pPr>
        <w:spacing w:after="80"/>
      </w:pPr>
      <w:r>
        <w:rPr>
          <w:rFonts w:ascii="Segoe UI Symbol" w:hAnsi="Segoe UI Symbol"/>
          <w:sz w:val="21"/>
        </w:rPr>
        <w:t xml:space="preserve">☐ </w:t>
      </w:r>
      <w:r>
        <w:t>Is MERLIN presenting directly available information, or is the design actually asking for enrichment/relationship traversal?</w:t>
      </w:r>
    </w:p>
    <w:p>
      <w:pPr>
        <w:spacing w:after="80"/>
      </w:pPr>
      <w:r>
        <w:rPr>
          <w:rFonts w:ascii="Segoe UI Symbol" w:hAnsi="Segoe UI Symbol"/>
          <w:sz w:val="21"/>
        </w:rPr>
        <w:t xml:space="preserve">☐ </w:t>
      </w:r>
      <w:r>
        <w:t>Would another standards-compliant client need new source semantics to reproduce the behavior? If so, should this be a profile question?</w:t>
      </w:r>
    </w:p>
    <w:p>
      <w:pPr>
        <w:spacing w:after="80"/>
      </w:pPr>
      <w:r>
        <w:rPr>
          <w:rFonts w:ascii="Segoe UI Symbol" w:hAnsi="Segoe UI Symbol"/>
          <w:sz w:val="21"/>
        </w:rPr>
        <w:t xml:space="preserve">☐ </w:t>
      </w:r>
      <w:r>
        <w:t>Are navigation links used only for reliable, predictable destinations?</w:t>
      </w:r>
    </w:p>
    <w:p>
      <w:pPr>
        <w:spacing w:after="80"/>
      </w:pPr>
      <w:r>
        <w:rPr>
          <w:rFonts w:ascii="Segoe UI Symbol" w:hAnsi="Segoe UI Symbol"/>
          <w:sz w:val="21"/>
        </w:rPr>
        <w:t xml:space="preserve">☐ </w:t>
      </w:r>
      <w:r>
        <w:t>Has the design avoided inventing names, classifications, units, relationships, or semantic labels?</w:t>
      </w:r>
    </w:p>
    <w:p>
      <w:pPr/>
      <w:r>
        <w:t>☐ If a presentation concept is used as a filter, is the filter/query behavior independently supported rather than inferred from the existence of the presentation concept?</w:t>
      </w:r>
    </w:p>
    <w:p>
      <w:pPr/>
      <w:r>
        <w:t>☐ If guide-derived cross-module guidance is being made mandatory for this module, has the PBI adopted that behavior explicitly?</w:t>
      </w:r>
    </w:p>
    <w:p>
      <w:pPr>
        <w:spacing w:after="80"/>
      </w:pPr>
      <w:r>
        <w:rPr>
          <w:rFonts w:ascii="Segoe UI Symbol" w:hAnsi="Segoe UI Symbol"/>
          <w:sz w:val="21"/>
        </w:rPr>
        <w:t xml:space="preserve">☐ </w:t>
      </w:r>
      <w:r>
        <w:t>Would a change to this concept affect another module or PBI that should be reviewed for consistency?</w:t>
      </w:r>
    </w:p>
    <w:p>
      <w:pPr>
        <w:pStyle w:val="Heading1"/>
        <w:keepNext/>
      </w:pPr>
      <w:r>
        <w:t>10. Resource-Centric Application Guidance</w:t>
      </w:r>
    </w:p>
    <w:p>
      <w:pPr/>
      <w:r>
        <w:t>A resource-centric perspective asks what a user needs to understand and do when one resource becomes the focal subject. This section assembles existing patterns around that subject rather than adding another semantic catalog. It identifies recognition, context, capabilities, relationships and action boundaries that modules can reuse. Exact categories, layouts, dimensions and acceptance criteria remain decisions for the applicable PBI.</w:t>
      </w:r>
    </w:p>
    <w:p>
      <w:pPr>
        <w:pStyle w:val="Heading2"/>
        <w:keepNext/>
      </w:pPr>
      <w:r>
        <w:t>10.1 System</w:t>
      </w:r>
    </w:p>
    <w:p>
      <w:pPr/>
      <w:r>
        <w:t>A System presentation should help the user understand what this particular System represents, where and when its description applies, what it provides, and how it relates to other resources. This focal perspective is broader than Section 5.3, which defines the directly associated System concept on other resources. The guidance below applies the established catalog without changing that relationship pattern or its source mappings.</w:t>
      </w:r>
    </w:p>
    <w:p>
      <w:pPr>
        <w:pStyle w:val="Heading3"/>
        <w:keepNext/>
      </w:pPr>
      <w:r>
        <w:t>10.1.1 Recognition and Identity</w:t>
      </w:r>
    </w:p>
    <w:p>
      <w:pPr/>
      <w:r>
        <w:t>Keep the focal System recognizable as the user explores its information. Use its supplied Name when available, retain its Resource ID with the applicable Source, and distinguish any persistent Unique Identifier. An unnamed System can still be identified without an invented Name. Resource Type answers the broad question; Type Detail preserves the supplied systemType and its vocabulary, following Sections 5.1, 5.2, 5.11 and 5.12.</w:t>
      </w:r>
    </w:p>
    <w:p>
      <w:pPr/>
      <w:r>
        <w:t>Asset Type, manufacturer and model describe different aspects of a System and should remain independently understandable when provided. A System is not necessarily one physical sensor: its supplied description and supported typing may represent an actuator, sampler, platform, process or group. Do not force every System into a device-specific vocabulary, infer a role from its name, or make manufacturer-specific fields universal.</w:t>
      </w:r>
    </w:p>
    <w:p>
      <w:pPr>
        <w:pStyle w:val="Heading3"/>
        <w:keepNext/>
      </w:pPr>
      <w:r>
        <w:t>10.1.2 Description, Location and Validity</w:t>
      </w:r>
    </w:p>
    <w:p>
      <w:pPr/>
      <w:r>
        <w:t>A short description should explain the System’s purpose using source-provided information, with a clear route to fuller description and technical characteristics. Keep attributes, capabilities, reference material and identifiers distinguishable even when grouped for readability. Supported schemas or profiles can justify meaningful labels and units; a convenient display should not manufacture interpretation from unfamiliar properties.</w:t>
      </w:r>
    </w:p>
    <w:p>
      <w:pPr/>
      <w:r>
        <w:t>Apply Location as defined in Section 5.10 and preserve the meaning of validity through Section 5.7. A System’s validity interval is not automatically its operating schedule or observation coverage. Likewise, a parent’s position or Deployment area is not the focal System’s location. Where position comes from a separate report or other enrichment, identify that basis, the spatial subject and relevant time rather than silently replacing direct geometry.</w:t>
      </w:r>
    </w:p>
    <w:p>
      <w:pPr>
        <w:pStyle w:val="Heading3"/>
        <w:keepNext/>
      </w:pPr>
      <w:r>
        <w:t>10.1.3 Reported Condition and Provenance</w:t>
      </w:r>
    </w:p>
    <w:p>
      <w:pPr/>
      <w:r>
        <w:t>Condition information can include battery, communications, diagnostics or other supported reports, but the available measures depend on the System and source. Preserve each measure’s meaning, unit, timestamp and measured, estimated or derived basis. Missing, inaccessible and stale information have different implications; present the applicable limitation rather than turning absence into a healthy condition or presenting an old reading as current.</w:t>
      </w:r>
    </w:p>
    <w:p>
      <w:pPr/>
      <w:r>
        <w:t>A module may organize these measures under a Status category. That organizational choice neither creates a universal System.status property nor widens Section 5.6, whose established mappings remain DataStream.live, ControlStream.live and Command.currentStatus. Keep Source and any separately obtained report provenance recoverable. Applicable security markings should retain their authoritative basis; a resource label or apparent content is not sufficient grounds to invent them.</w:t>
      </w:r>
    </w:p>
    <w:p>
      <w:pPr>
        <w:pStyle w:val="Heading3"/>
        <w:keepNext/>
      </w:pPr>
      <w:r>
        <w:t>10.1.4 Sensing, Control and Changes</w:t>
      </w:r>
    </w:p>
    <w:p>
      <w:pPr/>
      <w:r>
        <w:t>Describe sensing through the System’s available DataStreams and their observed properties, and describe control through available ControlStreams and controlled properties. Preserve that direction as required by Sections 5.3 and 5.5. An observation result remains an occurrence under its DataStream rather than a property of the System by default. A control action should identify its receiving System, ControlStream, parameters and applicable permissions instead of implying that every System supports the same commands.</w:t>
      </w:r>
    </w:p>
    <w:p>
      <w:pPr/>
      <w:r>
        <w:t>Keep metadata editing distinct from command submission. Updating a description changes a resource representation; asking a device to change configuration is a control operation. Supplied configuration, a requested change and device-reported configuration may therefore differ and should remain identifiable. Submission, acceptance and execution are also distinct. Scheduling and subsequent status presentation depend on supported operation semantics and should not be inferred from a locally saved request.</w:t>
      </w:r>
    </w:p>
    <w:p>
      <w:pPr>
        <w:pStyle w:val="Heading3"/>
        <w:keepNext/>
      </w:pPr>
      <w:r>
        <w:t>10.1.5 Relationships and Navigation</w:t>
      </w:r>
    </w:p>
    <w:p>
      <w:pPr/>
      <w:r>
        <w:t>Show useful relationships with their roles: parent or component Systems, Deployment participation, procedures, streams, Sampling Features and other supported associations. A relationship is not evidence that the related resource’s values belong to the focal System. Distinguish resource links from contacts, documents and other reference content. Apply Section 6.2 when a target resource is reliably identified, and Section 6.4 when the destination is supplied linked content.</w:t>
      </w:r>
    </w:p>
    <w:p>
      <w:pPr/>
      <w:r>
        <w:t>Direct presentation and enrichment remain separate under Section 3.7. Following relationships to discover members, retrieve schemas or resolve additional context introduces request scope, latency, authorization and partial-result behavior that the module must design explicitly. Keep the focal System evident while presenting those results, identify their source, and avoid implying that loaded participants form a complete set. Section 6.6 supports links only where their destination and purpose are clear.</w:t>
      </w:r>
    </w:p>
    <w:p>
      <w:pPr>
        <w:pStyle w:val="Heading3"/>
        <w:keepNext/>
      </w:pPr>
      <w:r>
        <w:t>10.1.6 Presentation Choices and Symbology</w:t>
      </w:r>
    </w:p>
    <w:p>
      <w:pPr/>
      <w:r>
        <w:t>The candidate Resource Details approach begins with a concise System summary and organizes deeper information into applicable categories. Its value is resource awareness within a recognizable frame: common questions stay predictable while specialized content receives an appropriate presentation. The PBI should settle default content, optional categories, subdivisions, expansion, editing and operation states. These choices remain module-specific and do not prescribe identical tabs or dimensions across MERLIN.</w:t>
      </w:r>
    </w:p>
    <w:p>
      <w:pPr/>
      <w:r>
        <w:t>Apply Section 5.13 wherever the System receives a symbol. Basic portrayal can use its supported Resource Type; more specific portrayal requires sufficient machine-readable semantics from an applicable supported profile. Use a generic or neutral fallback when those inputs are absent. A candidate Symbol view can expose available schemes and their editions, but does not establish tactical classifications, a defense profile, or authority to change source symbology through private client inference.</w:t>
      </w:r>
    </w:p>
    <w:p>
      <w:pPr>
        <w:pStyle w:val="Heading3"/>
      </w:pPr>
      <w:r>
        <w:t>10.1.7 System Specific Information and Consistent Presentation</w:t>
      </w:r>
    </w:p>
    <w:p>
      <w:pPr/>
      <w:r>
        <w:t>Start with the information needed to use this particular System: its employment, location, responsible parties, relevant setup and condition. The TRSS and MASBUS examples guide that priority; programming and diagnostics should not automatically become the front door. Standardization, prevalence across Systems and operational importance are different considerations. A rare but important field may deserve immediate visibility. This guidance refines the candidate approach without settling category names, tabs or dimensions.</w:t>
      </w:r>
    </w:p>
    <w:p>
      <w:pPr/>
      <w:r>
        <w:t>SensorML supplies optional and repeatable descriptive structures, including identifiers, classifiers, characteristics, capabilities, contacts and documents. Characteristics can contain SWE-typed properties; the JSON path characteristics[].characteristics[] identifies groups and their members. A component type supports rendering its value, while its definition identifies the property’s meaning. The groups provide a source organization; they do not prescribe UI tabs. SWE optional concerns omission of a component’s data, and updatable does not confer user permission or establish a remote command.</w:t>
      </w:r>
    </w:p>
    <w:p>
      <w:pPr/>
      <w:r>
        <w:t>A typeOf reference identifies a shared base process or model description from which properties and constraints are inherited. It is not a vendor-specific JSON Schema. Adding a domain property through an existing SensorML structure ordinarily needs no new structural schema. It does need a reliable semantic definition and, where independent clients lack a shared interpretation, an agreed profile or mapping contract. Observation-result and command-parameter schemas describe different payloads. Resolve and retain the origin of inherited information; do not treat inheritance as unrestricted overriding.</w:t>
      </w:r>
    </w:p>
    <w:p>
      <w:pPr/>
      <w:r>
        <w:rPr>
          <w:b/>
        </w:rPr>
        <w:t xml:space="preserve">Presentation rule. </w:t>
      </w:r>
      <w:r>
        <w:t>Keep common concepts in predictable places, with consistent labels, ordering and interactions. Add understood System-specific fields beside related information, using the same visual treatment. For example, distinct communications settings can share a section without being collapsed into one ambiguous value. Use disclosure controls for additional detail and nested groups, chosen by task relevance and space. Do not hide a field merely because it is vendor-specific, or make users navigate categories named after degrees of standardization.</w:t>
      </w:r>
    </w:p>
    <w:p>
      <w:pPr/>
      <w:r>
        <w:rPr>
          <w:b/>
        </w:rPr>
        <w:t xml:space="preserve">Fallback rule. </w:t>
      </w:r>
      <w:r>
        <w:t>Use a specialized visualization only when the property definition, unit, vocabulary and required inputs justify it. Otherwise render supported SWE types faithfully: labeled values, units where supplied, nested records and suitable arrays or tables. If a field’s business meaning remains unresolved, retain its supplied label, source group and accessible definition rather than inventing a semantic placement. Unsupported structures need an explicit source-data route. Distinguish a missing value from an unsupported, inaccessible or unloaded value when that distinction is known; do not use unexplained blank space.</w:t>
      </w:r>
    </w:p>
    <w:p>
      <w:pPr/>
      <w:r>
        <w:rPr>
          <w:b/>
        </w:rPr>
        <w:t xml:space="preserve">Integrity rule. </w:t>
      </w:r>
      <w:r>
        <w:t>Assembling a useful view does not transfer ownership: a System description, Deployment information, an Observation and a Command remain distinct resources. Generic description and emplacement comments are separate meanings. Show information for reading first; offer focused editing only when the resource, operation and permissions support it. Preserve unfamiliar properties during edits. Retain the fixed Resource Type, ID and Source, classification banners and applicable portion markings in the compact Details module.</w:t>
      </w:r>
    </w:p>
    <w:p>
      <w:pPr>
        <w:spacing w:after="60"/>
      </w:pPr>
      <w:r>
        <w:t xml:space="preserve">Sources: </w:t>
      </w:r>
      <w:hyperlink r:id="rId11">
        <w:r>
          <w:rPr>
            <w:color w:val="0563C1"/>
            <w:u w:val="single"/>
          </w:rPr>
          <w:t>SensorML DescribedObject schema</w:t>
        </w:r>
      </w:hyperlink>
      <w:r>
        <w:t xml:space="preserve">; </w:t>
      </w:r>
      <w:hyperlink r:id="rId12">
        <w:r>
          <w:rPr>
            <w:color w:val="0563C1"/>
            <w:u w:val="single"/>
          </w:rPr>
          <w:t>SensorML AbstractProcess schema</w:t>
        </w:r>
      </w:hyperlink>
      <w:r>
        <w:t xml:space="preserve">; </w:t>
      </w:r>
      <w:hyperlink r:id="rId13">
        <w:r>
          <w:rPr>
            <w:color w:val="0563C1"/>
            <w:u w:val="single"/>
          </w:rPr>
          <w:t>SWE Common AbstractDataComponent schema</w:t>
        </w:r>
      </w:hyperlink>
      <w:r>
        <w:t>. Worked evidence and mapping limits are recorded in Resource Details Research Paper Appendix L (9 October 2026).</w:t>
      </w:r>
    </w:p>
    <w:p>
      <w:pPr>
        <w:pStyle w:val="Heading1"/>
      </w:pPr>
      <w:r>
        <w:t>Appendix A. Current Pattern Summary</w:t>
      </w:r>
    </w:p>
    <w:p>
      <w:pPr>
        <w:pStyle w:val="NarrativeLead"/>
      </w:pPr>
      <w:r>
        <w:t>The summary provides a compact reference to the current MERLIN presentation vocabulary and the source concepts that feed each pattern. It is intended for quick lookup during PBI drafting, implementation discussion, and design review rather than as a substitute for the fuller narrative and guardrails in Section 5. When a summary entry and the detailed pattern appear to conflict, the detailed pattern definition should control until the guide is formally revised.</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shd w:fill="1F4E78"/>
            <w:vAlign w:val="top"/>
          </w:tcPr>
          <w:p>
            <w:pPr>
              <w:spacing w:after="40" w:line="240" w:lineRule="auto"/>
            </w:pPr>
            <w:r>
              <w:rPr>
                <w:b/>
                <w:color w:val="FFFFFF"/>
              </w:rPr>
              <w:t>MERLIN concept</w:t>
            </w:r>
          </w:p>
        </w:tc>
        <w:tc>
          <w:tcPr>
            <w:tcW w:type="dxa" w:w="2520"/>
            <w:shd w:fill="1F4E78"/>
            <w:vAlign w:val="top"/>
          </w:tcPr>
          <w:p>
            <w:pPr>
              <w:spacing w:after="40" w:line="240" w:lineRule="auto"/>
            </w:pPr>
            <w:r>
              <w:rPr>
                <w:b/>
                <w:color w:val="FFFFFF"/>
              </w:rPr>
              <w:t>Source concepts</w:t>
            </w:r>
          </w:p>
        </w:tc>
        <w:tc>
          <w:tcPr>
            <w:tcW w:type="dxa" w:w="2520"/>
            <w:shd w:fill="1F4E78"/>
            <w:vAlign w:val="top"/>
          </w:tcPr>
          <w:p>
            <w:pPr>
              <w:spacing w:after="40" w:line="240" w:lineRule="auto"/>
            </w:pPr>
            <w:r>
              <w:rPr>
                <w:b/>
                <w:color w:val="FFFFFF"/>
              </w:rPr>
              <w:t>Human-facing role</w:t>
            </w:r>
          </w:p>
        </w:tc>
        <w:tc>
          <w:tcPr>
            <w:tcW w:type="dxa" w:w="2520"/>
            <w:shd w:fill="1F4E78"/>
            <w:vAlign w:val="top"/>
          </w:tcPr>
          <w:p>
            <w:pPr>
              <w:spacing w:after="40" w:line="240" w:lineRule="auto"/>
            </w:pPr>
            <w:r>
              <w:rPr>
                <w:b/>
                <w:color w:val="FFFFFF"/>
              </w:rPr>
              <w:t>Key caution</w:t>
            </w:r>
          </w:p>
        </w:tc>
      </w:tr>
      <w:tr>
        <w:trPr>
          <w:cantSplit/>
        </w:trPr>
        <w:tc>
          <w:tcPr>
            <w:tcW w:type="dxa" w:w="2520"/>
            <w:tcMar>
              <w:top w:w="70" w:type="dxa"/>
              <w:start w:w="90" w:type="dxa"/>
              <w:bottom w:w="70" w:type="dxa"/>
              <w:end w:w="90" w:type="dxa"/>
            </w:tcMar>
            <w:vAlign w:val="top"/>
          </w:tcPr>
          <w:p>
            <w:pPr>
              <w:spacing w:after="40" w:line="240" w:lineRule="auto"/>
            </w:pPr>
            <w:r>
              <w:t>Resource Type</w:t>
            </w:r>
          </w:p>
        </w:tc>
        <w:tc>
          <w:tcPr>
            <w:tcW w:type="dxa" w:w="2520"/>
            <w:tcMar>
              <w:top w:w="70" w:type="dxa"/>
              <w:start w:w="90" w:type="dxa"/>
              <w:bottom w:w="70" w:type="dxa"/>
              <w:end w:w="90" w:type="dxa"/>
            </w:tcMar>
            <w:vAlign w:val="top"/>
          </w:tcPr>
          <w:p>
            <w:r>
              <w:t>CSAPI resource class / explicit supported Feature type / advertised itemType / Feature fallback</w:t>
            </w:r>
          </w:p>
        </w:tc>
        <w:tc>
          <w:tcPr>
            <w:tcW w:type="dxa" w:w="2520"/>
            <w:tcMar>
              <w:top w:w="70" w:type="dxa"/>
              <w:start w:w="90" w:type="dxa"/>
              <w:bottom w:w="70" w:type="dxa"/>
              <w:end w:w="90" w:type="dxa"/>
            </w:tcMar>
            <w:vAlign w:val="top"/>
          </w:tcPr>
          <w:p>
            <w:pPr>
              <w:spacing w:after="40" w:line="240" w:lineRule="auto"/>
            </w:pPr>
            <w:r>
              <w:t>Broad resource class</w:t>
            </w:r>
          </w:p>
        </w:tc>
        <w:tc>
          <w:tcPr>
            <w:tcW w:type="dxa" w:w="2520"/>
            <w:tcMar>
              <w:top w:w="70" w:type="dxa"/>
              <w:start w:w="90" w:type="dxa"/>
              <w:bottom w:w="70" w:type="dxa"/>
              <w:end w:w="90" w:type="dxa"/>
            </w:tcMar>
            <w:vAlign w:val="top"/>
          </w:tcPr>
          <w:p>
            <w:pPr>
              <w:spacing w:after="40" w:line="240" w:lineRule="auto"/>
            </w:pPr>
            <w:r>
              <w:t>Do not infer from incidental text or overload with specific type detail.</w:t>
            </w:r>
          </w:p>
        </w:tc>
      </w:tr>
      <w:tr>
        <w:trPr>
          <w:cantSplit/>
        </w:trPr>
        <w:tc>
          <w:tcPr>
            <w:tcW w:type="dxa" w:w="2520"/>
            <w:tcMar>
              <w:top w:w="70" w:type="dxa"/>
              <w:start w:w="90" w:type="dxa"/>
              <w:bottom w:w="70" w:type="dxa"/>
              <w:end w:w="90" w:type="dxa"/>
            </w:tcMar>
            <w:vAlign w:val="top"/>
          </w:tcPr>
          <w:p>
            <w:pPr>
              <w:spacing w:after="40" w:line="240" w:lineRule="auto"/>
            </w:pPr>
            <w:r>
              <w:t>Type Detail</w:t>
            </w:r>
          </w:p>
        </w:tc>
        <w:tc>
          <w:tcPr>
            <w:tcW w:type="dxa" w:w="2520"/>
            <w:tcMar>
              <w:top w:w="70" w:type="dxa"/>
              <w:start w:w="90" w:type="dxa"/>
              <w:bottom w:w="70" w:type="dxa"/>
              <w:end w:w="90" w:type="dxa"/>
            </w:tcMar>
            <w:vAlign w:val="top"/>
          </w:tcPr>
          <w:p>
            <w:pPr>
              <w:spacing w:after="40" w:line="240" w:lineRule="auto"/>
            </w:pPr>
            <w:r>
              <w:t>systemType / deploymentType / System Event type</w:t>
            </w:r>
          </w:p>
        </w:tc>
        <w:tc>
          <w:tcPr>
            <w:tcW w:type="dxa" w:w="2520"/>
            <w:tcMar>
              <w:top w:w="70" w:type="dxa"/>
              <w:start w:w="90" w:type="dxa"/>
              <w:bottom w:w="70" w:type="dxa"/>
              <w:end w:w="90" w:type="dxa"/>
            </w:tcMar>
            <w:vAlign w:val="top"/>
          </w:tcPr>
          <w:p>
            <w:pPr>
              <w:spacing w:after="40" w:line="240" w:lineRule="auto"/>
            </w:pPr>
            <w:r>
              <w:t>More specific resource type/classification</w:t>
            </w:r>
          </w:p>
        </w:tc>
        <w:tc>
          <w:tcPr>
            <w:tcW w:type="dxa" w:w="2520"/>
            <w:tcMar>
              <w:top w:w="70" w:type="dxa"/>
              <w:start w:w="90" w:type="dxa"/>
              <w:bottom w:w="70" w:type="dxa"/>
              <w:end w:w="90" w:type="dxa"/>
            </w:tcMar>
            <w:vAlign w:val="top"/>
          </w:tcPr>
          <w:p>
            <w:pPr>
              <w:spacing w:after="40" w:line="240" w:lineRule="auto"/>
            </w:pPr>
            <w:r>
              <w:t>Different vocabularies; not synonyms.</w:t>
            </w:r>
          </w:p>
        </w:tc>
      </w:tr>
      <w:tr>
        <w:trPr>
          <w:cantSplit/>
        </w:trPr>
        <w:tc>
          <w:tcPr>
            <w:tcW w:type="dxa" w:w="2520"/>
            <w:tcMar>
              <w:top w:w="70" w:type="dxa"/>
              <w:start w:w="90" w:type="dxa"/>
              <w:bottom w:w="70" w:type="dxa"/>
              <w:end w:w="90" w:type="dxa"/>
            </w:tcMar>
            <w:vAlign w:val="top"/>
          </w:tcPr>
          <w:p>
            <w:pPr>
              <w:spacing w:after="40" w:line="240" w:lineRule="auto"/>
            </w:pPr>
            <w:r>
              <w:t>System</w:t>
            </w:r>
          </w:p>
        </w:tc>
        <w:tc>
          <w:tcPr>
            <w:tcW w:type="dxa" w:w="2520"/>
            <w:tcMar>
              <w:top w:w="70" w:type="dxa"/>
              <w:start w:w="90" w:type="dxa"/>
              <w:bottom w:w="70" w:type="dxa"/>
              <w:end w:w="90" w:type="dxa"/>
            </w:tcMar>
            <w:vAlign w:val="top"/>
          </w:tcPr>
          <w:p>
            <w:pPr>
              <w:spacing w:after="40" w:line="240" w:lineRule="auto"/>
            </w:pPr>
            <w:r>
              <w:t>DataStream.system / ControlStream.system / System Event System</w:t>
            </w:r>
          </w:p>
        </w:tc>
        <w:tc>
          <w:tcPr>
            <w:tcW w:type="dxa" w:w="2520"/>
            <w:tcMar>
              <w:top w:w="70" w:type="dxa"/>
              <w:start w:w="90" w:type="dxa"/>
              <w:bottom w:w="70" w:type="dxa"/>
              <w:end w:w="90" w:type="dxa"/>
            </w:tcMar>
            <w:vAlign w:val="top"/>
          </w:tcPr>
          <w:p>
            <w:pPr>
              <w:spacing w:after="40" w:line="240" w:lineRule="auto"/>
            </w:pPr>
            <w:r>
              <w:t>Directly associated System</w:t>
            </w:r>
          </w:p>
        </w:tc>
        <w:tc>
          <w:tcPr>
            <w:tcW w:type="dxa" w:w="2520"/>
            <w:tcMar>
              <w:top w:w="70" w:type="dxa"/>
              <w:start w:w="90" w:type="dxa"/>
              <w:bottom w:w="70" w:type="dxa"/>
              <w:end w:w="90" w:type="dxa"/>
            </w:tcMar>
            <w:vAlign w:val="top"/>
          </w:tcPr>
          <w:p>
            <w:pPr>
              <w:spacing w:after="40" w:line="240" w:lineRule="auto"/>
            </w:pPr>
            <w:r>
              <w:t>Preserve producing / receiving / applies-to role.</w:t>
            </w:r>
          </w:p>
        </w:tc>
      </w:tr>
      <w:tr>
        <w:trPr>
          <w:cantSplit/>
        </w:trPr>
        <w:tc>
          <w:tcPr>
            <w:tcW w:type="dxa" w:w="2520"/>
            <w:tcMar>
              <w:top w:w="70" w:type="dxa"/>
              <w:start w:w="90" w:type="dxa"/>
              <w:bottom w:w="70" w:type="dxa"/>
              <w:end w:w="90" w:type="dxa"/>
            </w:tcMar>
            <w:vAlign w:val="top"/>
          </w:tcPr>
          <w:p>
            <w:pPr>
              <w:spacing w:after="40" w:line="240" w:lineRule="auto"/>
            </w:pPr>
            <w:r>
              <w:t>Stream</w:t>
            </w:r>
          </w:p>
        </w:tc>
        <w:tc>
          <w:tcPr>
            <w:tcW w:type="dxa" w:w="2520"/>
            <w:tcMar>
              <w:top w:w="70" w:type="dxa"/>
              <w:start w:w="90" w:type="dxa"/>
              <w:bottom w:w="70" w:type="dxa"/>
              <w:end w:w="90" w:type="dxa"/>
            </w:tcMar>
            <w:vAlign w:val="top"/>
          </w:tcPr>
          <w:p>
            <w:pPr>
              <w:spacing w:after="40" w:line="240" w:lineRule="auto"/>
            </w:pPr>
            <w:r>
              <w:t>Observation-&gt;DataStream / Command-&gt;ControlStream</w:t>
            </w:r>
          </w:p>
        </w:tc>
        <w:tc>
          <w:tcPr>
            <w:tcW w:type="dxa" w:w="2520"/>
            <w:tcMar>
              <w:top w:w="70" w:type="dxa"/>
              <w:start w:w="90" w:type="dxa"/>
              <w:bottom w:w="70" w:type="dxa"/>
              <w:end w:w="90" w:type="dxa"/>
            </w:tcMar>
            <w:vAlign w:val="top"/>
          </w:tcPr>
          <w:p>
            <w:pPr>
              <w:spacing w:after="40" w:line="240" w:lineRule="auto"/>
            </w:pPr>
            <w:r>
              <w:t>Parent stream context</w:t>
            </w:r>
          </w:p>
        </w:tc>
        <w:tc>
          <w:tcPr>
            <w:tcW w:type="dxa" w:w="2520"/>
            <w:tcMar>
              <w:top w:w="70" w:type="dxa"/>
              <w:start w:w="90" w:type="dxa"/>
              <w:bottom w:w="70" w:type="dxa"/>
              <w:end w:w="90" w:type="dxa"/>
            </w:tcMar>
            <w:vAlign w:val="top"/>
          </w:tcPr>
          <w:p>
            <w:pPr>
              <w:spacing w:after="40" w:line="240" w:lineRule="auto"/>
            </w:pPr>
            <w:r>
              <w:t>Preserve DataStream vs ControlStream.</w:t>
            </w:r>
          </w:p>
        </w:tc>
      </w:tr>
      <w:tr>
        <w:trPr>
          <w:cantSplit/>
        </w:trPr>
        <w:tc>
          <w:tcPr>
            <w:tcW w:type="dxa" w:w="2520"/>
            <w:tcMar>
              <w:top w:w="70" w:type="dxa"/>
              <w:start w:w="90" w:type="dxa"/>
              <w:bottom w:w="70" w:type="dxa"/>
              <w:end w:w="90" w:type="dxa"/>
            </w:tcMar>
            <w:vAlign w:val="top"/>
          </w:tcPr>
          <w:p>
            <w:pPr>
              <w:spacing w:after="40" w:line="240" w:lineRule="auto"/>
            </w:pPr>
            <w:r>
              <w:t>Properties</w:t>
            </w:r>
          </w:p>
        </w:tc>
        <w:tc>
          <w:tcPr>
            <w:tcW w:type="dxa" w:w="2520"/>
            <w:tcMar>
              <w:top w:w="70" w:type="dxa"/>
              <w:start w:w="90" w:type="dxa"/>
              <w:bottom w:w="70" w:type="dxa"/>
              <w:end w:w="90" w:type="dxa"/>
            </w:tcMar>
            <w:vAlign w:val="top"/>
          </w:tcPr>
          <w:p>
            <w:pPr>
              <w:spacing w:after="40" w:line="240" w:lineRule="auto"/>
            </w:pPr>
            <w:r>
              <w:t>observedProperties / controlledProperties</w:t>
            </w:r>
          </w:p>
        </w:tc>
        <w:tc>
          <w:tcPr>
            <w:tcW w:type="dxa" w:w="2520"/>
            <w:tcMar>
              <w:top w:w="70" w:type="dxa"/>
              <w:start w:w="90" w:type="dxa"/>
              <w:bottom w:w="70" w:type="dxa"/>
              <w:end w:w="90" w:type="dxa"/>
            </w:tcMar>
            <w:vAlign w:val="top"/>
          </w:tcPr>
          <w:p>
            <w:pPr>
              <w:spacing w:after="40" w:line="240" w:lineRule="auto"/>
            </w:pPr>
            <w:r>
              <w:t>What the stream observes or controls</w:t>
            </w:r>
          </w:p>
        </w:tc>
        <w:tc>
          <w:tcPr>
            <w:tcW w:type="dxa" w:w="2520"/>
            <w:tcMar>
              <w:top w:w="70" w:type="dxa"/>
              <w:start w:w="90" w:type="dxa"/>
              <w:bottom w:w="70" w:type="dxa"/>
              <w:end w:w="90" w:type="dxa"/>
            </w:tcMar>
            <w:vAlign w:val="top"/>
          </w:tcPr>
          <w:p>
            <w:pPr>
              <w:spacing w:after="40" w:line="240" w:lineRule="auto"/>
            </w:pPr>
            <w:r>
              <w:t>Preserve sensing vs control direction.</w:t>
            </w:r>
          </w:p>
        </w:tc>
      </w:tr>
      <w:tr>
        <w:trPr>
          <w:cantSplit/>
        </w:trPr>
        <w:tc>
          <w:tcPr>
            <w:tcW w:type="dxa" w:w="2520"/>
            <w:tcMar>
              <w:top w:w="70" w:type="dxa"/>
              <w:start w:w="90" w:type="dxa"/>
              <w:bottom w:w="70" w:type="dxa"/>
              <w:end w:w="90" w:type="dxa"/>
            </w:tcMar>
            <w:vAlign w:val="top"/>
          </w:tcPr>
          <w:p>
            <w:pPr>
              <w:spacing w:after="40" w:line="240" w:lineRule="auto"/>
            </w:pPr>
            <w:r>
              <w:t>Status</w:t>
            </w:r>
          </w:p>
        </w:tc>
        <w:tc>
          <w:tcPr>
            <w:tcW w:type="dxa" w:w="2520"/>
            <w:tcMar>
              <w:top w:w="70" w:type="dxa"/>
              <w:start w:w="90" w:type="dxa"/>
              <w:bottom w:w="70" w:type="dxa"/>
              <w:end w:w="90" w:type="dxa"/>
            </w:tcMar>
            <w:vAlign w:val="top"/>
          </w:tcPr>
          <w:p>
            <w:pPr>
              <w:spacing w:after="40" w:line="240" w:lineRule="auto"/>
            </w:pPr>
            <w:r>
              <w:t>DataStream.live / ControlStream.live / Command.currentStatus</w:t>
            </w:r>
          </w:p>
        </w:tc>
        <w:tc>
          <w:tcPr>
            <w:tcW w:type="dxa" w:w="2520"/>
            <w:tcMar>
              <w:top w:w="70" w:type="dxa"/>
              <w:start w:w="90" w:type="dxa"/>
              <w:bottom w:w="70" w:type="dxa"/>
              <w:end w:w="90" w:type="dxa"/>
            </w:tcMar>
            <w:vAlign w:val="top"/>
          </w:tcPr>
          <w:p>
            <w:pPr>
              <w:spacing w:after="40" w:line="240" w:lineRule="auto"/>
            </w:pPr>
            <w:r>
              <w:t>Current operational state</w:t>
            </w:r>
          </w:p>
        </w:tc>
        <w:tc>
          <w:tcPr>
            <w:tcW w:type="dxa" w:w="2520"/>
            <w:tcMar>
              <w:top w:w="70" w:type="dxa"/>
              <w:start w:w="90" w:type="dxa"/>
              <w:bottom w:w="70" w:type="dxa"/>
              <w:end w:w="90" w:type="dxa"/>
            </w:tcMar>
            <w:vAlign w:val="top"/>
          </w:tcPr>
          <w:p>
            <w:pPr>
              <w:spacing w:after="40" w:line="240" w:lineRule="auto"/>
            </w:pPr>
            <w:r>
              <w:t>Do not confuse with Discovery Live Mode.</w:t>
            </w:r>
          </w:p>
        </w:tc>
      </w:tr>
      <w:tr>
        <w:trPr>
          <w:cantSplit/>
        </w:trPr>
        <w:tc>
          <w:tcPr>
            <w:tcW w:type="dxa" w:w="2520"/>
            <w:tcMar>
              <w:top w:w="70" w:type="dxa"/>
              <w:start w:w="90" w:type="dxa"/>
              <w:bottom w:w="70" w:type="dxa"/>
              <w:end w:w="90" w:type="dxa"/>
            </w:tcMar>
            <w:vAlign w:val="top"/>
          </w:tcPr>
          <w:p>
            <w:pPr>
              <w:spacing w:after="40" w:line="240" w:lineRule="auto"/>
            </w:pPr>
            <w:r>
              <w:t>Start Time / End Time</w:t>
            </w:r>
          </w:p>
        </w:tc>
        <w:tc>
          <w:tcPr>
            <w:tcW w:type="dxa" w:w="2520"/>
            <w:tcMar>
              <w:top w:w="70" w:type="dxa"/>
              <w:start w:w="90" w:type="dxa"/>
              <w:bottom w:w="70" w:type="dxa"/>
              <w:end w:w="90" w:type="dxa"/>
            </w:tcMar>
            <w:vAlign w:val="top"/>
          </w:tcPr>
          <w:p>
            <w:pPr>
              <w:spacing w:after="40" w:line="240" w:lineRule="auto"/>
            </w:pPr>
            <w:r>
              <w:t>validTime / eventTime / phenomenonTime / executionTime</w:t>
            </w:r>
          </w:p>
        </w:tc>
        <w:tc>
          <w:tcPr>
            <w:tcW w:type="dxa" w:w="2520"/>
            <w:tcMar>
              <w:top w:w="70" w:type="dxa"/>
              <w:start w:w="90" w:type="dxa"/>
              <w:bottom w:w="70" w:type="dxa"/>
              <w:end w:w="90" w:type="dxa"/>
            </w:tcMar>
            <w:vAlign w:val="top"/>
          </w:tcPr>
          <w:p>
            <w:pPr>
              <w:spacing w:after="40" w:line="240" w:lineRule="auto"/>
            </w:pPr>
            <w:r>
              <w:t>Normalized temporal instant/extent presentation</w:t>
            </w:r>
          </w:p>
        </w:tc>
        <w:tc>
          <w:tcPr>
            <w:tcW w:type="dxa" w:w="2520"/>
            <w:tcMar>
              <w:top w:w="70" w:type="dxa"/>
              <w:start w:w="90" w:type="dxa"/>
              <w:bottom w:w="70" w:type="dxa"/>
              <w:end w:w="90" w:type="dxa"/>
            </w:tcMar>
            <w:vAlign w:val="top"/>
          </w:tcPr>
          <w:p>
            <w:pPr>
              <w:spacing w:after="40" w:line="240" w:lineRule="auto"/>
            </w:pPr>
            <w:r>
              <w:t>Preserve source temporal meaning.</w:t>
            </w:r>
          </w:p>
        </w:tc>
      </w:tr>
      <w:tr>
        <w:trPr>
          <w:cantSplit/>
        </w:trPr>
        <w:tc>
          <w:tcPr>
            <w:tcW w:type="dxa" w:w="2520"/>
            <w:tcMar>
              <w:top w:w="70" w:type="dxa"/>
              <w:start w:w="90" w:type="dxa"/>
              <w:bottom w:w="70" w:type="dxa"/>
              <w:end w:w="90" w:type="dxa"/>
            </w:tcMar>
            <w:vAlign w:val="top"/>
          </w:tcPr>
          <w:p>
            <w:pPr>
              <w:spacing w:after="40" w:line="240" w:lineRule="auto"/>
            </w:pPr>
            <w:r>
              <w:t>Result / Issue Time</w:t>
            </w:r>
          </w:p>
        </w:tc>
        <w:tc>
          <w:tcPr>
            <w:tcW w:type="dxa" w:w="2520"/>
            <w:tcMar>
              <w:top w:w="70" w:type="dxa"/>
              <w:start w:w="90" w:type="dxa"/>
              <w:bottom w:w="70" w:type="dxa"/>
              <w:end w:w="90" w:type="dxa"/>
            </w:tcMar>
            <w:vAlign w:val="top"/>
          </w:tcPr>
          <w:p>
            <w:pPr>
              <w:spacing w:after="40" w:line="240" w:lineRule="auto"/>
            </w:pPr>
            <w:r>
              <w:t>Observation.resultTime / Command.issueTime</w:t>
            </w:r>
          </w:p>
        </w:tc>
        <w:tc>
          <w:tcPr>
            <w:tcW w:type="dxa" w:w="2520"/>
            <w:tcMar>
              <w:top w:w="70" w:type="dxa"/>
              <w:start w:w="90" w:type="dxa"/>
              <w:bottom w:w="70" w:type="dxa"/>
              <w:end w:w="90" w:type="dxa"/>
            </w:tcMar>
            <w:vAlign w:val="top"/>
          </w:tcPr>
          <w:p>
            <w:pPr>
              <w:spacing w:after="40" w:line="240" w:lineRule="auto"/>
            </w:pPr>
            <w:r>
              <w:t>Occurrence lifecycle timestamp</w:t>
            </w:r>
          </w:p>
        </w:tc>
        <w:tc>
          <w:tcPr>
            <w:tcW w:type="dxa" w:w="2520"/>
            <w:tcMar>
              <w:top w:w="70" w:type="dxa"/>
              <w:start w:w="90" w:type="dxa"/>
              <w:bottom w:w="70" w:type="dxa"/>
              <w:end w:w="90" w:type="dxa"/>
            </w:tcMar>
            <w:vAlign w:val="top"/>
          </w:tcPr>
          <w:p>
            <w:pPr>
              <w:spacing w:after="40" w:line="240" w:lineRule="auto"/>
            </w:pPr>
            <w:r>
              <w:t>Not Start/End; not synonyms.</w:t>
            </w:r>
          </w:p>
        </w:tc>
      </w:tr>
      <w:tr>
        <w:trPr>
          <w:cantSplit/>
        </w:trPr>
        <w:tc>
          <w:tcPr>
            <w:tcW w:type="dxa" w:w="2520"/>
            <w:tcMar>
              <w:top w:w="70" w:type="dxa"/>
              <w:start w:w="90" w:type="dxa"/>
              <w:bottom w:w="70" w:type="dxa"/>
              <w:end w:w="90" w:type="dxa"/>
            </w:tcMar>
            <w:vAlign w:val="top"/>
          </w:tcPr>
          <w:p>
            <w:pPr>
              <w:spacing w:after="40" w:line="240" w:lineRule="auto"/>
            </w:pPr>
            <w:r>
              <w:t>Result / Parameters / Message</w:t>
            </w:r>
          </w:p>
        </w:tc>
        <w:tc>
          <w:tcPr>
            <w:tcW w:type="dxa" w:w="2520"/>
            <w:tcMar>
              <w:top w:w="70" w:type="dxa"/>
              <w:start w:w="90" w:type="dxa"/>
              <w:bottom w:w="70" w:type="dxa"/>
              <w:end w:w="90" w:type="dxa"/>
            </w:tcMar>
            <w:vAlign w:val="top"/>
          </w:tcPr>
          <w:p>
            <w:pPr>
              <w:spacing w:after="40" w:line="240" w:lineRule="auto"/>
            </w:pPr>
            <w:r>
              <w:t>Observation.result / Command.parameters / System Event message</w:t>
            </w:r>
          </w:p>
        </w:tc>
        <w:tc>
          <w:tcPr>
            <w:tcW w:type="dxa" w:w="2520"/>
            <w:tcMar>
              <w:top w:w="70" w:type="dxa"/>
              <w:start w:w="90" w:type="dxa"/>
              <w:bottom w:w="70" w:type="dxa"/>
              <w:end w:w="90" w:type="dxa"/>
            </w:tcMar>
            <w:vAlign w:val="top"/>
          </w:tcPr>
          <w:p>
            <w:pPr>
              <w:spacing w:after="40" w:line="240" w:lineRule="auto"/>
            </w:pPr>
            <w:r>
              <w:t>Substantive occurrence-specific content</w:t>
            </w:r>
          </w:p>
        </w:tc>
        <w:tc>
          <w:tcPr>
            <w:tcW w:type="dxa" w:w="2520"/>
            <w:tcMar>
              <w:top w:w="70" w:type="dxa"/>
              <w:start w:w="90" w:type="dxa"/>
              <w:bottom w:w="70" w:type="dxa"/>
              <w:end w:w="90" w:type="dxa"/>
            </w:tcMar>
            <w:vAlign w:val="top"/>
          </w:tcPr>
          <w:p>
            <w:pPr>
              <w:spacing w:after="40" w:line="240" w:lineRule="auto"/>
            </w:pPr>
            <w:r>
              <w:t>Do not invent semantic interpretation; Description remains separate.</w:t>
            </w:r>
          </w:p>
        </w:tc>
      </w:tr>
      <w:tr>
        <w:trPr>
          <w:cantSplit/>
        </w:trPr>
        <w:tc>
          <w:tcPr>
            <w:tcW w:type="dxa" w:w="2520"/>
            <w:tcMar>
              <w:top w:w="70" w:type="dxa"/>
              <w:start w:w="90" w:type="dxa"/>
              <w:bottom w:w="70" w:type="dxa"/>
              <w:end w:w="90" w:type="dxa"/>
            </w:tcMar>
            <w:vAlign w:val="top"/>
          </w:tcPr>
          <w:p>
            <w:pPr>
              <w:spacing w:after="40" w:line="240" w:lineRule="auto"/>
            </w:pPr>
            <w:r>
              <w:t>Location</w:t>
            </w:r>
          </w:p>
        </w:tc>
        <w:tc>
          <w:tcPr>
            <w:tcW w:type="dxa" w:w="2520"/>
            <w:tcMar>
              <w:top w:w="70" w:type="dxa"/>
              <w:start w:w="90" w:type="dxa"/>
              <w:bottom w:w="70" w:type="dxa"/>
              <w:end w:w="90" w:type="dxa"/>
            </w:tcMar>
            <w:vAlign w:val="top"/>
          </w:tcPr>
          <w:p>
            <w:pPr>
              <w:spacing w:after="40" w:line="240" w:lineRule="auto"/>
            </w:pPr>
            <w:r>
              <w:t>Direct supported spatial information</w:t>
            </w:r>
          </w:p>
        </w:tc>
        <w:tc>
          <w:tcPr>
            <w:tcW w:type="dxa" w:w="2520"/>
            <w:tcMar>
              <w:top w:w="70" w:type="dxa"/>
              <w:start w:w="90" w:type="dxa"/>
              <w:bottom w:w="70" w:type="dxa"/>
              <w:end w:w="90" w:type="dxa"/>
            </w:tcMar>
            <w:vAlign w:val="top"/>
          </w:tcPr>
          <w:p>
            <w:pPr>
              <w:spacing w:after="40" w:line="240" w:lineRule="auto"/>
            </w:pPr>
            <w:r>
              <w:t>User-facing spatial representation</w:t>
            </w:r>
          </w:p>
        </w:tc>
        <w:tc>
          <w:tcPr>
            <w:tcW w:type="dxa" w:w="2520"/>
            <w:tcMar>
              <w:top w:w="70" w:type="dxa"/>
              <w:start w:w="90" w:type="dxa"/>
              <w:bottom w:w="70" w:type="dxa"/>
              <w:end w:w="90" w:type="dxa"/>
            </w:tcMar>
            <w:vAlign w:val="top"/>
          </w:tcPr>
          <w:p>
            <w:pPr>
              <w:spacing w:after="40" w:line="240" w:lineRule="auto"/>
            </w:pPr>
            <w:r>
              <w:t>Do not derive artificial location or substitute unrelated geometry.</w:t>
            </w:r>
          </w:p>
        </w:tc>
      </w:tr>
      <w:tr>
        <w:trPr>
          <w:cantSplit/>
        </w:trPr>
        <w:tc>
          <w:tcPr>
            <w:tcW w:type="dxa" w:w="2520"/>
          </w:tcPr>
          <w:p>
            <w:r>
              <w:t>Resource Symbols and Symbology</w:t>
            </w:r>
          </w:p>
        </w:tc>
        <w:tc>
          <w:tcPr>
            <w:tcW w:type="dxa" w:w="2520"/>
          </w:tcPr>
          <w:p>
            <w:r>
              <w:t>Resource Type / supported profile semantic or symbology inputs</w:t>
            </w:r>
          </w:p>
        </w:tc>
        <w:tc>
          <w:tcPr>
            <w:tcW w:type="dxa" w:w="2520"/>
          </w:tcPr>
          <w:p>
            <w:r>
              <w:t>Consistent resource portrayal</w:t>
            </w:r>
          </w:p>
        </w:tc>
        <w:tc>
          <w:tcPr>
            <w:tcW w:type="dxa" w:w="2520"/>
          </w:tcPr>
          <w:p>
            <w:r>
              <w:t>Use generic/neutral fallback when specificity is not justified; do not hide private classification logic.</w:t>
            </w:r>
          </w:p>
        </w:tc>
      </w:tr>
      <w:tr>
        <w:trPr>
          <w:cantSplit/>
        </w:trPr>
        <w:tc>
          <w:tcPr>
            <w:tcW w:type="dxa" w:w="2520"/>
            <w:tcMar>
              <w:top w:w="70" w:type="dxa"/>
              <w:start w:w="90" w:type="dxa"/>
              <w:bottom w:w="70" w:type="dxa"/>
              <w:end w:w="90" w:type="dxa"/>
            </w:tcMar>
            <w:vAlign w:val="top"/>
          </w:tcPr>
          <w:p>
            <w:pPr>
              <w:spacing w:after="40" w:line="240" w:lineRule="auto"/>
            </w:pPr>
            <w:r>
              <w:t>Source</w:t>
            </w:r>
          </w:p>
        </w:tc>
        <w:tc>
          <w:tcPr>
            <w:tcW w:type="dxa" w:w="2520"/>
            <w:tcMar>
              <w:top w:w="70" w:type="dxa"/>
              <w:start w:w="90" w:type="dxa"/>
              <w:bottom w:w="70" w:type="dxa"/>
              <w:end w:w="90" w:type="dxa"/>
            </w:tcMar>
            <w:vAlign w:val="top"/>
          </w:tcPr>
          <w:p>
            <w:pPr>
              <w:spacing w:after="40" w:line="240" w:lineRule="auto"/>
            </w:pPr>
            <w:r>
              <w:t>MERLIN source/query context</w:t>
            </w:r>
          </w:p>
        </w:tc>
        <w:tc>
          <w:tcPr>
            <w:tcW w:type="dxa" w:w="2520"/>
            <w:tcMar>
              <w:top w:w="70" w:type="dxa"/>
              <w:start w:w="90" w:type="dxa"/>
              <w:bottom w:w="70" w:type="dxa"/>
              <w:end w:w="90" w:type="dxa"/>
            </w:tcMar>
            <w:vAlign w:val="top"/>
          </w:tcPr>
          <w:p>
            <w:pPr>
              <w:spacing w:after="40" w:line="240" w:lineRule="auto"/>
            </w:pPr>
            <w:r>
              <w:t>Provenance / server identity</w:t>
            </w:r>
          </w:p>
        </w:tc>
        <w:tc>
          <w:tcPr>
            <w:tcW w:type="dxa" w:w="2520"/>
            <w:tcMar>
              <w:top w:w="70" w:type="dxa"/>
              <w:start w:w="90" w:type="dxa"/>
              <w:bottom w:w="70" w:type="dxa"/>
              <w:end w:w="90" w:type="dxa"/>
            </w:tcMar>
            <w:vAlign w:val="top"/>
          </w:tcPr>
          <w:p>
            <w:pPr>
              <w:spacing w:after="40" w:line="240" w:lineRule="auto"/>
            </w:pPr>
            <w:r>
              <w:t>Not necessarily a resource-schema field.</w:t>
            </w:r>
          </w:p>
        </w:tc>
      </w:tr>
      <w:tr>
        <w:trPr>
          <w:cantSplit/>
        </w:trPr>
        <w:tc>
          <w:tcPr>
            <w:tcW w:type="dxa" w:w="2520"/>
            <w:tcMar>
              <w:top w:w="70" w:type="dxa"/>
              <w:start w:w="90" w:type="dxa"/>
              <w:bottom w:w="70" w:type="dxa"/>
              <w:end w:w="90" w:type="dxa"/>
            </w:tcMar>
            <w:vAlign w:val="top"/>
          </w:tcPr>
          <w:p>
            <w:pPr>
              <w:spacing w:after="40" w:line="240" w:lineRule="auto"/>
            </w:pPr>
            <w:r>
              <w:t>Name</w:t>
            </w:r>
          </w:p>
        </w:tc>
        <w:tc>
          <w:tcPr>
            <w:tcW w:type="dxa" w:w="2520"/>
            <w:tcMar>
              <w:top w:w="70" w:type="dxa"/>
              <w:start w:w="90" w:type="dxa"/>
              <w:bottom w:w="70" w:type="dxa"/>
              <w:end w:w="90" w:type="dxa"/>
            </w:tcMar>
            <w:vAlign w:val="top"/>
          </w:tcPr>
          <w:p>
            <w:pPr>
              <w:spacing w:after="40" w:line="240" w:lineRule="auto"/>
            </w:pPr>
            <w:r>
              <w:t>Direct resource name / explicit mapping</w:t>
            </w:r>
          </w:p>
        </w:tc>
        <w:tc>
          <w:tcPr>
            <w:tcW w:type="dxa" w:w="2520"/>
            <w:tcMar>
              <w:top w:w="70" w:type="dxa"/>
              <w:start w:w="90" w:type="dxa"/>
              <w:bottom w:w="70" w:type="dxa"/>
              <w:end w:w="90" w:type="dxa"/>
            </w:tcMar>
            <w:vAlign w:val="top"/>
          </w:tcPr>
          <w:p>
            <w:pPr>
              <w:spacing w:after="40" w:line="240" w:lineRule="auto"/>
            </w:pPr>
            <w:r>
              <w:t>Human-readable resource identity</w:t>
            </w:r>
          </w:p>
        </w:tc>
        <w:tc>
          <w:tcPr>
            <w:tcW w:type="dxa" w:w="2520"/>
            <w:tcMar>
              <w:top w:w="70" w:type="dxa"/>
              <w:start w:w="90" w:type="dxa"/>
              <w:bottom w:w="70" w:type="dxa"/>
              <w:end w:w="90" w:type="dxa"/>
            </w:tcMar>
            <w:vAlign w:val="top"/>
          </w:tcPr>
          <w:p>
            <w:pPr>
              <w:spacing w:after="40" w:line="240" w:lineRule="auto"/>
            </w:pPr>
            <w:r>
              <w:t>Do not manufacture Name where none exists.</w:t>
            </w:r>
          </w:p>
        </w:tc>
      </w:tr>
    </w:tbl>
    <w:p>
      <w:pPr>
        <w:pStyle w:val="Heading1"/>
      </w:pPr>
      <w:r>
        <w:t>Appendix B. Source Basis</w:t>
      </w:r>
    </w:p>
    <w:p>
      <w:pPr>
        <w:pStyle w:val="NarrativeLead"/>
      </w:pPr>
      <w:r>
        <w:t>The guide is grounded in the design work that produced MERLIN-932 and its associated table-requirements and continuity artifacts rather than in an abstract attempt to invent a generic UI ontology. Those artifacts capture the source mappings, semantic analogies, non-consolidations, navigation patterns, and boundary decisions that were explicitly worked through during the Resource Discovery PBI. The standards listed below provide the source-semantic context for those decisions but do not, by themselves, define the MERLIN presentation vocabulary.</w:t>
      </w:r>
    </w:p>
    <w:p>
      <w:pPr/>
      <w:r>
        <w:t>This source basis is important because future maintenance should distinguish accepted MERLIN design decisions from new synthesis or external standards changes. A future editor should consult the underlying PBI, workbook, PITONs, and applicable standards when a proposed change depends on historical intent or precise source semantics. The guide should evolve through deliberate adjudication rather than by rewriting past decisions from memory. This guide records MERLIN application design patterns; where a future implementation depends on standards/profile semantics beyond those already available, the applicable standards and profile work should be separately researched, governed, and tested.</w:t>
      </w:r>
    </w:p>
    <w:p>
      <w:pPr>
        <w:pStyle w:val="ListBullet"/>
        <w:spacing w:after="0" w:before="0" w:line="240" w:lineRule="auto"/>
      </w:pPr>
      <w:r>
        <w:rPr>
          <w:sz w:val="20"/>
        </w:rPr>
        <w:t>MERLIN-932 Resource Discovery View Module PBI, final rebuilt version developed in September 2026.</w:t>
      </w:r>
    </w:p>
    <w:p>
      <w:pPr>
        <w:pStyle w:val="ListBullet"/>
        <w:spacing w:after="0" w:before="0" w:line="240" w:lineRule="auto"/>
      </w:pPr>
      <w:r>
        <w:rPr>
          <w:sz w:val="20"/>
        </w:rPr>
        <w:t>MERLIN-932 Resource Discovery Table Requirements workbook, revised 20 September 2026.</w:t>
      </w:r>
    </w:p>
    <w:p>
      <w:pPr>
        <w:pStyle w:val="ListBullet"/>
        <w:spacing w:after="0" w:before="0" w:line="240" w:lineRule="auto"/>
      </w:pPr>
      <w:r>
        <w:rPr>
          <w:sz w:val="20"/>
        </w:rPr>
        <w:t>PITON continuity records for the MERLIN-932 PBI rebuild and relationship-aware discovery/profiling research.</w:t>
      </w:r>
    </w:p>
    <w:p>
      <w:pPr>
        <w:pStyle w:val="ListBullet"/>
        <w:spacing w:after="0" w:before="0" w:line="240" w:lineRule="auto"/>
      </w:pPr>
      <w:r>
        <w:rPr>
          <w:sz w:val="20"/>
        </w:rPr>
        <w:t>OGC API - Connected Systems Parts 1 and 2 and OGC API - Features Part 1 as the primary standards context for the source concepts referenced by MERLIN-932.</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v0.5  |  08 Oct 2026</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MERLIN Semantic Presentation and Interaction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6666"/>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60"/>
    </w:pPr>
    <w:rPr>
      <w:rFonts w:ascii="Aptos" w:hAnsi="Aptos"/>
      <w:color w:val="5A5A5A"/>
      <w:sz w:val="26"/>
    </w:rPr>
  </w:style>
  <w:style w:type="paragraph" w:customStyle="1" w:styleId="SmallNote">
    <w:name w:val="Small Note"/>
    <w:pPr>
      <w:spacing w:after="100"/>
    </w:pPr>
    <w:rPr>
      <w:rFonts w:ascii="Aptos" w:hAnsi="Aptos"/>
      <w:i/>
      <w:color w:val="5A5A5A"/>
      <w:sz w:val="18"/>
    </w:rPr>
  </w:style>
  <w:style w:type="paragraph" w:customStyle="1" w:styleId="NarrativeLead">
    <w:name w:val="Narrative Lead"/>
    <w:basedOn w:val="Normal"/>
    <w:pPr>
      <w:spacing w:before="40" w:after="140" w:line="259"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hemas.opengis.net/sensorML/3.0/json/DescribedObject.json" TargetMode="External"/><Relationship Id="rId12" Type="http://schemas.openxmlformats.org/officeDocument/2006/relationships/hyperlink" Target="https://schemas.opengis.net/sensorML/3.0/json/AbstractProcess.json" TargetMode="External"/><Relationship Id="rId13" Type="http://schemas.openxmlformats.org/officeDocument/2006/relationships/hyperlink" Target="https://schemas.opengis.net/sweCommon/3.0/json/AbstractDataComponen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MERLIN Semantic Presentation and Interaction Guide</dc:title>
  <dc:subject>Cross-module semantic presentation and interaction design patterns</dc:subject>
  <dc:creator>python-docx</dc:creator>
  <cp:keywords>MERLIN, CSAPI, semantic presentation, interaction design, cross-module consistency</cp:keywords>
  <dc:description>Draft v0.3 expands narrative depth selectively while preserving v0.1 reference content.</dc:description>
  <cp:lastModifiedBy/>
  <cp:revision>1</cp:revision>
  <dcterms:created xsi:type="dcterms:W3CDTF">2013-12-23T23:15:00Z</dcterms:created>
  <dcterms:modified xsi:type="dcterms:W3CDTF">2013-12-23T23:15:00Z</dcterms:modified>
  <cp:category/>
</cp:coreProperties>
</file>