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t>SEPARATE DESIGN DOCUMENT  /  INTEGRATED DOMAIN DEFINITIONS AND OGC BINDINGS</w:t>
      </w:r>
    </w:p>
    <w:p>
      <w:pPr>
        <w:pStyle w:val="Title"/>
      </w:pPr>
      <w:r>
        <w:t>Managed Physical</w:t>
        <w:br/>
        <w:t>Sensing Systems</w:t>
        <w:br/>
        <w:t>and Deployments</w:t>
      </w:r>
    </w:p>
    <w:p>
      <w:pPr>
        <w:pStyle w:val="Subtitle"/>
      </w:pPr>
      <w:r>
        <w:t>Profile Scope, Content Outline</w:t>
        <w:br/>
        <w:t>and Integrated Binding Draft</w:t>
      </w:r>
    </w:p>
    <w:p>
      <w:pPr>
        <w:pStyle w:val="Small"/>
      </w:pPr>
      <w:r>
        <w:t>Proposed working title: OGC Application Profile for Managed Physical Sensing Systems and Deployments</w:t>
      </w:r>
    </w:p>
    <w:p>
      <w:pPr>
        <w:pStyle w:val="Small"/>
      </w:pPr>
      <w:r>
        <w:t>Prepared for Sam Bolling • MERLIN CSAPI PBIs</w:t>
        <w:br/>
        <w:t>Version 0.3.5 • 17 October 2026</w:t>
      </w:r>
    </w:p>
    <w:p>
      <w:pPr>
        <w:keepLines/>
        <w:spacing w:before="120" w:after="180"/>
        <w:ind w:left="173" w:right="173"/>
        <w:widowControl/>
        <w:shd w:fill="EDF4F5"/>
      </w:pPr>
      <w:r>
        <w:t>Purpose: specify a first integrated domain-definition and OGC-binding draft for the whole sensing system and its deployment. All eight subjects and R01–R20 remain in scope, with a connected fictional example and a coordinated Power Source boundary.</w:t>
      </w:r>
    </w:p>
    <w:p>
      <w:pPr>
        <w:pStyle w:val="Heading2"/>
        <w:keepNext/>
        <w:keepLines/>
      </w:pPr>
      <w:r>
        <w:t>The proposed result</w:t>
      </w:r>
    </w:p>
    <w:p>
      <w:pPr>
        <w:widowControl/>
      </w:pPr>
      <w:r>
        <w:t>The proposal now gives each relationship an explicit meaning, source role and selected OGC carrier. It defines reusable domain groups and references that connect equipment, functions, deployments, communications, power, actions and service history. A profile-aware client can use those connections to assemble the employed sensor, while the base resources remain available to clients that implement their representations. The complete fictional example is supplied as linked JSON design bodies, not a live integration or final native-model implementation.</w:t>
      </w:r>
    </w:p>
    <w:p>
      <w:pPr>
        <w:pStyle w:val="Heading2"/>
        <w:keepNext/>
        <w:keepLines/>
      </w:pPr>
      <w:r>
        <w:t>Document standing</w:t>
      </w:r>
    </w:p>
    <w:p>
      <w:pPr>
        <w:widowControl/>
      </w:pPr>
      <w:r>
        <w:t>Working version 0.3.5 incorporates four owner-approved bounded increments. The current increment clarifies R11 native observation subjects, preserves donor-specific lineage meanings, and strengthens R17 quantity and missing-value mapping. Earlier mode, product, identity, composition, provenance, command, power and condition decisions remain in force. A separate battery-voltage mapping example does not reinterpret the original external sources. No universal lineage model, new API, native adapter or technical profile v0.4 is introduced.</w:t>
      </w:r>
    </w:p>
    <w:p>
      <w:pPr>
        <w:pStyle w:val="SourceNote"/>
      </w:pPr>
      <w:r>
        <w:t>Basis: the original v0.3 draft and four owner-approved increments. Master bibliography/register v0.8 remains historical and unchanged. The v0.3.5 example/catalogue retains provisional /0.3/ URIs; one new qualified battery-voltage definition is illustrative, not a registered donor term. Exact source and authorship boundaries are recorded with this release.</w:t>
      </w:r>
    </w:p>
    <w:p>
      <w:pPr>
        <w:widowControl/>
      </w:pPr>
      <w:r>
        <w:br w:type="page"/>
      </w:r>
    </w:p>
    <w:p>
      <w:bookmarkStart w:id="1" w:name="executive"/>
      <w:pPr>
        <w:pStyle w:val="Heading1"/>
        <w:keepNext/>
        <w:keepLines/>
      </w:pPr>
      <w:r>
        <w:t>Executive recommendation and reading route</w:t>
      </w:r>
      <w:bookmarkEnd w:id="1"/>
    </w:p>
    <w:p>
      <w:pPr>
        <w:widowControl/>
      </w:pPr>
      <w:r>
        <w:rPr>
          <w:b/>
        </w:rPr>
        <w:t>Proceed with a modular OGC application profile for the whole managed physical sensing system and its deployment.</w:t>
      </w:r>
      <w:r>
        <w:t xml:space="preserve"> Use the Sensor Network Reference Architecture (SNRA) to check the family and coverage, and use the Open Standard for Unattended Sensors (OSUS) physical-asset abstraction as substantive implementation-community evidence. Evaluate the relevant commercial models within that scope rather than returning to a comparison limited by the available manual excerpts. The proposed domain organization below is our design recommendation, grounded in the v0.7 assessment rather than an assertion that one published model already contains every section (“Domain Information Models” 2026, §§1.3–1.8).</w:t>
      </w:r>
    </w:p>
    <w:p>
      <w:pPr>
        <w:widowControl/>
      </w:pPr>
      <w:r>
        <w:t>Section 5 retains R01–R20 with the accepted increments through v0.3.5. Section 6 preserves the original fictional station and the two-mode case, then adds a separate battery-voltage mapping case in §6.10. R11 now makes native sampling-subject selection and donor-lineage preservation explicit; R17 distinguishes quantity meaning from unit conversion and unavailable results. Section 5.14 continues to separate native mechanisms, semantic reuse and MERLIN-authored rules.</w:t>
      </w:r>
    </w:p>
    <w:tbl>
      <w:tblPr>
        <w:tblW w:type="auto" w:w="0"/>
        <w:jc w:val="center"/>
        <w:tblLayout w:type="fixed"/>
        <w:tblLook w:firstColumn="1" w:firstRow="1" w:lastColumn="0" w:lastRow="0" w:noHBand="0" w:noVBand="1" w:val="04A0"/>
      </w:tblPr>
      <w:tblGrid>
        <w:gridCol w:w="2808"/>
        <w:gridCol w:w="936"/>
        <w:gridCol w:w="6250"/>
      </w:tblGrid>
      <w:tr>
        <w:trPr>
          <w:tblHeader/>
          <w:cantSplit/>
        </w:trPr>
        <w:tc>
          <w:tcPr>
            <w:tcW w:type="dxa" w:w="2808"/>
            <w:shd w:fill="225E70"/>
            <w:vAlign w:val="center"/>
            <w:tcMar>
              <w:top w:w="85" w:type="dxa"/>
              <w:left w:w="85" w:type="dxa"/>
              <w:bottom w:w="85" w:type="dxa"/>
              <w:right w:w="85" w:type="dxa"/>
            </w:tcMar>
          </w:tcPr>
          <w:p>
            <w:pPr>
              <w:spacing w:after="60" w:before="40" w:line="247" w:lineRule="auto"/>
            </w:pPr>
            <w:r>
              <w:rPr>
                <w:rFonts w:ascii="Calibri" w:hAnsi="Calibri"/>
                <w:b/>
                <w:color w:val="FFFFFF"/>
                <w:sz w:val="19"/>
              </w:rPr>
              <w:t>Read for…</w:t>
            </w:r>
          </w:p>
        </w:tc>
        <w:tc>
          <w:tcPr>
            <w:tcW w:type="dxa" w:w="936"/>
            <w:shd w:fill="225E70"/>
            <w:vAlign w:val="center"/>
            <w:tcMar>
              <w:top w:w="85" w:type="dxa"/>
              <w:left w:w="85" w:type="dxa"/>
              <w:bottom w:w="85" w:type="dxa"/>
              <w:right w:w="85" w:type="dxa"/>
            </w:tcMar>
          </w:tcPr>
          <w:p>
            <w:pPr>
              <w:spacing w:after="60" w:before="40" w:line="247" w:lineRule="auto"/>
            </w:pPr>
            <w:r>
              <w:rPr>
                <w:rFonts w:ascii="Calibri" w:hAnsi="Calibri"/>
                <w:b/>
                <w:color w:val="FFFFFF"/>
                <w:sz w:val="19"/>
              </w:rPr>
              <w:t>Section</w:t>
            </w:r>
          </w:p>
        </w:tc>
        <w:tc>
          <w:tcPr>
            <w:tcW w:type="dxa" w:w="6250"/>
            <w:shd w:fill="225E70"/>
            <w:vAlign w:val="center"/>
            <w:tcMar>
              <w:top w:w="85" w:type="dxa"/>
              <w:left w:w="85" w:type="dxa"/>
              <w:bottom w:w="85" w:type="dxa"/>
              <w:right w:w="85" w:type="dxa"/>
            </w:tcMar>
          </w:tcPr>
          <w:p>
            <w:pPr>
              <w:spacing w:after="60" w:before="40" w:line="247" w:lineRule="auto"/>
            </w:pPr>
            <w:r>
              <w:rPr>
                <w:rFonts w:ascii="Calibri" w:hAnsi="Calibri"/>
                <w:b/>
                <w:color w:val="FFFFFF"/>
                <w:sz w:val="19"/>
              </w:rPr>
              <w:t>Purpose</w:t>
            </w:r>
          </w:p>
        </w:tc>
      </w:tr>
      <w:tr>
        <w:trPr>
          <w:cantSplit/>
        </w:trPr>
        <w:tc>
          <w:tcPr>
            <w:tcW w:type="dxa" w:w="2808"/>
            <w:shd w:fill="F1F5F6"/>
            <w:vAlign w:val="center"/>
            <w:tcMar>
              <w:top w:w="85" w:type="dxa"/>
              <w:left w:w="85" w:type="dxa"/>
              <w:bottom w:w="85" w:type="dxa"/>
              <w:right w:w="85" w:type="dxa"/>
            </w:tcMar>
          </w:tcPr>
          <w:p>
            <w:r>
              <w:t>The family and architecture</w:t>
            </w:r>
          </w:p>
        </w:tc>
        <w:tc>
          <w:tcPr>
            <w:tcW w:type="dxa" w:w="936"/>
            <w:shd w:fill="F1F5F6"/>
            <w:vAlign w:val="center"/>
            <w:tcMar>
              <w:top w:w="85" w:type="dxa"/>
              <w:left w:w="85" w:type="dxa"/>
              <w:bottom w:w="85" w:type="dxa"/>
              <w:right w:w="85" w:type="dxa"/>
            </w:tcMar>
          </w:tcPr>
          <w:p>
            <w:r>
              <w:t>1–2</w:t>
            </w:r>
          </w:p>
        </w:tc>
        <w:tc>
          <w:tcPr>
            <w:tcW w:type="dxa" w:w="6250"/>
            <w:shd w:fill="F1F5F6"/>
            <w:vAlign w:val="center"/>
            <w:tcMar>
              <w:top w:w="85" w:type="dxa"/>
              <w:left w:w="85" w:type="dxa"/>
              <w:bottom w:w="85" w:type="dxa"/>
              <w:right w:w="85" w:type="dxa"/>
            </w:tcMar>
          </w:tcPr>
          <w:p>
            <w:r>
              <w:t>Scope, participants and the meaning of implementation.</w:t>
            </w:r>
          </w:p>
        </w:tc>
      </w:tr>
      <w:tr>
        <w:trPr>
          <w:cantSplit/>
        </w:trPr>
        <w:tc>
          <w:tcPr>
            <w:tcW w:type="dxa" w:w="2808"/>
            <w:vAlign w:val="center"/>
            <w:tcMar>
              <w:top w:w="85" w:type="dxa"/>
              <w:left w:w="85" w:type="dxa"/>
              <w:bottom w:w="85" w:type="dxa"/>
              <w:right w:w="85" w:type="dxa"/>
            </w:tcMar>
          </w:tcPr>
          <w:p>
            <w:r>
              <w:t>Why each source belongs</w:t>
            </w:r>
          </w:p>
        </w:tc>
        <w:tc>
          <w:tcPr>
            <w:tcW w:type="dxa" w:w="936"/>
            <w:vAlign w:val="center"/>
            <w:tcMar>
              <w:top w:w="85" w:type="dxa"/>
              <w:left w:w="85" w:type="dxa"/>
              <w:bottom w:w="85" w:type="dxa"/>
              <w:right w:w="85" w:type="dxa"/>
            </w:tcMar>
          </w:tcPr>
          <w:p>
            <w:r>
              <w:t>3</w:t>
            </w:r>
          </w:p>
        </w:tc>
        <w:tc>
          <w:tcPr>
            <w:tcW w:type="dxa" w:w="6250"/>
            <w:vAlign w:val="center"/>
            <w:tcMar>
              <w:top w:w="85" w:type="dxa"/>
              <w:left w:w="85" w:type="dxa"/>
              <w:bottom w:w="85" w:type="dxa"/>
              <w:right w:w="85" w:type="dxa"/>
            </w:tcMar>
          </w:tcPr>
          <w:p>
            <w:r>
              <w:t>Drafting foundations, selected content and organizing precedents.</w:t>
            </w:r>
          </w:p>
        </w:tc>
      </w:tr>
      <w:tr>
        <w:trPr>
          <w:cantSplit/>
        </w:trPr>
        <w:tc>
          <w:tcPr>
            <w:tcW w:type="dxa" w:w="2808"/>
            <w:shd w:fill="F1F5F6"/>
            <w:vAlign w:val="center"/>
            <w:tcMar>
              <w:top w:w="85" w:type="dxa"/>
              <w:left w:w="85" w:type="dxa"/>
              <w:bottom w:w="85" w:type="dxa"/>
              <w:right w:w="85" w:type="dxa"/>
            </w:tcMar>
          </w:tcPr>
          <w:p>
            <w:r>
              <w:t>Whole-system coverage</w:t>
            </w:r>
          </w:p>
        </w:tc>
        <w:tc>
          <w:tcPr>
            <w:tcW w:type="dxa" w:w="936"/>
            <w:shd w:fill="F1F5F6"/>
            <w:vAlign w:val="center"/>
            <w:tcMar>
              <w:top w:w="85" w:type="dxa"/>
              <w:left w:w="85" w:type="dxa"/>
              <w:bottom w:w="85" w:type="dxa"/>
              <w:right w:w="85" w:type="dxa"/>
            </w:tcMar>
          </w:tcPr>
          <w:p>
            <w:r>
              <w:t>4.1–4.8</w:t>
            </w:r>
          </w:p>
        </w:tc>
        <w:tc>
          <w:tcPr>
            <w:tcW w:type="dxa" w:w="6250"/>
            <w:shd w:fill="F1F5F6"/>
            <w:vAlign w:val="center"/>
            <w:tcMar>
              <w:top w:w="85" w:type="dxa"/>
              <w:left w:w="85" w:type="dxa"/>
              <w:bottom w:w="85" w:type="dxa"/>
              <w:right w:w="85" w:type="dxa"/>
            </w:tcMar>
          </w:tcPr>
          <w:p>
            <w:r>
              <w:t>Eight connected information subjects; not eight separate services.</w:t>
            </w:r>
          </w:p>
        </w:tc>
      </w:tr>
      <w:tr>
        <w:trPr>
          <w:cantSplit/>
        </w:trPr>
        <w:tc>
          <w:tcPr>
            <w:tcW w:type="dxa" w:w="2808"/>
            <w:vAlign w:val="center"/>
            <w:tcMar>
              <w:top w:w="85" w:type="dxa"/>
              <w:left w:w="85" w:type="dxa"/>
              <w:bottom w:w="85" w:type="dxa"/>
              <w:right w:w="85" w:type="dxa"/>
            </w:tcMar>
          </w:tcPr>
          <w:p>
            <w:r>
              <w:t>The new technical draft</w:t>
            </w:r>
          </w:p>
        </w:tc>
        <w:tc>
          <w:tcPr>
            <w:tcW w:type="dxa" w:w="936"/>
            <w:vAlign w:val="center"/>
            <w:tcMar>
              <w:top w:w="85" w:type="dxa"/>
              <w:left w:w="85" w:type="dxa"/>
              <w:bottom w:w="85" w:type="dxa"/>
              <w:right w:w="85" w:type="dxa"/>
            </w:tcMar>
          </w:tcPr>
          <w:p>
            <w:r>
              <w:t>5.1–5.13</w:t>
            </w:r>
          </w:p>
        </w:tc>
        <w:tc>
          <w:tcPr>
            <w:tcW w:type="dxa" w:w="6250"/>
            <w:vAlign w:val="center"/>
            <w:tcMar>
              <w:top w:w="85" w:type="dxa"/>
              <w:left w:w="85" w:type="dxa"/>
              <w:bottom w:w="85" w:type="dxa"/>
              <w:right w:w="85" w:type="dxa"/>
            </w:tcMar>
          </w:tcPr>
          <w:p>
            <w:r>
              <w:t>Declaration, references, group contracts, R01–R20 and definitions.</w:t>
            </w:r>
          </w:p>
        </w:tc>
      </w:tr>
      <w:tr>
        <w:trPr>
          <w:cantSplit/>
        </w:trPr>
        <w:tc>
          <w:tcPr>
            <w:tcW w:type="dxa" w:w="2808"/>
            <w:vAlign w:val="center"/>
            <w:tcMar>
              <w:top w:w="85" w:type="dxa"/>
              <w:left w:w="85" w:type="dxa"/>
              <w:bottom w:w="85" w:type="dxa"/>
              <w:right w:w="85" w:type="dxa"/>
            </w:tcMar>
          </w:tcPr>
          <w:p>
            <w:pPr>
              <w:pStyle w:val="Small"/>
            </w:pPr>
            <w:r>
              <w:t>Why custom content is present</w:t>
            </w:r>
          </w:p>
        </w:tc>
        <w:tc>
          <w:tcPr>
            <w:tcW w:type="dxa" w:w="936"/>
            <w:vAlign w:val="center"/>
            <w:tcMar>
              <w:top w:w="85" w:type="dxa"/>
              <w:left w:w="85" w:type="dxa"/>
              <w:bottom w:w="85" w:type="dxa"/>
              <w:right w:w="85" w:type="dxa"/>
            </w:tcMar>
          </w:tcPr>
          <w:p>
            <w:pPr>
              <w:pStyle w:val="Small"/>
            </w:pPr>
            <w:hyperlink w:anchor="CustomContentExplanation">
              <w:r>
                <w:rPr>
                  <w:rStyle w:val="Hyperlink"/>
                </w:rPr>
                <w:t>5.14</w:t>
              </w:r>
            </w:hyperlink>
          </w:p>
        </w:tc>
        <w:tc>
          <w:tcPr>
            <w:tcW w:type="dxa" w:w="6250"/>
            <w:vAlign w:val="center"/>
            <w:tcMar>
              <w:top w:w="85" w:type="dxa"/>
              <w:left w:w="85" w:type="dxa"/>
              <w:bottom w:w="85" w:type="dxa"/>
              <w:right w:w="85" w:type="dxa"/>
            </w:tcMar>
          </w:tcPr>
          <w:p>
            <w:pPr>
              <w:pStyle w:val="Small"/>
            </w:pPr>
            <w:r>
              <w:t>Explanation, examples, review status and Power Source coordination.</w:t>
            </w:r>
          </w:p>
        </w:tc>
      </w:tr>
      <w:tr>
        <w:trPr>
          <w:cantSplit/>
        </w:trPr>
        <w:tc>
          <w:tcPr>
            <w:tcW w:type="dxa" w:w="2808"/>
            <w:shd w:fill="F1F5F6"/>
            <w:vAlign w:val="center"/>
            <w:tcMar>
              <w:top w:w="85" w:type="dxa"/>
              <w:left w:w="85" w:type="dxa"/>
              <w:bottom w:w="85" w:type="dxa"/>
              <w:right w:w="85" w:type="dxa"/>
            </w:tcMar>
          </w:tcPr>
          <w:p>
            <w:r>
              <w:t>A connected example</w:t>
            </w:r>
          </w:p>
        </w:tc>
        <w:tc>
          <w:tcPr>
            <w:tcW w:type="dxa" w:w="936"/>
            <w:shd w:fill="F1F5F6"/>
            <w:vAlign w:val="center"/>
            <w:tcMar>
              <w:top w:w="85" w:type="dxa"/>
              <w:left w:w="85" w:type="dxa"/>
              <w:bottom w:w="85" w:type="dxa"/>
              <w:right w:w="85" w:type="dxa"/>
            </w:tcMar>
          </w:tcPr>
          <w:p>
            <w:r>
              <w:t>6.1–6.10</w:t>
            </w:r>
          </w:p>
        </w:tc>
        <w:tc>
          <w:tcPr>
            <w:tcW w:type="dxa" w:w="6250"/>
            <w:shd w:fill="F1F5F6"/>
            <w:vAlign w:val="center"/>
            <w:tcMar>
              <w:top w:w="85" w:type="dxa"/>
              <w:left w:w="85" w:type="dxa"/>
              <w:bottom w:w="85" w:type="dxa"/>
              <w:right w:w="85" w:type="dxa"/>
            </w:tcMar>
          </w:tcPr>
          <w:p>
            <w:r>
              <w:t>Original station, two-mode sensor and separate subject/quantity mapping guidance.</w:t>
            </w:r>
          </w:p>
        </w:tc>
      </w:tr>
      <w:tr>
        <w:trPr>
          <w:cantSplit/>
        </w:trPr>
        <w:tc>
          <w:tcPr>
            <w:tcW w:type="dxa" w:w="2808"/>
          </w:tcPr>
          <w:p>
            <w:r>
              <w:t>Compatibility and next decisions</w:t>
            </w:r>
          </w:p>
        </w:tc>
        <w:tc>
          <w:tcPr>
            <w:tcW w:type="dxa" w:w="936"/>
          </w:tcPr>
          <w:p>
            <w:r>
              <w:t>7–11</w:t>
            </w:r>
          </w:p>
        </w:tc>
        <w:tc>
          <w:tcPr>
            <w:tcW w:type="dxa" w:w="6250"/>
          </w:tcPr>
          <w:p>
            <w:r>
              <w:t>Base-client use, implementation scope, adoption and remaining work.</w:t>
            </w:r>
          </w:p>
        </w:tc>
      </w:tr>
    </w:tbl>
    <w:p>
      <w:pPr>
        <w:widowControl/>
        <w:spacing w:after="0"/>
      </w:pPr>
    </w:p>
    <w:p>
      <w:pPr>
        <w:pStyle w:val="Heading2"/>
        <w:keepNext/>
        <w:keepLines/>
      </w:pPr>
      <w:r>
        <w:t>What this proposal settles—and what it does not</w:t>
      </w:r>
    </w:p>
    <w:p>
      <w:pPr>
        <w:widowControl/>
      </w:pPr>
      <w:r>
        <w:t>The eight-subject scope and R01–R20 remain the working design. Mode scoping and declared-product discovery are retained; v0.3.5 adds native subject-selection, historical-subject and donor-lineage guidance plus bounded quantity mapping. Existing resources are not retroactively reassigned, and the generic supply-terminal example remains generic. The approved guidance does not make every donor-specific lineage relation understandable to a common client or establish native-system interoperability.</w:t>
      </w:r>
    </w:p>
    <w:p>
      <w:pPr>
        <w:pStyle w:val="SourceNote"/>
      </w:pPr>
      <w:r>
        <w:t>Evidence and limits: this increment checks the approved CSAPI Parts 1–2 and SWE Common 3.0 mechanisms, RFC 7577 batteryActualVoltage, and the completed Power/ISA/SAPIENT/OMS findings. Verification covers edits, local references, illustrative conversions, nil handling and rendered documents—not full schema or live interoperability conformance. No new master source IDs or normative IEEE/ISO mappings are issued.</w:t>
      </w:r>
    </w:p>
    <w:p>
      <w:pPr>
        <w:widowControl/>
      </w:pPr>
      <w:r>
        <w:br w:type="page"/>
      </w:r>
    </w:p>
    <w:p>
      <w:bookmarkStart w:id="2" w:name="scope"/>
      <w:pPr>
        <w:pStyle w:val="Heading1"/>
        <w:keepNext/>
        <w:keepLines/>
      </w:pPr>
      <w:r>
        <w:t>1. Scope and applicability</w:t>
      </w:r>
      <w:bookmarkEnd w:id="2"/>
    </w:p>
    <w:p>
      <w:pPr>
        <w:pStyle w:val="Heading2"/>
        <w:keepNext/>
        <w:keepLines/>
      </w:pPr>
      <w:r>
        <w:t>1.1 The system family</w:t>
      </w:r>
    </w:p>
    <w:p>
      <w:pPr>
        <w:widowControl/>
      </w:pPr>
      <w:r>
        <w:t>The proposed subject is an identifiable physical sensing system whose useful operational description includes its capabilities or equipment and its employment in a deployment or other managed arrangement. Management may be performed locally, remotely, through a gateway, or through records maintained by responsible personnel. The system need not be military, autonomous, battery-powered, continuously connected or directly IP-addressable. This is a proposed applicability boundary informed by sensor-network entities and the OSUS Asset abstraction, not a newly discovered universal taxonomy named “managed physical sensing system” (ISO/IEC 2013, §5; OSUS-R Contributors n.d., Asset.java; “Domain Information Models” 2026, §1.5).</w:t>
      </w:r>
    </w:p>
    <w:p>
      <w:pPr>
        <w:pStyle w:val="Heading2"/>
        <w:keepNext/>
        <w:keepLines/>
      </w:pPr>
      <w:r>
        <w:t>1.2 Included systems and participants</w:t>
      </w:r>
    </w:p>
    <w:p>
      <w:pPr>
        <w:widowControl/>
      </w:pPr>
      <w:r>
        <w:t>UGS are the first reference family, including TRSS and OmniSense and potentially other UGS described in authoritative engineering material. Environmental monitoring stations, connected cameras and sensor payloads on platforms are additional applicability cases because the same equipment, power, communication and operational-placement concerns recur. A controller, gateway, power unit, platform or supporting actuator can participate in the description even when sensing is not its primary purpose. Purely computational processes and human observers remain valid related OGC resources, but are not recast as physical devices merely to bring them under this profile (Armistead 2018; Song and Lee 2009; Open Geospatial Consortium 2025a, §11.1).</w:t>
      </w:r>
    </w:p>
    <w:p>
      <w:pPr>
        <w:pStyle w:val="Heading2"/>
        <w:keepNext/>
        <w:keepLines/>
      </w:pPr>
      <w:r>
        <w:t>1.3 Full descriptive coverage, variable instance content</w:t>
      </w:r>
    </w:p>
    <w:p>
      <w:pPr>
        <w:widowControl/>
      </w:pPr>
      <w:r>
        <w:t>The profile’s potential coverage follows the system family and the applicable models, while the content available for one integration follows its actual sources. A supported domain concept can belong in the profile before a TRSS or OmniSense instance of it has been recovered. Different families can use a common foundation with applicable domain sections and family-specific specializations, without requiring identical populated records. The profile will therefore distinguish its coverage from any future minimum-content rules; the initial screenshots are neither a ceiling on coverage nor a complete conformance dataset (“PITON” 2026, §3).</w:t>
      </w:r>
    </w:p>
    <w:p>
      <w:pPr>
        <w:pStyle w:val="Heading2"/>
        <w:keepNext/>
        <w:keepLines/>
      </w:pPr>
      <w:r>
        <w:t>1.4 Intended users and limits</w:t>
      </w:r>
    </w:p>
    <w:p>
      <w:pPr>
        <w:widowControl/>
      </w:pPr>
      <w:r>
        <w:t>The primary users are people operating or responsible for sensing equipment, together with integrators and client developers who must present that equipment meaningfully. Their work includes preparation, emplacement, operation, communication, configuration, relevant maintenance, recovery and redeployment. The profile describes the information and supported interactions needed for that work; it does not by itself create a full enterprise maintenance application, an autonomous planning system or a new network-control plane. Security and authorization remain applicable to all implementations, but a complete security-labeling or access-control profile is not silently selected through this descriptive outline (“PITON” 2026, §5).</w:t>
      </w:r>
    </w:p>
    <w:p>
      <w:pPr>
        <w:widowControl/>
      </w:pPr>
      <w:r>
        <w:br w:type="page"/>
      </w:r>
    </w:p>
    <w:p>
      <w:bookmarkStart w:id="3" w:name="structure"/>
      <w:pPr>
        <w:pStyle w:val="Heading1"/>
        <w:keepNext/>
        <w:keepLines/>
      </w:pPr>
      <w:r>
        <w:t>2. Profile structure and implementation meaning</w:t>
      </w:r>
      <w:bookmarkEnd w:id="3"/>
    </w:p>
    <w:p>
      <w:pPr>
        <w:pStyle w:val="Heading2"/>
        <w:keepNext/>
        <w:keepLines/>
      </w:pPr>
      <w:r>
        <w:t>2.1 Domain model, application profile and binding</w:t>
      </w:r>
    </w:p>
    <w:p>
      <w:pPr>
        <w:widowControl/>
      </w:pPr>
      <w:r>
        <w:t>A domain model contributes the substantive concepts and relationships that make the system description useful. The application profile identifies the purpose-specific use of its base specifications and the domain content that implementations agree to support. A binding specifies how selected concepts are expressed in the chosen OGC resources and encodings, including connections among those representations. These are complementary artifacts: a model is not replaced by a profile, and a profile is not completed merely by renaming an informal agreement (World Wide Web Consortium 2019; “PITON” 2026, §4).</w:t>
      </w:r>
    </w:p>
    <w:p>
      <w:pPr>
        <w:pStyle w:val="Heading2"/>
        <w:keepNext/>
        <w:keepLines/>
      </w:pPr>
      <w:r>
        <w:t>2.2 One common foundation with connected domain sections</w:t>
      </w:r>
    </w:p>
    <w:p>
      <w:pPr>
        <w:widowControl/>
      </w:pPr>
      <w:r>
        <w:t>The proposed common foundation provides system identity, reusable model descriptions, resource associations, semantic-definition conventions and links to an operational deployment where applicable. Eight domain sections develop the substantive information subjects set out in Section 4. A family specialization can select relevant content and add device-family detail while preserving the shared meaning and the base OGC contracts. “Domain section” here means a proposed part of the profile specification, not a new server, resource type, mandatory tab or prescribed layer in a single inheritance tree.</w:t>
      </w:r>
    </w:p>
    <w:p>
      <w:pPr>
        <w:pStyle w:val="Heading2"/>
        <w:keepNext/>
        <w:keepLines/>
      </w:pPr>
      <w:r>
        <w:t>2.3 What would actually be implemented</w:t>
      </w:r>
    </w:p>
    <w:p>
      <w:pPr>
        <w:widowControl/>
      </w:pPr>
      <w:r>
        <w:t>The principal proposed implementation is production and consumption of the selected OGC representations with the profile’s explicitly authored content and binding requirements. A native external source interface may also be implemented where justified, but that would be a separate identified commitment. Referencing OSUS capability concepts or mapping YANG hardware information into SensorML would not implement the OSUS Java services or the YANG module by itself. Conversely, an information model that explicitly permits other realizations may support a faithful OGC realization; RFC 7326 provides such a precedent, although its scope and obligations still have to be carried into the actual binding (OSUS-R Contributors n.d., README; Internet Engineering Task Force 2018, §§3–7; 2014, §7).</w:t>
      </w:r>
    </w:p>
    <w:p>
      <w:pPr>
        <w:pStyle w:val="Heading2"/>
        <w:keepNext/>
        <w:keepLines/>
      </w:pPr>
      <w:r>
        <w:t>2.4 What the profile adds</w:t>
      </w:r>
    </w:p>
    <w:p>
      <w:pPr>
        <w:widowControl/>
      </w:pPr>
      <w:r>
        <w:t>The intended addition is reusable domain organization, not a claim that the base standards cannot store the individual values. Integrators would have a defined target for useful sensor-system content, and clients would have recognizable domain structures instead of reconstructing their meaning supplier by supplier. Any locally developed definitions and mappings will remain visible as our authored work, with an identified maintenance owner. The value comparison must account for the origin and cost of domain knowledge in every alternative rather than credit a custom direct-OGC implementation with that knowledge for free (“Domain Information Models” 2026, §1.11).</w:t>
      </w:r>
    </w:p>
    <w:p>
      <w:pPr>
        <w:widowControl/>
      </w:pPr>
      <w:r>
        <w:br w:type="page"/>
      </w:r>
    </w:p>
    <w:p>
      <w:bookmarkStart w:id="4" w:name="sources"/>
      <w:pPr>
        <w:pStyle w:val="Heading1"/>
        <w:keepNext/>
        <w:keepLines/>
      </w:pPr>
      <w:r>
        <w:t>3. Source selection and responsibilities</w:t>
      </w:r>
      <w:bookmarkEnd w:id="4"/>
    </w:p>
    <w:p>
      <w:pPr>
        <w:widowControl/>
      </w:pPr>
      <w:r>
        <w:t xml:space="preserve">The following is a </w:t>
      </w:r>
      <w:r>
        <w:rPr>
          <w:b/>
        </w:rPr>
        <w:t>source-selection rationale for drafting</w:t>
      </w:r>
      <w:r>
        <w:t>, not a list of standards that every implementation must implement. It carries the v0.7 division of responsibilities forward while preserving the distinction between a reference architecture, a concrete information model, a software contract and a profiling precedent. Final normative selections belong in the technical profile, after the applicable content and the proposed implementation claim are explicit (“Domain Information Models” 2026, §§1.6–1.7).</w:t>
      </w:r>
    </w:p>
    <w:tbl>
      <w:tblPr>
        <w:tblW w:type="auto" w:w="0"/>
        <w:jc w:val="center"/>
        <w:tblLayout w:type="fixed"/>
        <w:tblLook w:firstColumn="1" w:firstRow="1" w:lastColumn="0" w:lastRow="0" w:noHBand="0" w:noVBand="1" w:val="04A0"/>
      </w:tblPr>
      <w:tblGrid>
        <w:gridCol w:w="2635"/>
        <w:gridCol w:w="4018"/>
        <w:gridCol w:w="3341"/>
      </w:tblGrid>
      <w:tr>
        <w:trPr>
          <w:tblHeader/>
          <w:cantSplit/>
        </w:trPr>
        <w:tc>
          <w:tcPr>
            <w:tcW w:type="dxa" w:w="2635"/>
            <w:shd w:fill="225E70"/>
            <w:vAlign w:val="center"/>
            <w:tcMar>
              <w:top w:w="85" w:type="dxa"/>
              <w:left w:w="85" w:type="dxa"/>
              <w:bottom w:w="85" w:type="dxa"/>
              <w:right w:w="85" w:type="dxa"/>
            </w:tcMar>
          </w:tcPr>
          <w:p>
            <w:pPr>
              <w:spacing w:after="60" w:before="40" w:line="247" w:lineRule="auto"/>
            </w:pPr>
            <w:r>
              <w:rPr>
                <w:rFonts w:ascii="Calibri" w:hAnsi="Calibri"/>
                <w:b/>
                <w:color w:val="FFFFFF"/>
                <w:sz w:val="18"/>
              </w:rPr>
              <w:t>Source / corpus ID</w:t>
            </w:r>
          </w:p>
        </w:tc>
        <w:tc>
          <w:tcPr>
            <w:tcW w:type="dxa" w:w="4018"/>
            <w:shd w:fill="225E70"/>
            <w:vAlign w:val="center"/>
            <w:tcMar>
              <w:top w:w="85" w:type="dxa"/>
              <w:left w:w="85" w:type="dxa"/>
              <w:bottom w:w="85" w:type="dxa"/>
              <w:right w:w="85" w:type="dxa"/>
            </w:tcMar>
          </w:tcPr>
          <w:p>
            <w:pPr>
              <w:spacing w:after="60" w:before="40" w:line="247" w:lineRule="auto"/>
            </w:pPr>
            <w:r>
              <w:rPr>
                <w:rFonts w:ascii="Calibri" w:hAnsi="Calibri"/>
                <w:b/>
                <w:color w:val="FFFFFF"/>
                <w:sz w:val="18"/>
              </w:rPr>
              <w:t>Proposed responsibility</w:t>
            </w:r>
          </w:p>
        </w:tc>
        <w:tc>
          <w:tcPr>
            <w:tcW w:type="dxa" w:w="3341"/>
            <w:shd w:fill="225E70"/>
            <w:vAlign w:val="center"/>
            <w:tcMar>
              <w:top w:w="85" w:type="dxa"/>
              <w:left w:w="85" w:type="dxa"/>
              <w:bottom w:w="85" w:type="dxa"/>
              <w:right w:w="85" w:type="dxa"/>
            </w:tcMar>
          </w:tcPr>
          <w:p>
            <w:pPr>
              <w:spacing w:after="60" w:before="40" w:line="247" w:lineRule="auto"/>
            </w:pPr>
            <w:r>
              <w:rPr>
                <w:rFonts w:ascii="Calibri" w:hAnsi="Calibri"/>
                <w:b/>
                <w:color w:val="FFFFFF"/>
                <w:sz w:val="18"/>
              </w:rPr>
              <w:t>What is not implied</w:t>
            </w:r>
          </w:p>
        </w:tc>
      </w:tr>
      <w:tr>
        <w:trPr>
          <w:cantSplit/>
        </w:trPr>
        <w:tc>
          <w:tcPr>
            <w:tcW w:type="dxa" w:w="2635"/>
            <w:shd w:fill="F1F5F6"/>
            <w:vAlign w:val="center"/>
            <w:tcMar>
              <w:top w:w="85" w:type="dxa"/>
              <w:left w:w="85" w:type="dxa"/>
              <w:bottom w:w="85" w:type="dxa"/>
              <w:right w:w="85" w:type="dxa"/>
            </w:tcMar>
          </w:tcPr>
          <w:p>
            <w:pPr>
              <w:spacing w:after="60" w:before="40" w:line="247" w:lineRule="auto"/>
            </w:pPr>
            <w:r>
              <w:rPr>
                <w:rFonts w:ascii="Calibri" w:hAnsi="Calibri"/>
                <w:sz w:val="18"/>
              </w:rPr>
              <w:t>CSAPI 1.0 Parts 1–2; SensorML 3.0; SWE Common 3.0</w:t>
              <w:br/>
              <w:t>S01–S04</w:t>
            </w:r>
          </w:p>
        </w:tc>
        <w:tc>
          <w:tcPr>
            <w:tcW w:type="dxa" w:w="4018"/>
            <w:shd w:fill="F1F5F6"/>
            <w:vAlign w:val="center"/>
            <w:tcMar>
              <w:top w:w="85" w:type="dxa"/>
              <w:left w:w="85" w:type="dxa"/>
              <w:bottom w:w="85" w:type="dxa"/>
              <w:right w:w="85" w:type="dxa"/>
            </w:tcMar>
          </w:tcPr>
          <w:p>
            <w:pPr>
              <w:spacing w:after="60" w:before="40" w:line="247" w:lineRule="auto"/>
            </w:pPr>
            <w:r>
              <w:rPr>
                <w:rFonts w:ascii="Calibri" w:hAnsi="Calibri"/>
                <w:sz w:val="18"/>
              </w:rPr>
              <w:t>Base representation and interaction framework. Use existing System, Deployment, descriptive, data-stream and command mechanisms.</w:t>
            </w:r>
          </w:p>
        </w:tc>
        <w:tc>
          <w:tcPr>
            <w:tcW w:type="dxa" w:w="3341"/>
            <w:shd w:fill="F1F5F6"/>
            <w:vAlign w:val="center"/>
            <w:tcMar>
              <w:top w:w="85" w:type="dxa"/>
              <w:left w:w="85" w:type="dxa"/>
              <w:bottom w:w="85" w:type="dxa"/>
              <w:right w:w="85" w:type="dxa"/>
            </w:tcMar>
          </w:tcPr>
          <w:p>
            <w:pPr>
              <w:spacing w:after="60" w:before="40" w:line="247" w:lineRule="auto"/>
            </w:pPr>
            <w:r>
              <w:rPr>
                <w:rFonts w:ascii="Calibri" w:hAnsi="Calibri"/>
                <w:sz w:val="18"/>
              </w:rPr>
              <w:t>No new API architecture or invented OGC resource type.</w:t>
            </w:r>
          </w:p>
        </w:tc>
      </w:tr>
      <w:tr>
        <w:trPr>
          <w:cantSplit/>
        </w:trPr>
        <w:tc>
          <w:tcPr>
            <w:tcW w:type="dxa" w:w="2635"/>
            <w:vAlign w:val="center"/>
            <w:tcMar>
              <w:top w:w="85" w:type="dxa"/>
              <w:left w:w="85" w:type="dxa"/>
              <w:bottom w:w="85" w:type="dxa"/>
              <w:right w:w="85" w:type="dxa"/>
            </w:tcMar>
          </w:tcPr>
          <w:p>
            <w:pPr>
              <w:spacing w:after="60" w:before="40" w:line="247" w:lineRule="auto"/>
            </w:pPr>
            <w:r>
              <w:rPr>
                <w:rFonts w:ascii="Calibri" w:hAnsi="Calibri"/>
                <w:sz w:val="18"/>
              </w:rPr>
              <w:t>ISO/IEC 29182-4:2013</w:t>
              <w:br/>
              <w:t>S52</w:t>
            </w:r>
          </w:p>
        </w:tc>
        <w:tc>
          <w:tcPr>
            <w:tcW w:type="dxa" w:w="4018"/>
            <w:vAlign w:val="center"/>
            <w:tcMar>
              <w:top w:w="85" w:type="dxa"/>
              <w:left w:w="85" w:type="dxa"/>
              <w:bottom w:w="85" w:type="dxa"/>
              <w:right w:w="85" w:type="dxa"/>
            </w:tcMar>
          </w:tcPr>
          <w:p>
            <w:pPr>
              <w:spacing w:after="60" w:before="40" w:line="247" w:lineRule="auto"/>
            </w:pPr>
            <w:r>
              <w:rPr>
                <w:rFonts w:ascii="Calibri" w:hAnsi="Calibri"/>
                <w:sz w:val="18"/>
              </w:rPr>
              <w:t>Category and whole-system coverage reference: node, gateway, physical/functional organization.</w:t>
            </w:r>
          </w:p>
        </w:tc>
        <w:tc>
          <w:tcPr>
            <w:tcW w:type="dxa" w:w="3341"/>
            <w:vAlign w:val="center"/>
            <w:tcMar>
              <w:top w:w="85" w:type="dxa"/>
              <w:left w:w="85" w:type="dxa"/>
              <w:bottom w:w="85" w:type="dxa"/>
              <w:right w:w="85" w:type="dxa"/>
            </w:tcMar>
          </w:tcPr>
          <w:p>
            <w:pPr>
              <w:spacing w:after="60" w:before="40" w:line="247" w:lineRule="auto"/>
            </w:pPr>
            <w:r>
              <w:rPr>
                <w:rFonts w:ascii="Calibri" w:hAnsi="Calibri"/>
                <w:sz w:val="18"/>
              </w:rPr>
              <w:t>Not a complete inspected vocabulary; no SNRA certification claim.</w:t>
            </w:r>
          </w:p>
        </w:tc>
      </w:tr>
      <w:tr>
        <w:trPr>
          <w:cantSplit/>
        </w:trPr>
        <w:tc>
          <w:tcPr>
            <w:tcW w:type="dxa" w:w="2635"/>
            <w:shd w:fill="F1F5F6"/>
            <w:vAlign w:val="center"/>
            <w:tcMar>
              <w:top w:w="85" w:type="dxa"/>
              <w:left w:w="85" w:type="dxa"/>
              <w:bottom w:w="85" w:type="dxa"/>
              <w:right w:w="85" w:type="dxa"/>
            </w:tcMar>
          </w:tcPr>
          <w:p>
            <w:pPr>
              <w:spacing w:after="60" w:before="40" w:line="247" w:lineRule="auto"/>
            </w:pPr>
            <w:r>
              <w:rPr>
                <w:rFonts w:ascii="Calibri" w:hAnsi="Calibri"/>
                <w:sz w:val="18"/>
              </w:rPr>
              <w:t>OSUS-R Asset and capability artifacts</w:t>
              <w:br/>
              <w:t>S47</w:t>
            </w:r>
          </w:p>
        </w:tc>
        <w:tc>
          <w:tcPr>
            <w:tcW w:type="dxa" w:w="4018"/>
            <w:shd w:fill="F1F5F6"/>
            <w:vAlign w:val="center"/>
            <w:tcMar>
              <w:top w:w="85" w:type="dxa"/>
              <w:left w:w="85" w:type="dxa"/>
              <w:bottom w:w="85" w:type="dxa"/>
              <w:right w:w="85" w:type="dxa"/>
            </w:tcMar>
          </w:tcPr>
          <w:p>
            <w:pPr>
              <w:spacing w:after="60" w:before="40" w:line="247" w:lineRule="auto"/>
            </w:pPr>
            <w:r>
              <w:rPr>
                <w:rFonts w:ascii="Calibri" w:hAnsi="Calibri"/>
                <w:sz w:val="18"/>
              </w:rPr>
              <w:t>Substantive UGS-community comparator for device functions, supported interactions, status and media.</w:t>
            </w:r>
          </w:p>
        </w:tc>
        <w:tc>
          <w:tcPr>
            <w:tcW w:type="dxa" w:w="3341"/>
            <w:shd w:fill="F1F5F6"/>
            <w:vAlign w:val="center"/>
            <w:tcMar>
              <w:top w:w="85" w:type="dxa"/>
              <w:left w:w="85" w:type="dxa"/>
              <w:bottom w:w="85" w:type="dxa"/>
              <w:right w:w="85" w:type="dxa"/>
            </w:tcMar>
          </w:tcPr>
          <w:p>
            <w:pPr>
              <w:spacing w:after="60" w:before="40" w:line="247" w:lineRule="auto"/>
            </w:pPr>
            <w:r>
              <w:rPr>
                <w:rFonts w:ascii="Calibri" w:hAnsi="Calibri"/>
                <w:sz w:val="18"/>
              </w:rPr>
              <w:t>No selection of the OSUS runtime; new OGC mappings remain ours.</w:t>
            </w:r>
          </w:p>
        </w:tc>
      </w:tr>
      <w:tr>
        <w:trPr>
          <w:cantSplit/>
        </w:trPr>
        <w:tc>
          <w:tcPr>
            <w:tcW w:type="dxa" w:w="2635"/>
            <w:vAlign w:val="center"/>
            <w:tcMar>
              <w:top w:w="85" w:type="dxa"/>
              <w:left w:w="85" w:type="dxa"/>
              <w:bottom w:w="85" w:type="dxa"/>
              <w:right w:w="85" w:type="dxa"/>
            </w:tcMar>
          </w:tcPr>
          <w:p>
            <w:pPr>
              <w:spacing w:after="60" w:before="40" w:line="247" w:lineRule="auto"/>
            </w:pPr>
            <w:r>
              <w:rPr>
                <w:rFonts w:ascii="Calibri" w:hAnsi="Calibri"/>
                <w:sz w:val="18"/>
              </w:rPr>
              <w:t>RFC 8348</w:t>
              <w:br/>
              <w:t>S08</w:t>
            </w:r>
          </w:p>
        </w:tc>
        <w:tc>
          <w:tcPr>
            <w:tcW w:type="dxa" w:w="4018"/>
            <w:vAlign w:val="center"/>
            <w:tcMar>
              <w:top w:w="85" w:type="dxa"/>
              <w:left w:w="85" w:type="dxa"/>
              <w:bottom w:w="85" w:type="dxa"/>
              <w:right w:w="85" w:type="dxa"/>
            </w:tcMar>
          </w:tcPr>
          <w:p>
            <w:pPr>
              <w:spacing w:after="60" w:before="40" w:line="247" w:lineRule="auto"/>
            </w:pPr>
            <w:r>
              <w:rPr>
                <w:rFonts w:ascii="Calibri" w:hAnsi="Calibri"/>
                <w:sz w:val="18"/>
              </w:rPr>
              <w:t>Principal hardware-management comparator for identity, components, arrangement and related state.</w:t>
            </w:r>
          </w:p>
        </w:tc>
        <w:tc>
          <w:tcPr>
            <w:tcW w:type="dxa" w:w="3341"/>
            <w:vAlign w:val="center"/>
            <w:tcMar>
              <w:top w:w="85" w:type="dxa"/>
              <w:left w:w="85" w:type="dxa"/>
              <w:bottom w:w="85" w:type="dxa"/>
              <w:right w:w="85" w:type="dxa"/>
            </w:tcMar>
          </w:tcPr>
          <w:p>
            <w:pPr>
              <w:spacing w:after="60" w:before="40" w:line="247" w:lineRule="auto"/>
            </w:pPr>
            <w:r>
              <w:rPr>
                <w:rFonts w:ascii="Calibri" w:hAnsi="Calibri"/>
                <w:sz w:val="18"/>
              </w:rPr>
              <w:t>No blanket YANG adoption or automatic mapping for all equipment.</w:t>
            </w:r>
          </w:p>
        </w:tc>
      </w:tr>
      <w:tr>
        <w:trPr>
          <w:cantSplit/>
        </w:trPr>
        <w:tc>
          <w:tcPr>
            <w:tcW w:type="dxa" w:w="2635"/>
            <w:shd w:fill="F1F5F6"/>
            <w:vAlign w:val="center"/>
            <w:tcMar>
              <w:top w:w="85" w:type="dxa"/>
              <w:left w:w="85" w:type="dxa"/>
              <w:bottom w:w="85" w:type="dxa"/>
              <w:right w:w="85" w:type="dxa"/>
            </w:tcMar>
          </w:tcPr>
          <w:p>
            <w:pPr>
              <w:spacing w:after="60" w:before="40" w:line="247" w:lineRule="auto"/>
            </w:pPr>
            <w:r>
              <w:rPr>
                <w:rFonts w:ascii="Calibri" w:hAnsi="Calibri"/>
                <w:sz w:val="18"/>
              </w:rPr>
              <w:t>OPC UA Devices / PA-DIM; Asset Administration Shell (AAS) templates</w:t>
              <w:br/>
              <w:t>S05–S07, S36–S39</w:t>
            </w:r>
          </w:p>
        </w:tc>
        <w:tc>
          <w:tcPr>
            <w:tcW w:type="dxa" w:w="4018"/>
            <w:shd w:fill="F1F5F6"/>
            <w:vAlign w:val="center"/>
            <w:tcMar>
              <w:top w:w="85" w:type="dxa"/>
              <w:left w:w="85" w:type="dxa"/>
              <w:bottom w:w="85" w:type="dxa"/>
              <w:right w:w="85" w:type="dxa"/>
            </w:tcMar>
          </w:tcPr>
          <w:p>
            <w:pPr>
              <w:spacing w:after="60" w:before="40" w:line="247" w:lineRule="auto"/>
            </w:pPr>
            <w:r>
              <w:rPr>
                <w:rFonts w:ascii="Calibri" w:hAnsi="Calibri"/>
                <w:sz w:val="18"/>
              </w:rPr>
              <w:t>Domain and structural alternatives; examine exact device, hierarchy and capability content where it improves the description.</w:t>
            </w:r>
          </w:p>
        </w:tc>
        <w:tc>
          <w:tcPr>
            <w:tcW w:type="dxa" w:w="3341"/>
            <w:shd w:fill="F1F5F6"/>
            <w:vAlign w:val="center"/>
            <w:tcMar>
              <w:top w:w="85" w:type="dxa"/>
              <w:left w:w="85" w:type="dxa"/>
              <w:bottom w:w="85" w:type="dxa"/>
              <w:right w:w="85" w:type="dxa"/>
            </w:tcMar>
          </w:tcPr>
          <w:p>
            <w:pPr>
              <w:spacing w:after="60" w:before="40" w:line="247" w:lineRule="auto"/>
            </w:pPr>
            <w:r>
              <w:rPr>
                <w:rFonts w:ascii="Calibri" w:hAnsi="Calibri"/>
                <w:sz w:val="18"/>
              </w:rPr>
              <w:t>Not excluded because a supplier lacks a native implementation; not all adopted together.</w:t>
            </w:r>
          </w:p>
        </w:tc>
      </w:tr>
      <w:tr>
        <w:trPr>
          <w:cantSplit/>
        </w:trPr>
        <w:tc>
          <w:tcPr>
            <w:tcW w:type="dxa" w:w="2635"/>
            <w:vAlign w:val="center"/>
            <w:tcMar>
              <w:top w:w="85" w:type="dxa"/>
              <w:left w:w="85" w:type="dxa"/>
              <w:bottom w:w="85" w:type="dxa"/>
              <w:right w:w="85" w:type="dxa"/>
            </w:tcMar>
          </w:tcPr>
          <w:p>
            <w:pPr>
              <w:spacing w:after="60" w:before="40" w:line="247" w:lineRule="auto"/>
            </w:pPr>
            <w:r>
              <w:rPr>
                <w:rFonts w:ascii="Calibri" w:hAnsi="Calibri"/>
                <w:sz w:val="18"/>
              </w:rPr>
              <w:t>MIMOSA OSA-EAI / CCOM; OIIE installation/removal; OSA-CBM</w:t>
              <w:br/>
              <w:t>S16–S18, S35</w:t>
            </w:r>
          </w:p>
        </w:tc>
        <w:tc>
          <w:tcPr>
            <w:tcW w:type="dxa" w:w="4018"/>
            <w:vAlign w:val="center"/>
            <w:tcMar>
              <w:top w:w="85" w:type="dxa"/>
              <w:left w:w="85" w:type="dxa"/>
              <w:bottom w:w="85" w:type="dxa"/>
              <w:right w:w="85" w:type="dxa"/>
            </w:tcMar>
          </w:tcPr>
          <w:p>
            <w:pPr>
              <w:spacing w:after="60" w:before="40" w:line="247" w:lineRule="auto"/>
            </w:pPr>
            <w:r>
              <w:rPr>
                <w:rFonts w:ascii="Calibri" w:hAnsi="Calibri"/>
                <w:sz w:val="18"/>
              </w:rPr>
              <w:t>Priority lifecycle and asset-continuity candidates; assessment content where applicable.</w:t>
            </w:r>
          </w:p>
        </w:tc>
        <w:tc>
          <w:tcPr>
            <w:tcW w:type="dxa" w:w="3341"/>
            <w:vAlign w:val="center"/>
            <w:tcMar>
              <w:top w:w="85" w:type="dxa"/>
              <w:left w:w="85" w:type="dxa"/>
              <w:bottom w:w="85" w:type="dxa"/>
              <w:right w:w="85" w:type="dxa"/>
            </w:tcMar>
          </w:tcPr>
          <w:p>
            <w:pPr>
              <w:spacing w:after="60" w:before="40" w:line="247" w:lineRule="auto"/>
            </w:pPr>
            <w:r>
              <w:rPr>
                <w:rFonts w:ascii="Calibri" w:hAnsi="Calibri"/>
                <w:sz w:val="18"/>
              </w:rPr>
              <w:t>Inspected CCOM 4.1.0-RC1 is not the mandated OSA-EAI 3.2.3a edition.</w:t>
            </w:r>
          </w:p>
        </w:tc>
      </w:tr>
      <w:tr>
        <w:trPr>
          <w:cantSplit/>
        </w:trPr>
        <w:tc>
          <w:tcPr>
            <w:tcW w:type="dxa" w:w="2635"/>
            <w:shd w:fill="F1F5F6"/>
            <w:vAlign w:val="center"/>
            <w:tcMar>
              <w:top w:w="85" w:type="dxa"/>
              <w:left w:w="85" w:type="dxa"/>
              <w:bottom w:w="85" w:type="dxa"/>
              <w:right w:w="85" w:type="dxa"/>
            </w:tcMar>
          </w:tcPr>
          <w:p>
            <w:pPr>
              <w:spacing w:after="60" w:before="40" w:line="247" w:lineRule="auto"/>
            </w:pPr>
            <w:r>
              <w:rPr>
                <w:rFonts w:ascii="Calibri" w:hAnsi="Calibri"/>
                <w:sz w:val="18"/>
              </w:rPr>
              <w:t>RFC 7326; battery, unit and energy-constraint sources</w:t>
              <w:br/>
              <w:t>S09–S10, S14–S15, S50</w:t>
            </w:r>
          </w:p>
        </w:tc>
        <w:tc>
          <w:tcPr>
            <w:tcW w:type="dxa" w:w="4018"/>
            <w:shd w:fill="F1F5F6"/>
            <w:vAlign w:val="center"/>
            <w:tcMar>
              <w:top w:w="85" w:type="dxa"/>
              <w:left w:w="85" w:type="dxa"/>
              <w:bottom w:w="85" w:type="dxa"/>
              <w:right w:w="85" w:type="dxa"/>
            </w:tcMar>
          </w:tcPr>
          <w:p>
            <w:pPr>
              <w:spacing w:after="60" w:before="40" w:line="247" w:lineRule="auto"/>
            </w:pPr>
            <w:r>
              <w:rPr>
                <w:rFonts w:ascii="Calibri" w:hAnsi="Calibri"/>
                <w:sz w:val="18"/>
              </w:rPr>
              <w:t>Organize Power Source model selection and its relation to the whole system.</w:t>
            </w:r>
          </w:p>
        </w:tc>
        <w:tc>
          <w:tcPr>
            <w:tcW w:type="dxa" w:w="3341"/>
            <w:shd w:fill="F1F5F6"/>
            <w:vAlign w:val="center"/>
            <w:tcMar>
              <w:top w:w="85" w:type="dxa"/>
              <w:left w:w="85" w:type="dxa"/>
              <w:bottom w:w="85" w:type="dxa"/>
              <w:right w:w="85" w:type="dxa"/>
            </w:tcMar>
          </w:tcPr>
          <w:p>
            <w:pPr>
              <w:spacing w:after="60" w:before="40" w:line="247" w:lineRule="auto"/>
            </w:pPr>
            <w:r>
              <w:rPr>
                <w:rFonts w:ascii="Calibri" w:hAnsi="Calibri"/>
                <w:sz w:val="18"/>
              </w:rPr>
              <w:t>No final universal power model or battery-estimator choice.</w:t>
            </w:r>
          </w:p>
        </w:tc>
      </w:tr>
      <w:tr>
        <w:trPr>
          <w:cantSplit/>
        </w:trPr>
        <w:tc>
          <w:tcPr>
            <w:tcW w:type="dxa" w:w="2635"/>
            <w:vAlign w:val="center"/>
            <w:tcMar>
              <w:top w:w="85" w:type="dxa"/>
              <w:left w:w="85" w:type="dxa"/>
              <w:bottom w:w="85" w:type="dxa"/>
              <w:right w:w="85" w:type="dxa"/>
            </w:tcMar>
          </w:tcPr>
          <w:p>
            <w:pPr>
              <w:spacing w:after="60" w:before="40" w:line="247" w:lineRule="auto"/>
            </w:pPr>
            <w:r>
              <w:rPr>
                <w:rFonts w:ascii="Calibri" w:hAnsi="Calibri"/>
                <w:sz w:val="18"/>
              </w:rPr>
              <w:t>Marine SensorML / Discovery Profile</w:t>
              <w:br/>
              <w:t>S20–S21, S33–S34</w:t>
            </w:r>
          </w:p>
        </w:tc>
        <w:tc>
          <w:tcPr>
            <w:tcW w:type="dxa" w:w="4018"/>
            <w:vAlign w:val="center"/>
            <w:tcMar>
              <w:top w:w="85" w:type="dxa"/>
              <w:left w:w="85" w:type="dxa"/>
              <w:bottom w:w="85" w:type="dxa"/>
              <w:right w:w="85" w:type="dxa"/>
            </w:tcMar>
          </w:tcPr>
          <w:p>
            <w:pPr>
              <w:spacing w:after="60" w:before="40" w:line="247" w:lineRule="auto"/>
            </w:pPr>
            <w:r>
              <w:rPr>
                <w:rFonts w:ascii="Calibri" w:hAnsi="Calibri"/>
                <w:sz w:val="18"/>
              </w:rPr>
              <w:t>Precedents for purpose-specific descriptive content, vocabularies and mappings.</w:t>
            </w:r>
          </w:p>
        </w:tc>
        <w:tc>
          <w:tcPr>
            <w:tcW w:type="dxa" w:w="3341"/>
            <w:vAlign w:val="center"/>
            <w:tcMar>
              <w:top w:w="85" w:type="dxa"/>
              <w:left w:w="85" w:type="dxa"/>
              <w:bottom w:w="85" w:type="dxa"/>
              <w:right w:w="85" w:type="dxa"/>
            </w:tcMar>
          </w:tcPr>
          <w:p>
            <w:pPr>
              <w:spacing w:after="60" w:before="40" w:line="247" w:lineRule="auto"/>
            </w:pPr>
            <w:r>
              <w:rPr>
                <w:rFonts w:ascii="Calibri" w:hAnsi="Calibri"/>
                <w:sz w:val="18"/>
              </w:rPr>
              <w:t>Not adoption of their historical XML profiles.</w:t>
            </w:r>
          </w:p>
        </w:tc>
      </w:tr>
      <w:tr>
        <w:trPr>
          <w:cantSplit/>
        </w:trPr>
        <w:tc>
          <w:tcPr>
            <w:tcW w:type="dxa" w:w="2635"/>
            <w:shd w:fill="F1F5F6"/>
            <w:vAlign w:val="center"/>
            <w:tcMar>
              <w:top w:w="85" w:type="dxa"/>
              <w:left w:w="85" w:type="dxa"/>
              <w:bottom w:w="85" w:type="dxa"/>
              <w:right w:w="85" w:type="dxa"/>
            </w:tcMar>
          </w:tcPr>
          <w:p>
            <w:pPr>
              <w:spacing w:after="60" w:before="40" w:line="247" w:lineRule="auto"/>
            </w:pPr>
            <w:r>
              <w:rPr>
                <w:rFonts w:ascii="Calibri" w:hAnsi="Calibri"/>
                <w:sz w:val="18"/>
              </w:rPr>
              <w:t>MIM/JC3IEDM research</w:t>
              <w:br/>
              <w:t>S19, S27</w:t>
            </w:r>
          </w:p>
        </w:tc>
        <w:tc>
          <w:tcPr>
            <w:tcW w:type="dxa" w:w="4018"/>
            <w:shd w:fill="F1F5F6"/>
            <w:vAlign w:val="center"/>
            <w:tcMar>
              <w:top w:w="85" w:type="dxa"/>
              <w:left w:w="85" w:type="dxa"/>
              <w:bottom w:w="85" w:type="dxa"/>
              <w:right w:w="85" w:type="dxa"/>
            </w:tcMar>
          </w:tcPr>
          <w:p>
            <w:pPr>
              <w:spacing w:after="60" w:before="40" w:line="247" w:lineRule="auto"/>
            </w:pPr>
            <w:r>
              <w:rPr>
                <w:rFonts w:ascii="Calibri" w:hAnsi="Calibri"/>
                <w:sz w:val="18"/>
              </w:rPr>
              <w:t>Operational organization, role and mission candidates when more detail than OGC deployment metadata is needed.</w:t>
            </w:r>
          </w:p>
        </w:tc>
        <w:tc>
          <w:tcPr>
            <w:tcW w:type="dxa" w:w="3341"/>
            <w:shd w:fill="F1F5F6"/>
            <w:vAlign w:val="center"/>
            <w:tcMar>
              <w:top w:w="85" w:type="dxa"/>
              <w:left w:w="85" w:type="dxa"/>
              <w:bottom w:w="85" w:type="dxa"/>
              <w:right w:w="85" w:type="dxa"/>
            </w:tcMar>
          </w:tcPr>
          <w:p>
            <w:pPr>
              <w:spacing w:after="60" w:before="40" w:line="247" w:lineRule="auto"/>
            </w:pPr>
            <w:r>
              <w:rPr>
                <w:rFonts w:ascii="Calibri" w:hAnsi="Calibri"/>
                <w:sz w:val="18"/>
              </w:rPr>
              <w:t>No universal equipment parent or automatic MIP exchange conformance.</w:t>
            </w:r>
          </w:p>
        </w:tc>
      </w:tr>
      <w:tr>
        <w:trPr>
          <w:cantSplit/>
        </w:trPr>
        <w:tc>
          <w:tcPr>
            <w:tcW w:type="dxa" w:w="2635"/>
            <w:vAlign w:val="center"/>
            <w:tcMar>
              <w:top w:w="85" w:type="dxa"/>
              <w:left w:w="85" w:type="dxa"/>
              <w:bottom w:w="85" w:type="dxa"/>
              <w:right w:w="85" w:type="dxa"/>
            </w:tcMar>
          </w:tcPr>
          <w:p>
            <w:pPr>
              <w:spacing w:after="60"/>
            </w:pPr>
            <w:r>
              <w:rPr>
                <w:sz w:val="18"/>
              </w:rPr>
              <w:t>RFC 2863 / RFC 8343 / RFC 8345</w:t>
              <w:br/>
              <w:t>Supplemental D01–D03</w:t>
            </w:r>
          </w:p>
        </w:tc>
        <w:tc>
          <w:tcPr>
            <w:tcW w:type="dxa" w:w="4018"/>
            <w:vAlign w:val="center"/>
            <w:tcMar>
              <w:top w:w="85" w:type="dxa"/>
              <w:left w:w="85" w:type="dxa"/>
              <w:bottom w:w="85" w:type="dxa"/>
              <w:right w:w="85" w:type="dxa"/>
            </w:tcMar>
          </w:tcPr>
          <w:p>
            <w:pPr>
              <w:spacing w:after="60"/>
            </w:pPr>
            <w:r>
              <w:rPr>
                <w:sz w:val="18"/>
              </w:rPr>
              <w:t>Interface identity, layering and operating information; network endpoints and links where topology matters.</w:t>
            </w:r>
          </w:p>
        </w:tc>
        <w:tc>
          <w:tcPr>
            <w:tcW w:type="dxa" w:w="3341"/>
            <w:vAlign w:val="center"/>
            <w:tcMar>
              <w:top w:w="85" w:type="dxa"/>
              <w:left w:w="85" w:type="dxa"/>
              <w:bottom w:w="85" w:type="dxa"/>
              <w:right w:w="85" w:type="dxa"/>
            </w:tcMar>
          </w:tcPr>
          <w:p>
            <w:pPr>
              <w:spacing w:after="60"/>
            </w:pPr>
            <w:r>
              <w:rPr>
                <w:sz w:val="18"/>
              </w:rPr>
              <w:t>New OGC mapping, not SNMP/YANG conformance. Generic topology needs family-specific detail.</w:t>
            </w:r>
          </w:p>
        </w:tc>
      </w:tr>
    </w:tbl>
    <w:p>
      <w:pPr>
        <w:widowControl/>
        <w:spacing w:after="0"/>
      </w:pPr>
    </w:p>
    <w:p>
      <w:pPr>
        <w:pStyle w:val="SourceNote"/>
      </w:pPr>
      <w:r>
        <w:t>Detailed source roles, editions and inspection limits originated in the v0.7 bibliography; the current separate master bibliography/register is v0.8. Sections 4.1–4.8 explain the engineering subjects; Section 9 retains adoption-status distinctions.</w:t>
      </w:r>
    </w:p>
    <w:p>
      <w:pPr>
        <w:widowControl/>
      </w:pPr>
      <w:r>
        <w:br w:type="page"/>
      </w:r>
    </w:p>
    <w:p>
      <w:bookmarkStart w:id="5" w:name="content"/>
      <w:pPr>
        <w:pStyle w:val="Heading1"/>
        <w:keepNext/>
        <w:keepLines/>
      </w:pPr>
      <w:r>
        <w:t>4. Content outline for the complete system</w:t>
      </w:r>
      <w:bookmarkEnd w:id="5"/>
    </w:p>
    <w:p>
      <w:bookmarkStart w:id="6" w:name="domain1"/>
      <w:pPr>
        <w:pStyle w:val="Heading2"/>
        <w:keepNext/>
        <w:keepLines/>
      </w:pPr>
      <w:r>
        <w:t>4.1 System identity, model and technical description</w:t>
      </w:r>
      <w:bookmarkEnd w:id="6"/>
    </w:p>
    <w:p>
      <w:pPr>
        <w:pStyle w:val="SourceNote"/>
      </w:pPr>
      <w:r>
        <w:t>Purpose: understand what this system is, what type of equipment it represents, and the technical information needed to use it. Principal evidence: S01, S03, S08, S21, S35–S36, S46.</w:t>
      </w:r>
    </w:p>
    <w:p>
      <w:pPr>
        <w:pStyle w:val="Heading3"/>
        <w:keepNext/>
        <w:keepLines/>
      </w:pPr>
      <w:r>
        <w:t>Content to include</w:t>
      </w:r>
    </w:p>
    <w:p>
      <w:pPr>
        <w:widowControl/>
      </w:pPr>
      <w:r>
        <w:t>This section would cover the persistent identity and useful name of the sensing system, its manufacturer/model references, relevant hardware or firmware versions, physical and environmental characteristics, and links to technical documentation. It would associate common product information with particular systems without requiring every integration to duplicate the same description. Installation- or mission-specific names can be presented with the active employment while the equipment remains recognizable across deployments. The resulting description should explain the actual kind of sensor and its distinctive properties, not stop at the generic label System.</w:t>
      </w:r>
    </w:p>
    <w:p>
      <w:pPr>
        <w:pStyle w:val="Heading3"/>
        <w:keepNext/>
        <w:keepLines/>
      </w:pPr>
      <w:r>
        <w:t>Source selection and rationale</w:t>
      </w:r>
    </w:p>
    <w:p>
      <w:pPr>
        <w:widowControl/>
      </w:pPr>
      <w:r>
        <w:t>SensorML supplies identity, characterization and reusable base-description mechanisms, while the marine conventions provide a concrete model/instance descriptive precedent. RFC 8348 contributes hardware identification and revision concepts; the inspected CCOM material contributes the product-model/asset distinction. AAS TechnicalData is a useful comparator for structured technical product information, but its generic frame does not by itself define the sensing-family property set. The drafting basis is therefore OGC plus the applicable established descriptive content, rather than a default second product-description container (Open Geospatial Consortium 2025c, §8.2; Kokkinaki et al. n.d.; Internet Engineering Task Force 2018, §3; MIMOSA 2018, pp. 7–8; Industrial Digital Twin Association 2025a, §2.1).</w:t>
      </w:r>
    </w:p>
    <w:p>
      <w:pPr>
        <w:pStyle w:val="Heading3"/>
        <w:keepNext/>
        <w:keepLines/>
      </w:pPr>
      <w:r>
        <w:t>Proposed OGC treatment and authored work</w:t>
      </w:r>
    </w:p>
    <w:p>
      <w:pPr>
        <w:widowControl/>
      </w:pPr>
      <w:r>
        <w:t>Expose the particular equipment as a System, and expose its reusable datasheet/process description as a Procedure where that is the represented concept. CSAPI’s systemKind association maps to SensorML typeOf; identifiers, characterization and documentation use their existing descriptive mechanisms. The profile supplies family-specific property meanings and the resolution of model-derived information, while the OGC model supplies the existing reference path. Section 5.6, R01–R04, makes the relationships and the retained local authoring explicit (Open Geospatial Consortium 2025a, §§13, 19.2.5; 2025c, §8.2.9; n.d., AbstractProcess.json).</w:t>
      </w:r>
    </w:p>
    <w:p>
      <w:pPr>
        <w:pStyle w:val="Heading3"/>
        <w:keepNext/>
        <w:keepLines/>
      </w:pPr>
      <w:r>
        <w:t>Operator and integration benefit</w:t>
      </w:r>
    </w:p>
    <w:p>
      <w:pPr>
        <w:widowControl/>
      </w:pPr>
      <w:r>
        <w:t>The operator would see the sensor’s meaningful equipment description and relevant documentation in one place, with details appropriate to its family. The integrator would reuse the common model description and map supplier-specific information into known descriptive subjects. Source-specific technical detail would remain accessible within those subjects rather than disappear because it is not in a generic common list. This section does not prescribe every identification field as mandatory or require a serial number as the only possible basis for system identity.</w:t>
      </w:r>
    </w:p>
    <w:p>
      <w:pPr>
        <w:widowControl/>
      </w:pPr>
      <w:r>
        <w:br w:type="page"/>
      </w:r>
    </w:p>
    <w:p>
      <w:bookmarkStart w:id="7" w:name="domain2"/>
      <w:pPr>
        <w:pStyle w:val="Heading2"/>
        <w:keepNext/>
        <w:keepLines/>
      </w:pPr>
      <w:r>
        <w:rPr>
          <w:sz w:val="34"/>
        </w:rPr>
        <w:t>4.2 Equipment, composition and physical arrangement</w:t>
      </w:r>
      <w:bookmarkEnd w:id="7"/>
    </w:p>
    <w:p>
      <w:pPr>
        <w:pStyle w:val="SourceNote"/>
      </w:pPr>
      <w:r>
        <w:t>Purpose: understand the system’s sensing equipment, supporting hardware and physical arrangement. Principal evidence: S01, S03, S08, S35, S37–S38, S47, S52.</w:t>
      </w:r>
    </w:p>
    <w:p>
      <w:pPr>
        <w:pStyle w:val="Heading3"/>
        <w:keepNext/>
        <w:keepLines/>
      </w:pPr>
      <w:r>
        <w:t>Content to include</w:t>
      </w:r>
    </w:p>
    <w:p>
      <w:pPr>
        <w:widowControl/>
      </w:pPr>
      <w:r>
        <w:t>The equipment section would describe the detectors, instruments, payloads, controllers, communications equipment and supporting devices that make up or participate in the sensing system. It would cover relevant attachment positions, physical interfaces, interconnections and relationships among separately described equipment where those relationships are useful. The model would permit both a compact description within one system and links to independently managed components. A common Equipment view is the intended presentation; the integration can retain supporting detail without organizing the operator’s entire experience around how a particular supplier records its inventory.</w:t>
      </w:r>
    </w:p>
    <w:p>
      <w:pPr>
        <w:pStyle w:val="Heading3"/>
        <w:keepNext/>
        <w:keepLines/>
      </w:pPr>
      <w:r>
        <w:t>Source selection and rationale</w:t>
      </w:r>
    </w:p>
    <w:p>
      <w:pPr>
        <w:widowControl/>
      </w:pPr>
      <w:r>
        <w:t>RFC 8348 is the principal hardware-management comparator because it defines a concrete component structure and associated hardware information. AAS Hierarchical Structures addresses the complementary question of distributed and co-managed asset descriptions, while its IEC-based extension distinguishes engineering perspectives that should not be forced into one tree. CCOM is important where the same physical equipment participates in changing arrangements over time, and OSUS reinforces that one asset can contain several sensors. These sources have different strengths; their content should be compared at the relationship level rather than ranked solely by a familiar parent–child diagram (Internet Engineering Task Force 2018, §§2–4; Industrial Digital Twin Association 2024, §§1.2–1.5; 2025b, §2; MIMOSA 2018, pp. 7–8; OSUS-R Contributors n.d., Asset.java).</w:t>
      </w:r>
    </w:p>
    <w:p>
      <w:pPr>
        <w:pStyle w:val="Heading3"/>
        <w:keepNext/>
        <w:keepLines/>
      </w:pPr>
      <w:r>
        <w:t>Proposed OGC treatment and authored work</w:t>
      </w:r>
    </w:p>
    <w:p>
      <w:pPr>
        <w:widowControl/>
      </w:pPr>
      <w:r>
        <w:t>SensorML physical-system composition and applicable CSAPI System associations provide the initial representation approach. Deployment participants provide another relevant association where equipment is brought together for an employment, rather than treated as an enduring part of one system. The profile needs to specify how the selected domain relationships map to those mechanisms, including references to supporting equipment and physical connection details. This work does not require a new top-level Equipment API or a stand-alone System resource for every small component; the representation should follow the intended identity and management boundary (Open Geospatial Consortium 2025a, §§10–12; 2025c, §§8.5–8.6, 8.9).</w:t>
      </w:r>
    </w:p>
    <w:p>
      <w:pPr>
        <w:pStyle w:val="Heading3"/>
        <w:keepNext/>
        <w:keepLines/>
      </w:pPr>
      <w:r>
        <w:t>Expected reuse and remaining selection</w:t>
      </w:r>
    </w:p>
    <w:p>
      <w:pPr>
        <w:widowControl/>
      </w:pPr>
      <w:r>
        <w:t>The reusable outcome is a consistent way to describe the equipment that enables the system’s functions and to navigate its related records. TRSS detector arrangements, OmniSense transducers and a camera platform’s equipment can fit that organization without receiving identical field lists. The remaining selection is which hardware and arrangement definitions merit normative reference and which need an explicit OGC mapping. An external model remains eligible even when the source manufacturer does not already implement it; native supplier support strengthens one use case but is not the sole justification for reuse.</w:t>
      </w:r>
    </w:p>
    <w:p>
      <w:pPr>
        <w:widowControl/>
      </w:pPr>
      <w:r>
        <w:br w:type="page"/>
      </w:r>
    </w:p>
    <w:p>
      <w:bookmarkStart w:id="8" w:name="domain3"/>
      <w:pPr>
        <w:pStyle w:val="Heading2"/>
        <w:keepNext/>
        <w:keepLines/>
      </w:pPr>
      <w:r>
        <w:rPr>
          <w:sz w:val="34"/>
        </w:rPr>
        <w:t>4.3 Sensing capabilities, performance and outputs</w:t>
      </w:r>
      <w:bookmarkEnd w:id="8"/>
    </w:p>
    <w:p>
      <w:pPr>
        <w:pStyle w:val="SourceNote"/>
      </w:pPr>
      <w:r>
        <w:t>Purpose: understand what the system can sense or do, its operating limits and the information available from it. Principal evidence: S01–S04, S06, S21, S39, S47–S48.</w:t>
      </w:r>
    </w:p>
    <w:p>
      <w:pPr>
        <w:pStyle w:val="Heading3"/>
        <w:keepNext/>
        <w:keepLines/>
      </w:pPr>
      <w:r>
        <w:t>Content to include</w:t>
      </w:r>
    </w:p>
    <w:p>
      <w:pPr>
        <w:widowControl/>
      </w:pPr>
      <w:r>
        <w:t>This section would describe sensing modalities, observed properties, measurement or detection functions, associated processing, operating ranges and conditions, and relevant accuracy or performance qualifications. It would also describe the observation products and supported media available to the user, with links to the streams or resources that deliver them. Optional actuation and related non-sensing functions belong where they contribute to the sensing system’s use. The intent is to explain the capabilities of the actual equipment, not require an operator to translate a generic list of process inputs and outputs into an operational meaning.</w:t>
      </w:r>
    </w:p>
    <w:p>
      <w:pPr>
        <w:pStyle w:val="Heading3"/>
        <w:keepNext/>
        <w:keepLines/>
      </w:pPr>
      <w:r>
        <w:t>Source selection and rationale</w:t>
      </w:r>
    </w:p>
    <w:p>
      <w:pPr>
        <w:widowControl/>
      </w:pPr>
      <w:r>
        <w:t>SensorML provides the process, capability and performance framework, while the OSUS capability model supplies a concrete comparison covering sensing, media and supported commands. Marine SensorML conventions contribute a community example of agreeing on characteristics and capabilities within OGC. PA-DIM is relevant where its process-device and signal content fits, and AAS Capability Description adds a different relationship between required and offered functions and their realization. Capability matching is retained as an applicable specialization, not used to redefine ordinary sensing-performance descriptions or to promise automated collection planning (Open Geospatial Consortium 2025c, §§1, 8.2; OSUS-R Contributors n.d., AssetCapabilities.xsd; Kokkinaki et al. n.d.; OPC Foundation and FieldComm Group 2025, §§1, 7.2; Industrial Digital Twin Association 2026a, §§1.2–1.6).</w:t>
      </w:r>
    </w:p>
    <w:p>
      <w:pPr>
        <w:pStyle w:val="Heading3"/>
        <w:keepNext/>
        <w:keepLines/>
      </w:pPr>
      <w:r>
        <w:t>Proposed OGC treatment and authored work</w:t>
      </w:r>
    </w:p>
    <w:p>
      <w:pPr>
        <w:widowControl/>
      </w:pPr>
      <w:r>
        <w:t>The profile uses SensorML capability and process descriptions with selected property definitions and SWE Common structures, and connects declared products to actual CSAPI DataStreams when those streams are exposed. Working v0.3.4 places mode-specific sensing-function and function-binding groups inside native Mode metadata while shared parameter and output definitions remain on the containing process. Native Settings describe mode-specific values, narrowed parameter constraints and output enabling; MERLIN supplies the additional group-scoping and reference rules. Declared capability remains discoverable before observations exist and is not automatically evidence of current availability (Open Geospatial Consortium 2025c, §§8.2, 8.8; 2025b, §9.2.2).</w:t>
      </w:r>
    </w:p>
    <w:p>
      <w:pPr>
        <w:pStyle w:val="Heading3"/>
        <w:keepNext/>
        <w:keepLines/>
      </w:pPr>
      <w:r>
        <w:t>What the user gains</w:t>
      </w:r>
    </w:p>
    <w:p>
      <w:pPr>
        <w:widowControl/>
      </w:pPr>
      <w:r>
        <w:t>The user would be able to understand the sensing functions, relevant limitations and available products before choosing observations or a supported action. Image, audio, video and structured results can then lead to their appropriate existing views rather than a single generic property display. Supplier-specific performance descriptions remain useful where the source provides them, even before every item belongs to a common controlled vocabulary. The profile should enable richer descriptions without manufacturing performance claims, and without limiting its coverage to the particular algorithms visible in the current manuals.</w:t>
      </w:r>
    </w:p>
    <w:p>
      <w:pPr>
        <w:widowControl/>
      </w:pPr>
      <w:r>
        <w:br w:type="page"/>
      </w:r>
    </w:p>
    <w:p>
      <w:bookmarkStart w:id="9" w:name="domain4"/>
      <w:pPr>
        <w:pStyle w:val="Heading2"/>
        <w:keepNext/>
        <w:keepLines/>
      </w:pPr>
      <w:r>
        <w:rPr>
          <w:sz w:val="34"/>
        </w:rPr>
        <w:t>4.4 Deployment, emplacement, location and responsibility</w:t>
      </w:r>
      <w:bookmarkEnd w:id="9"/>
    </w:p>
    <w:p>
      <w:pPr>
        <w:pStyle w:val="SourceNote"/>
      </w:pPr>
      <w:r>
        <w:t>Purpose: understand where, why and how the system is employed, with whom, and under whose responsibility. Principal evidence: S01, S03, S18–S19, S27, S32, S35, S40–S41.</w:t>
      </w:r>
    </w:p>
    <w:p>
      <w:pPr>
        <w:pStyle w:val="Heading3"/>
        <w:keepNext/>
        <w:keepLines/>
      </w:pPr>
      <w:r>
        <w:t>Content to include</w:t>
      </w:r>
    </w:p>
    <w:p>
      <w:pPr>
        <w:widowControl/>
      </w:pPr>
      <w:r>
        <w:t>The deployment section would cover the employment’s purpose or mission, relevant designation, location and orientation, participating systems or platforms, deployment-specific configuration, responsible organizations and applicable period. It would include emplacement details and links to relevant plans, instructions or operator notes. Preparation, active employment, recovery and later redeployment belong within the intended operational coverage, without requiring a single universal lifecycle-state vocabulary. The persistent system and its particular employment remain related descriptions of the same working situation, not two unrelated screens the operator must reconcile.</w:t>
      </w:r>
    </w:p>
    <w:p>
      <w:pPr>
        <w:pStyle w:val="Heading3"/>
        <w:keepNext/>
        <w:keepLines/>
      </w:pPr>
      <w:r>
        <w:t>Source selection and rationale</w:t>
      </w:r>
    </w:p>
    <w:p>
      <w:pPr>
        <w:widowControl/>
      </w:pPr>
      <w:r>
        <w:t>CSAPI explicitly includes both an in-situ sensor at a location and a mission involving unmanned systems as Deployment examples. SensorML’s Deployment and DeployedSystem concepts provide the corresponding purpose, contact, emplacement and configuration opportunities. MIMOSA installation/removal content is relevant to events affecting that employment, while MIM/JC3IEDM research remains a candidate where more formal operational roles and activities are needed. The recommended starting point is therefore affirmative use of the OGC deployment model, not categorical exclusion of emplacement or mission information (Open Geospatial Consortium 2025a, §11.1; 2025c, §§8.9.2–8.9.3; MIMOSA n.d.-e; Gerz and Bau 2016).</w:t>
      </w:r>
    </w:p>
    <w:p>
      <w:pPr>
        <w:pStyle w:val="Heading3"/>
        <w:keepNext/>
        <w:keepLines/>
      </w:pPr>
      <w:r>
        <w:t>Proposed OGC treatment and authored work</w:t>
      </w:r>
    </w:p>
    <w:p>
      <w:pPr>
        <w:widowControl/>
      </w:pPr>
      <w:r>
        <w:t>The employment would use the applicable Deployment representation and its system or platform associations, with deployment-specific descriptive content and configuration. Location, pose and relevant reference frames would use the supported OGC representations appropriate to the subject. The profile must select the deployment-purpose and responsibility terms, state how lifecycle events relate to an employment, and explain how an integration derives the representation from legitimate legacy records. The source need not already contain an object named Deployment; constructing an appropriate representation is part of integration, not an assumption that the vendor had implemented CSAPI (Open Geospatial Consortium 2025a, §11; 2025c, §§8.5, 8.9).</w:t>
      </w:r>
    </w:p>
    <w:p>
      <w:pPr>
        <w:pStyle w:val="Heading3"/>
        <w:keepNext/>
        <w:keepLines/>
      </w:pPr>
      <w:r>
        <w:t>Whole-system presentation</w:t>
      </w:r>
    </w:p>
    <w:p>
      <w:pPr>
        <w:widowControl/>
      </w:pPr>
      <w:r>
        <w:t>The selected sensor remains the user’s point of entry, with its chosen employment assembled into the same working view. Deployment can express an emplacement or an appropriate mission, and subdeployments can describe individual sites within a wider operation. Preparation, service and recovery stay connected to the same equipment history. Section 5.7 now defines those relationships without requiring an existing vendor object named Deployment (Open Geospatial Consortium 2025a, §§11–12).</w:t>
      </w:r>
    </w:p>
    <w:p>
      <w:pPr>
        <w:widowControl/>
      </w:pPr>
      <w:r>
        <w:br w:type="page"/>
      </w:r>
    </w:p>
    <w:p>
      <w:bookmarkStart w:id="10" w:name="domain5"/>
      <w:pPr>
        <w:pStyle w:val="Heading2"/>
        <w:keepNext/>
        <w:keepLines/>
      </w:pPr>
      <w:r>
        <w:rPr>
          <w:sz w:val="34"/>
        </w:rPr>
        <w:t>4.5 Operating configuration, modes and supported actions</w:t>
      </w:r>
      <w:bookmarkEnd w:id="10"/>
    </w:p>
    <w:p>
      <w:pPr>
        <w:pStyle w:val="SourceNote"/>
      </w:pPr>
      <w:r>
        <w:t>Purpose: understand the working setup and carry out the actions the integrated system actually supports. Principal evidence: S01, S04, S06, S39–S41, S47.</w:t>
      </w:r>
    </w:p>
    <w:p>
      <w:pPr>
        <w:pStyle w:val="Heading3"/>
        <w:keepNext/>
        <w:keepLines/>
      </w:pPr>
      <w:r>
        <w:t>Content to include</w:t>
      </w:r>
    </w:p>
    <w:p>
      <w:pPr>
        <w:widowControl/>
      </w:pPr>
      <w:r>
        <w:t>This section would describe operating modes, configurable parameters, schedules, trigger relationships, function settings and relevant operating constraints. It would include supported commands, their target, parameters, expected effect and available result or progress information. Source-defined operating concepts remain visible; a shared foundation should not erase the distinctive settings that make one sensor family useful. The intended scope includes both reading configuration and authorized reconfiguration, rather than treating the description as a static product brochure.</w:t>
      </w:r>
    </w:p>
    <w:p>
      <w:pPr>
        <w:pStyle w:val="Heading3"/>
        <w:keepNext/>
        <w:keepLines/>
      </w:pPr>
      <w:r>
        <w:t>Source selection and rationale</w:t>
      </w:r>
    </w:p>
    <w:p>
      <w:pPr>
        <w:widowControl/>
      </w:pPr>
      <w:r>
        <w:t>SensorML’s configurable-process model supplies the principal descriptive basis, and CSAPI Part 2 supplies the interaction framework. OSUS command-capability declarations offer substantive examples of describing supported modes, commands and function parameters. PA-DIM and AAS capability content remain alternatives where their exact operating concepts improve the profile, rather than mandatory intermediate models. The vendor manuals are evidence of the user’s workflow and required detail, but they do not define the maximum set of actions the family profile can describe (Open Geospatial Consortium 2025c, §8.8; 2025b, §10; OSUS-R Contributors n.d., CommandCapabilities; “Domain Information Models” 2026, S40–S41).</w:t>
      </w:r>
    </w:p>
    <w:p>
      <w:pPr>
        <w:pStyle w:val="Heading3"/>
        <w:keepNext/>
        <w:keepLines/>
      </w:pPr>
      <w:r>
        <w:t>Proposed OGC treatment and authored work</w:t>
      </w:r>
    </w:p>
    <w:p>
      <w:pPr>
        <w:widowControl/>
      </w:pPr>
      <w:r>
        <w:t>Settings and mode descriptions would use SensorML configuration mechanisms, while supported remote interactions would use the appropriate ControlStream and command resources. Deployment-specific settings would be associated with the system’s employment where that is their scope. The profile needs common action-description conventions and family-specific parameter semantics, with references connecting an available action to the equipment or function it affects. It will not create a command by renaming an editable metadata field, but it should retain supported control as a real part of the operating capability (Open Geospatial Consortium 2025c, §§8.8–8.9; 2025b, §§10, 16).</w:t>
      </w:r>
    </w:p>
    <w:p>
      <w:pPr>
        <w:pStyle w:val="Heading3"/>
        <w:keepNext/>
        <w:keepLines/>
      </w:pPr>
      <w:r>
        <w:t>Operator behavior and responsibility</w:t>
      </w:r>
    </w:p>
    <w:p>
      <w:pPr>
        <w:widowControl/>
      </w:pPr>
      <w:r>
        <w:t>The operator would see useful settings and understandable actions rather than generic API operations. A pending change or a source-specific limitation should be prominent when it changes the next decision, and otherwise remain available in supporting detail. The source integration remains responsible for its device protocol and acknowledgement behavior, while reusable clients implement the profile’s common interaction descriptions. This outline does not select permissions or execute commands, and it does not reduce the configuration domain to repeated warnings about uncertain state.</w:t>
      </w:r>
    </w:p>
    <w:p>
      <w:pPr>
        <w:widowControl/>
      </w:pPr>
      <w:r>
        <w:br w:type="page"/>
      </w:r>
    </w:p>
    <w:p>
      <w:bookmarkStart w:id="11" w:name="domain6"/>
      <w:pPr>
        <w:pStyle w:val="Heading2"/>
        <w:keepNext/>
        <w:keepLines/>
      </w:pPr>
      <w:r>
        <w:rPr>
          <w:sz w:val="34"/>
        </w:rPr>
        <w:t>4.6 Communications, connectivity and access arrangement</w:t>
      </w:r>
      <w:bookmarkEnd w:id="11"/>
    </w:p>
    <w:p>
      <w:pPr>
        <w:pStyle w:val="SourceNote"/>
      </w:pPr>
      <w:r>
        <w:t>Purpose: understand the sensor’s communication arrangement and the conditions affecting its use. Evidence: S01–S04, S08, S40–S41, S46–S47, S50, S52; supplemental D01–D03. Detailed relationships: §5.9.</w:t>
      </w:r>
    </w:p>
    <w:p>
      <w:pPr>
        <w:pStyle w:val="Heading3"/>
        <w:keepNext/>
        <w:keepLines/>
      </w:pPr>
      <w:r>
        <w:t>Content to include</w:t>
      </w:r>
    </w:p>
    <w:p>
      <w:pPr>
        <w:widowControl/>
      </w:pPr>
      <w:r>
        <w:t>The communications section would describe the system’s relevant interfaces, radios or links, controller or gateway relationship, network participation, reporting cadence and supported connectivity information. It would associate those details with the equipment and employment to which they belong. For intermittently connected or gateway-mediated systems, the operator should still have a coherent description of how information and commands reach the sensor. This subject concerns the sensor’s operating communications arrangement, not only the URL of the CSAPI service that represents it.</w:t>
      </w:r>
    </w:p>
    <w:p>
      <w:pPr>
        <w:pStyle w:val="Heading3"/>
        <w:keepNext/>
        <w:keepLines/>
      </w:pPr>
      <w:r>
        <w:t>Source selection and rationale</w:t>
      </w:r>
    </w:p>
    <w:p>
      <w:pPr>
        <w:widowControl/>
      </w:pPr>
      <w:r>
        <w:t>The v0.2 drafting basis adds RFC 2863 for network-interface information and RFC 8343 for its explicit YANG counterpart and IF-MIB mapping. RFC 8345 contributes networks, nodes, termination points and directed links, with technology-specific specialization rather than one universal radio model. SNRA and OSUS continue to establish the whole-system and gateway context. This selection closes the generic interface/link-model question at conceptual level; radio-specific parameters and the OGC binding remain profile work (McCloghrie and Kastenholz 2000, §§3, 6; Bjorklund 2018, §§2–4; Clemm et al. 2018, §§4.1–4.4).</w:t>
      </w:r>
    </w:p>
    <w:p>
      <w:pPr>
        <w:pStyle w:val="Heading3"/>
        <w:keepNext/>
        <w:keepLines/>
      </w:pPr>
      <w:r>
        <w:t>Proposed OGC treatment and authored work</w:t>
      </w:r>
    </w:p>
    <w:p>
      <w:pPr>
        <w:widowControl/>
      </w:pPr>
      <w:r>
        <w:t>Describe an interface with its owning System or equipment component; associate it with another endpoint through a separately defined communication relation when that relation is known. A gateway remains equipment in the same model, and a topology node is explicitly associated with the physical system it represents. Stable information uses selected SensorML descriptive groups; changing interface information uses observations, while supported changes use configuration and controls. The OGC serialization of the external interface and topology meanings is newly authored work, not a native connectivity endpoint or an implicit implementation of the IETF modules (Open Geospatial Consortium 2025c, §§8.2, 8.6; Clemm et al. 2018, §4.4.2).</w:t>
      </w:r>
    </w:p>
    <w:p>
      <w:pPr>
        <w:pStyle w:val="Heading3"/>
        <w:keepNext/>
        <w:keepLines/>
      </w:pPr>
      <w:r>
        <w:t>Useful presentation and a bounded follow-on question</w:t>
      </w:r>
    </w:p>
    <w:p>
      <w:pPr>
        <w:widowControl/>
      </w:pPr>
      <w:r>
        <w:t>The operator can see how the sensor communicates, which gateway or peer is relevant, and the operating settings or status needed to use that path. Common information becomes recognizable across families while source-specific radio detail remains in the appropriate description. Section 5.9 recommends a compact interface description by default and a separately identified topology only when the network is itself managed or exchanged. Section 5 now provides the common binding; media-specific content remains an extension within that model.</w:t>
      </w:r>
    </w:p>
    <w:p>
      <w:pPr>
        <w:widowControl/>
      </w:pPr>
      <w:r>
        <w:br w:type="page"/>
      </w:r>
    </w:p>
    <w:p>
      <w:bookmarkStart w:id="12" w:name="domain7"/>
      <w:pPr>
        <w:pStyle w:val="Heading2"/>
        <w:keepNext/>
        <w:keepLines/>
      </w:pPr>
      <w:r>
        <w:rPr>
          <w:sz w:val="34"/>
        </w:rPr>
        <w:t>4.7 Power sources and the operating power arrangement</w:t>
      </w:r>
      <w:bookmarkEnd w:id="12"/>
    </w:p>
    <w:p>
      <w:pPr>
        <w:pStyle w:val="SourceNote"/>
      </w:pPr>
      <w:r>
        <w:t>Purpose: describe what powers the system, its relevant electrical characteristics, operating information and power-related service. Principal evidence: S09–S10, S14–S15, S18, S35, S47, S50; Power Source PITON and decision sheet.</w:t>
      </w:r>
    </w:p>
    <w:p>
      <w:pPr>
        <w:pStyle w:val="Heading3"/>
        <w:keepNext/>
        <w:keepLines/>
      </w:pPr>
      <w:r>
        <w:t>Content to include</w:t>
      </w:r>
    </w:p>
    <w:p>
      <w:pPr>
        <w:widowControl/>
      </w:pPr>
      <w:r>
        <w:t>The power section would cover the source or sources supplying the system, their relationship to the consuming equipment, relevant ratings and configuration, changing readings or estimates, and associated recharge, replacement or service information. It should accommodate internal batteries, external supplies and other supported electrical arrangements rather than assume that every sensor has one battery gauge. Power-source descriptions must connect to the same system and deployment identities used elsewhere in the profile. This domain may have broader applicability than the complete sensing-system family and should be reusable on that basis.</w:t>
      </w:r>
    </w:p>
    <w:p>
      <w:pPr>
        <w:pStyle w:val="Heading3"/>
        <w:keepNext/>
        <w:keepLines/>
      </w:pPr>
      <w:r>
        <w:t>Source selection and rationale</w:t>
      </w:r>
    </w:p>
    <w:p>
      <w:pPr>
        <w:widowControl/>
      </w:pPr>
      <w:r>
        <w:t>RFC 7326 is the selected domain-semantic basis for R16 typed supply, metering and aggregation relationships; RFC 7577 remains the preferred battery specialization under review. Section 7 of RFC 7326 contemplates other information-model realizations, but the actual SensorML CharacteristicList binding is authored by MERLIN and does not constitute a native RFC 7461 MIB implementation. Equipment-level references may be used when Power Interface detail is unavailable; unsupported electrical behavior is not inferred (Parello et al. 2014, §§6–7; MERLIN Power Source recommendation 2026, §§6–8).</w:t>
      </w:r>
    </w:p>
    <w:p>
      <w:pPr>
        <w:pStyle w:val="Heading3"/>
        <w:keepNext/>
        <w:keepLines/>
      </w:pPr>
      <w:r>
        <w:t>Proposed OGC treatment and authored work</w:t>
      </w:r>
    </w:p>
    <w:p>
      <w:pPr>
        <w:widowControl/>
      </w:pPr>
      <w:r>
        <w:t>Relatively stable power characteristics would be described with their owning System or component; readings would use supported DataStream/Observation descriptions, and service events would connect to the lifecycle section. Relevant supply relationships would be expressed through explicitly selected OGC-compatible bindings rather than a newly assumed top-level power resource. The precise model, property groups, identifiers, units and relationship bindings are outputs of the coordinated Power Source workstream. This outline fixes their place in the complete system description, not their final technical choices (Open Geospatial Consortium 2025c, §8; 2025b, §§9, 16; “MERLIN Power Source Presentation PITON” 2026, §§1–3).</w:t>
      </w:r>
    </w:p>
    <w:p>
      <w:pPr>
        <w:pStyle w:val="Heading3"/>
        <w:keepNext/>
        <w:keepLines/>
      </w:pPr>
      <w:r>
        <w:t>Coordination commitment</w:t>
      </w:r>
    </w:p>
    <w:p>
      <w:pPr>
        <w:widowControl/>
      </w:pPr>
      <w:r>
        <w:t>Power Source supplies deeper model definitions, quantities and family specializations. The accepted R16 update changes the common relationship representation only; Power Interface detail, actual meters and aggregation data, charging, internal paths and runtime estimates remain bounded subsequent decisions. The eight information subjects and R17 observation mechanisms continue to work with the same equipment, deployment and service identities.</w:t>
      </w:r>
    </w:p>
    <w:p>
      <w:pPr>
        <w:widowControl/>
      </w:pPr>
      <w:r>
        <w:br w:type="page"/>
      </w:r>
    </w:p>
    <w:p>
      <w:bookmarkStart w:id="13" w:name="domain8"/>
      <w:pPr>
        <w:pStyle w:val="Heading2"/>
        <w:keepNext/>
        <w:keepLines/>
      </w:pPr>
      <w:r>
        <w:rPr>
          <w:sz w:val="34"/>
        </w:rPr>
        <w:t>4.8 Condition, service, recovery and lifecycle history</w:t>
      </w:r>
      <w:bookmarkEnd w:id="13"/>
    </w:p>
    <w:p>
      <w:pPr>
        <w:pStyle w:val="SourceNote"/>
      </w:pPr>
      <w:r>
        <w:t>Purpose: keep the system useful over time and preserve its identity and operational history through changes. Principal evidence: S01–S04, S08, S16–S18, S35, S40–S41, S47.</w:t>
      </w:r>
    </w:p>
    <w:p>
      <w:pPr>
        <w:pStyle w:val="Heading3"/>
        <w:keepNext/>
        <w:keepLines/>
      </w:pPr>
      <w:r>
        <w:t>Content to include</w:t>
      </w:r>
    </w:p>
    <w:p>
      <w:pPr>
        <w:widowControl/>
      </w:pPr>
      <w:r>
        <w:t>This section would cover useful operating condition, diagnostics, faults or alerts, and source-provided health or remaining-life assessments where applicable. It would also cover emplacement or installation, inspection, calibration, service, component or power-source replacement, recovery or removal, and subsequent redeployment. Events would relate to the affected system and, where relevant, its component, responsible party and deployment. The lifecycle is a central part of the whole-system profile, not a later enterprise-maintenance feature that must first be justified by a complete manufacturer archive.</w:t>
      </w:r>
    </w:p>
    <w:p>
      <w:pPr>
        <w:pStyle w:val="Heading3"/>
        <w:keepNext/>
        <w:keepLines/>
      </w:pPr>
      <w:r>
        <w:t>Source selection and rationale</w:t>
      </w:r>
    </w:p>
    <w:p>
      <w:pPr>
        <w:widowControl/>
      </w:pPr>
      <w:r>
        <w:t>MIMOSA is the priority source family for asset continuity and lifecycle information, while RFC 8348 and OSUS supply complementary hardware-condition and device-status concepts. The inspected CCOM diagrams distinguish assets, models, changing associations and assessments, and OIIE Scenario 11 gives an explicit installation/removal exchange. OSA-CBM addresses condition-based-maintenance information and warrants examination for applicable assessments and exchanges, rather than being treated as the meaning of every status field. The concrete CCOM evidence remains 4.1.0-RC1; its constructs cannot silently inherit the status or exact requirements of the separately listed OSA-EAI 3.2.3a edition (MIMOSA 2018, pp. 6–8, 27; n.d.-e; n.d.-c; Internet Engineering Task Force 2018, §3).</w:t>
      </w:r>
    </w:p>
    <w:p>
      <w:pPr>
        <w:pStyle w:val="Heading3"/>
        <w:keepNext/>
        <w:keepLines/>
      </w:pPr>
      <w:r>
        <w:t>Proposed OGC treatment and authored work</w:t>
      </w:r>
    </w:p>
    <w:p>
      <w:pPr>
        <w:widowControl/>
      </w:pPr>
      <w:r>
        <w:t>Keep lifecycle history associated with the persistent System and Deployment it concerns. SensorML Event supplies time, event type, responsible actors, documentation and related properties; CSAPI SystemEvent may supply native queryable event access when implemented. Only a measured or method-derived equipment condition qualifies for the R20 Observation binding; ordinary inspections, approvals and record reviews should remain appropriately linked administrative/service records.</w:t>
      </w:r>
    </w:p>
    <w:p>
      <w:pPr>
        <w:pStyle w:val="Heading3"/>
        <w:keepNext/>
        <w:keepLines/>
      </w:pPr>
      <w:r>
        <w:t>Expected benefit and remaining decision</w:t>
      </w:r>
    </w:p>
    <w:p>
      <w:pPr>
        <w:widowControl/>
      </w:pPr>
      <w:r>
        <w:t>The operator would understand the system’s present operating picture alongside the relevant changes and service information that explain it. Useful source assessments can be displayed without MERLIN being required to generate new diagnoses or a universal readiness score. The model-selection decision is which exact asset/event content and edition to reuse, and whether any native artifact must be retained alongside its OGC representation. The absence of a complete mandated package limits an implementation claim, not the inclusion of this lifecycle domain in the outline.</w:t>
      </w:r>
    </w:p>
    <w:p>
      <w:pPr>
        <w:widowControl/>
      </w:pPr>
      <w:r>
        <w:br w:type="page"/>
      </w:r>
    </w:p>
    <w:p>
      <w:pPr>
        <w:pStyle w:val="Heading1"/>
        <w:keepNext/>
        <w:pageBreakBefore/>
        <w:widowControl/>
      </w:pPr>
      <w:r>
        <w:t>5. Integrated domain definitions and OGC bindings</w:t>
      </w:r>
    </w:p>
    <w:p>
      <w:pPr>
        <w:pStyle w:val="Heading2"/>
        <w:keepNext/>
        <w:widowControl/>
      </w:pPr>
      <w:r>
        <w:t>5.1 What this draft now specifies</w:t>
      </w:r>
    </w:p>
    <w:p>
      <w:pPr>
        <w:widowControl/>
      </w:pPr>
      <w:r>
        <w:t>This working revision retains the twenty R01–R20 relationship identifiers and all eight information subjects. Four accepted increments now cover configuration and command outcomes, typed energy relationships and condition assessments; identity, composition and mediation provenance; mode-scoped capabilities and declared products; and the present R11/R17 subject, donor-lineage preservation and quantity-mapping guidance. The central subject remains the physical sensing system in employment, not a native message or adapter. Residual specialist choices require their own supported dispositions.</w:t>
      </w:r>
    </w:p>
    <w:p>
      <w:pPr>
        <w:widowControl/>
      </w:pPr>
      <w:r>
        <w:t>“Required” below means a proposed obligation when a producer or consumer claims the stated profile scope and supplies that kind of content. It does not require every device to populate all eight subjects, possess an independent battery resource, or support remote control. Base-standard requirements remain applicable independently of these additions, and a local draft identifier does not replace a native OGC member. Review v0.2-R1’s corrections are carried forward: DeployedSystem remains embedded participation; distinct dynamic resources stay distinct; and unselected class multiplicities are not invented (Reviewed Engineering Model 2026, pp. 1–3).</w:t>
      </w:r>
    </w:p>
    <w:p>
      <w:pPr>
        <w:widowControl/>
      </w:pPr>
      <w:r>
        <w:t>The binding scope in this increment is SensorML 3.0 JSON for rich descriptions and CSAPI Part 2’s plain JSON for dynamic records, with SWE Common describing values. It is a purpose-specific first encoding choice, not a finding that other OGC encodings are unsuitable. Source-derived content, translated meaning and locally authored relationships are identified separately. Power-specific definitions remain a coordinated module, while their connections to equipment, deployments and history are specified here.</w:t>
      </w:r>
    </w:p>
    <w:p>
      <w:pPr>
        <w:pStyle w:val="Heading2"/>
        <w:keepNext/>
        <w:pageBreakBefore/>
        <w:widowControl/>
      </w:pPr>
      <w:r>
        <w:t>5.2 Profile declaration and draft namespace</w:t>
      </w:r>
    </w:p>
    <w:p>
      <w:pPr>
        <w:widowControl/>
      </w:pPr>
      <w:r>
        <w:t>Recommend using the registered profile link relation to identify the applicable profile document on an HTTP representation. RFC 6906 defines this relation without changing the representation’s underlying media-type semantics; it does not require a new API endpoint or make the linked profile an implementation certificate. The proposed response header is Link: &lt;P/profile/system-description&gt;; rel="profile" for rich descriptions and the corresponding P/profile/dynamic-description link for the contextual dynamic binding. A links entry with rel="profile" may mirror it only where the chosen representation permits that links structure (Wilde 2013, §§3–5).</w:t>
      </w:r>
    </w:p>
    <w:p>
      <w:pPr>
        <w:widowControl/>
      </w:pPr>
      <w:r>
        <w:t>P abbreviates https://schemas.example/merlin/mpss/0.3/ in this document. It is a reserved example namespace used to make this draft exact and reviewable, not a published registry, ownership claim or valid production endpoint. JSON examples carry full identifiers; implementations would need an agreed publication namespace, accessible definitions and an explicit release before advertising production support. The draft catalogue separates term/, group/, role/, event/, codes/, action/ and profile/ identifiers, so a family classification is not confused with a resource’s native type.</w:t>
      </w:r>
    </w:p>
    <w:p>
      <w:pPr>
        <w:widowControl/>
      </w:pPr>
      <w:r>
        <w:t>The system-description scope covers the common reference and definition rules and the supplied supported descriptive groups in this draft. The dynamic-description scope covers the declared contextual fields and function/action associations for the supplied dynamic content; it does not require an otherwise read-only system to expose controls. Group definitions identify which domain content is present, but their absence is not a capability statement about the physical device. Keep base /conformance declarations for the actual standards classes; neither these two local profile scopes nor R01–R20 are registered OGC conformance classes.</w:t>
      </w:r>
    </w:p>
    <w:p>
      <w:pPr>
        <w:pStyle w:val="Small"/>
        <w:widowControl/>
      </w:pPr>
      <w:r>
        <w:t>Illustrative header syntax. The line break is for document layout; P is expanded.</w:t>
      </w:r>
    </w:p>
    <w:p>
      <w:pPr>
        <w:pStyle w:val="Code"/>
        <w:widowControl/>
        <w:shd w:fill="F3F6F8"/>
      </w:pPr>
      <w:r>
        <w:rPr>
          <w:rFonts w:ascii="Liberation Mono" w:hAnsi="Liberation Mono"/>
        </w:rPr>
        <w:t>Content-Type: application/sml+json</w:t>
      </w:r>
    </w:p>
    <w:p>
      <w:pPr>
        <w:pStyle w:val="Code"/>
        <w:widowControl/>
        <w:shd w:fill="F3F6F8"/>
      </w:pPr>
      <w:r>
        <w:rPr>
          <w:rFonts w:ascii="Liberation Mono" w:hAnsi="Liberation Mono"/>
        </w:rPr>
        <w:t>Link: &lt;https://schemas.example/merlin/mpss/0.3/profile/system-description&gt;;</w:t>
      </w:r>
    </w:p>
    <w:p>
      <w:pPr>
        <w:pStyle w:val="Code"/>
        <w:widowControl/>
        <w:shd w:fill="F3F6F8"/>
      </w:pPr>
      <w:r>
        <w:rPr>
          <w:rFonts w:ascii="Liberation Mono" w:hAnsi="Liberation Mono"/>
        </w:rPr>
        <w:t xml:space="preserve">      rel="profile"</w:t>
      </w:r>
    </w:p>
    <w:p>
      <w:pPr>
        <w:pStyle w:val="Small"/>
        <w:widowControl/>
      </w:pPr>
      <w:r/>
    </w:p>
    <w:p>
      <w:pPr>
        <w:pStyle w:val="Heading2"/>
        <w:keepNext/>
        <w:pageBreakBefore/>
        <w:widowControl/>
      </w:pPr>
      <w:r>
        <w:t>5.3 Subject references, value types and scope</w:t>
      </w:r>
    </w:p>
    <w:p>
      <w:pPr>
        <w:widowControl/>
      </w:pPr>
      <w:r>
        <w:t>Use normal resource links and persistent identifiers for separately identified Systems, Procedures and Deployments. Referenced embedded components, capability groups, interfaces, Modes and history Events use an id unique within the containing representation and the owner-resource URL followed by #id. The MERLIN lookup scope includes capabilities[] and characteristics[] inside native process.modes[]; a Mode does not become a separate API resource merely because it has an identifier. Fetch the actual owner representation and resolve its declared id, including supported nested process content, without treating the fragment as an API route (Open Geospatial Consortium n.d.-a, DescribedObject.json and Mode.json; §5.8 below).</w:t>
      </w:r>
    </w:p>
    <w:p>
      <w:pPr>
        <w:widowControl/>
      </w:pPr>
      <w:r>
        <w:t>Owner-scoped references remain distinct from named SensorML PathRef values such as parameters/sampleInterval or outputs/airTemperature. For a binding or Settings inside a Mode, resolve such paths against the nearest containing SensorML process, including legitimately inherited process content, not against the Mode or an array position. Preserve the actual owner URL of a referenced group; an inherited model-owned group does not acquire an instance-owned fragment by implication. Keep stable ids for the same subjects, retain revision context where needed and do not silently resolve conflicts by flattening modes or rewriting model references (Open Geospatial Consortium n.d.-a, commonDefs.json and Settings.json).</w:t>
      </w:r>
    </w:p>
    <w:p>
      <w:pPr>
        <w:pStyle w:val="SourceNote"/>
      </w:pPr>
      <w:r>
        <w:t>Mode-scope consequence: a profile-aware reader retains the enclosing Mode with each nested capability or binding and keeps process-level statements separate from those mode-qualified assertions. This extends the existing embedded-id lookup to Mode metadata without introducing a mode-specific URL pattern. Unresolved targets and uncertain inheritance remain visible rather than being substituted by a same-named group.</w:t>
      </w:r>
    </w:p>
    <w:p>
      <w:pPr>
        <w:widowControl/>
      </w:pPr>
      <w:r>
        <w:t>Custom relationship values use SWE Text containing an absolute resource or owner-scoped URI, recognized by the field’s definition. They are not native XLink objects disguised as Text; a profile-aware client resolves them by the rule above while an ordinary typed-data viewer can still expose the text and label. Quantities use a declared unit, categories use a declared code space, and Boolean properties remain Boolean rather than label-dependent strings. Within a supplied group, each single-valued definition occurs at most once; repeated reference definitions are permitted only where the group contract below says “one or more.”</w:t>
      </w:r>
    </w:p>
    <w:p>
      <w:pPr>
        <w:widowControl/>
      </w:pPr>
      <w:r>
        <w:t>This first binding uses CharacteristicList or CapabilityList as the meaningful named group, with allowed typed properties inside it. It does not place an arbitrary object or a bare DataRecord directly into AnyProperty: the inspected union accepts simple components, Vector, DataArray or Matrix. DataRecord is used where permitted, notably stream result/parameter schemas and process inputs or outputs; a repeated structured dataset would require an allowed array carrier and its own declared element structure. Consequently, domain grouping remains machine-recognizable without replacing SensorML with an untyped JSON property bucket (Open Geospatial Consortium n.d.-a, commonDefs.json and DescribedObject.json).</w:t>
      </w:r>
    </w:p>
    <w:p>
      <w:pPr>
        <w:pStyle w:val="Small"/>
        <w:widowControl/>
      </w:pPr>
      <w:r>
        <w:t>Two different reference kinds; the profile does not interpret them interchangeably.</w:t>
      </w:r>
    </w:p>
    <w:p>
      <w:pPr>
        <w:pStyle w:val="Code"/>
        <w:widowControl/>
        <w:shd w:fill="F3F6F8"/>
      </w:pPr>
      <w:r>
        <w:rPr>
          <w:rFonts w:ascii="Liberation Mono" w:hAnsi="Liberation Mono"/>
        </w:rPr>
        <w:t>Resource/subject reference: https://demo.example/csapi/systems/station-01#if-uplink</w:t>
      </w:r>
    </w:p>
    <w:p>
      <w:pPr>
        <w:pStyle w:val="Code"/>
        <w:widowControl/>
        <w:shd w:fill="F3F6F8"/>
      </w:pPr>
      <w:r>
        <w:rPr>
          <w:rFonts w:ascii="Liberation Mono" w:hAnsi="Liberation Mono"/>
        </w:rPr>
        <w:t>Native Settings path:       parameters/sampleInterval</w:t>
      </w:r>
    </w:p>
    <w:p>
      <w:pPr>
        <w:pStyle w:val="Small"/>
        <w:widowControl/>
      </w:pPr>
      <w:r/>
    </w:p>
    <w:p>
      <w:pPr>
        <w:pStyle w:val="Heading2"/>
        <w:keepNext/>
        <w:pageBreakBefore/>
        <w:widowControl/>
      </w:pPr>
      <w:r>
        <w:t>5.4 Time, configuration and descriptive ownership</w:t>
      </w:r>
    </w:p>
    <w:p>
      <w:pPr>
        <w:widowControl/>
      </w:pPr>
      <w:r>
        <w:t>A relationship that is specific to an employment is recorded on the Deployment description or explicitly refers to that deployment. This draft uses optional conditions on a relationship group, with Time values defined as P/term/effective-from and P/term/effective-until, to delimit that assertion’s applicability. The start is inclusive and the end exclusive; a missing bound makes no additional restriction, and the owner’s applicable scope still governs. This is an authored rule for these group conditions, not a reinterpretation of OGC validTime, phenomenonTime or resultTime.</w:t>
      </w:r>
    </w:p>
    <w:p>
      <w:pPr>
        <w:widowControl/>
      </w:pPr>
      <w:r>
        <w:t>Current or historical assembly begins with the selected System, Deployment and time, then resolves the descriptions relevant to that selection. Model configuration, System configuration and DeployedSystem.configuration retain their native subjects and SensorML rules; this draft does not invent a universal last-writer-wins merge. A deployment-specific value is usable only against the appropriate configurable element and its constraints. Conflicting descriptions must be resolved by the integration’s declared revision and authority rules, not silently blended into a setting that no source represents (Open Geospatial Consortium 2025c, §§8.2.9, 8.8–8.9).</w:t>
      </w:r>
    </w:p>
    <w:p>
      <w:pPr>
        <w:widowControl/>
      </w:pPr>
      <w:r>
        <w:t>History Event.time describes an event; group conditions describe a continuing relationship; and Observation times describe the observed result and its production. Recovery can end a deployment’s employment while the System and its history remain available. The example includes a historical time-slice of a complete fictional lifecycle, not an assertion about what was known to an operator at that instant. Bi-temporal “known as of” reconstruction is not claimed by this first binding.</w:t>
      </w:r>
    </w:p>
    <w:p>
      <w:pPr>
        <w:pStyle w:val="Heading2"/>
        <w:keepNext/>
        <w:pageBreakBefore/>
        <w:widowControl/>
      </w:pPr>
      <w:r>
        <w:t>5.5 Domain-group contracts</w:t>
      </w:r>
    </w:p>
    <w:p>
      <w:pPr>
        <w:widowControl/>
      </w:pPr>
      <w:r>
        <w:t>The following contracts select the first reusable group structures. They are proposed profile constraints, not cardinalities copied from the reviewed diagram or requirements that every system contain every group. All supplied groups carry a meaningful label and the indicated definition; groups used as reference targets also carry a stable native id. Individual property definitions, value kinds and provenance are listed in Section 5.12 and in domain_catalogue.json.</w:t>
      </w:r>
    </w:p>
    <w:tbl>
      <w:tblPr>
        <w:tblW w:type="auto" w:w="0"/>
        <w:jc w:val="center"/>
        <w:tblLayout w:type="fixed"/>
        <w:tblLook w:firstColumn="1" w:firstRow="1" w:lastColumn="0" w:lastRow="0" w:noHBand="0" w:noVBand="1" w:val="04A0"/>
      </w:tblPr>
      <w:tblGrid>
        <w:gridCol w:w="2203"/>
        <w:gridCol w:w="4608"/>
        <w:gridCol w:w="3110"/>
      </w:tblGrid>
      <w:tr>
        <w:trPr>
          <w:cantSplit/>
          <w:tblHeader/>
        </w:trPr>
        <w:tc>
          <w:tcPr>
            <w:tcW w:type="dxa" w:w="2203"/>
            <w:vAlign w:val="center"/>
            <w:shd w:fill="E7EEF2"/>
            <w:tcMar>
              <w:top w:w="70" w:type="dxa"/>
              <w:bottom w:w="70" w:type="dxa"/>
              <w:left w:w="70" w:type="dxa"/>
              <w:right w:w="70" w:type="dxa"/>
            </w:tcMar>
          </w:tcPr>
          <w:p>
            <w:pPr>
              <w:spacing w:after="60" w:before="40" w:line="245" w:lineRule="auto"/>
            </w:pPr>
            <w:r>
              <w:rPr>
                <w:b/>
                <w:sz w:val="18"/>
              </w:rPr>
              <w:t>Group token under P/group/</w:t>
            </w:r>
          </w:p>
        </w:tc>
        <w:tc>
          <w:tcPr>
            <w:tcW w:type="dxa" w:w="4608"/>
            <w:vAlign w:val="center"/>
            <w:shd w:fill="E7EEF2"/>
            <w:tcMar>
              <w:top w:w="70" w:type="dxa"/>
              <w:bottom w:w="70" w:type="dxa"/>
              <w:left w:w="70" w:type="dxa"/>
              <w:right w:w="70" w:type="dxa"/>
            </w:tcMar>
          </w:tcPr>
          <w:p>
            <w:pPr>
              <w:spacing w:after="60" w:before="40" w:line="245" w:lineRule="auto"/>
            </w:pPr>
            <w:r>
              <w:rPr>
                <w:b/>
                <w:sz w:val="18"/>
              </w:rPr>
              <w:t>Native carrier and selected content</w:t>
            </w:r>
          </w:p>
        </w:tc>
        <w:tc>
          <w:tcPr>
            <w:tcW w:type="dxa" w:w="3110"/>
            <w:vAlign w:val="center"/>
            <w:shd w:fill="E7EEF2"/>
            <w:tcMar>
              <w:top w:w="70" w:type="dxa"/>
              <w:bottom w:w="70" w:type="dxa"/>
              <w:left w:w="70" w:type="dxa"/>
              <w:right w:w="70" w:type="dxa"/>
            </w:tcMar>
          </w:tcPr>
          <w:p>
            <w:pPr>
              <w:spacing w:after="60" w:before="40" w:line="245" w:lineRule="auto"/>
            </w:pPr>
            <w:r>
              <w:rPr>
                <w:b/>
                <w:sz w:val="18"/>
              </w:rPr>
              <w:t>Provenance / relationships</w:t>
            </w:r>
          </w:p>
        </w:tc>
      </w:tr>
      <w:tr>
        <w:trPr>
          <w:cantSplit/>
        </w:trPr>
        <w:tc>
          <w:tcPr>
            <w:tcW w:type="dxa" w:w="2203"/>
            <w:vAlign w:val="center"/>
            <w:shd w:fill="FFFFFF"/>
            <w:tcMar>
              <w:top w:w="70" w:type="dxa"/>
              <w:bottom w:w="70" w:type="dxa"/>
              <w:left w:w="70" w:type="dxa"/>
              <w:right w:w="70" w:type="dxa"/>
            </w:tcMar>
          </w:tcPr>
          <w:p>
            <w:pPr>
              <w:spacing w:after="60" w:before="40" w:line="245" w:lineRule="auto"/>
            </w:pPr>
            <w:r>
              <w:rPr>
                <w:b w:val="0"/>
                <w:sz w:val="18"/>
              </w:rPr>
              <w:t>technical-description</w:t>
            </w:r>
          </w:p>
        </w:tc>
        <w:tc>
          <w:tcPr>
            <w:tcW w:type="dxa" w:w="4608"/>
            <w:vAlign w:val="center"/>
            <w:shd w:fill="FFFFFF"/>
            <w:tcMar>
              <w:top w:w="70" w:type="dxa"/>
              <w:bottom w:w="70" w:type="dxa"/>
              <w:left w:w="70" w:type="dxa"/>
              <w:right w:w="70" w:type="dxa"/>
            </w:tcMar>
          </w:tcPr>
          <w:p>
            <w:pPr>
              <w:spacing w:after="60" w:before="40" w:line="245" w:lineRule="auto"/>
            </w:pPr>
            <w:r>
              <w:rPr>
                <w:b w:val="0"/>
                <w:sz w:val="18"/>
              </w:rPr>
              <w:t>CharacteristicList; Selected manufacturer, model-designation and revision Text properties; at least one property.</w:t>
            </w:r>
          </w:p>
        </w:tc>
        <w:tc>
          <w:tcPr>
            <w:tcW w:type="dxa" w:w="3110"/>
            <w:vAlign w:val="center"/>
            <w:shd w:fill="FFFFFF"/>
            <w:tcMar>
              <w:top w:w="70" w:type="dxa"/>
              <w:bottom w:w="70" w:type="dxa"/>
              <w:left w:w="70" w:type="dxa"/>
              <w:right w:w="70" w:type="dxa"/>
            </w:tcMar>
          </w:tcPr>
          <w:p>
            <w:pPr>
              <w:spacing w:after="60" w:before="40" w:line="245" w:lineRule="auto"/>
            </w:pPr>
            <w:r>
              <w:rPr>
                <w:b w:val="0"/>
                <w:sz w:val="18"/>
              </w:rPr>
              <w:t>R01–R02; RFC 8348 meanings translated; group authored.</w:t>
            </w:r>
          </w:p>
        </w:tc>
      </w:tr>
      <w:tr>
        <w:trPr>
          <w:cantSplit/>
        </w:trPr>
        <w:tc>
          <w:tcPr>
            <w:tcW w:type="dxa" w:w="2203"/>
            <w:vAlign w:val="center"/>
            <w:shd w:fill="F6F8FA"/>
            <w:tcMar>
              <w:top w:w="70" w:type="dxa"/>
              <w:bottom w:w="70" w:type="dxa"/>
              <w:left w:w="70" w:type="dxa"/>
              <w:right w:w="70" w:type="dxa"/>
            </w:tcMar>
          </w:tcPr>
          <w:p>
            <w:pPr>
              <w:spacing w:after="60" w:before="40" w:line="245" w:lineRule="auto"/>
            </w:pPr>
            <w:r>
              <w:rPr>
                <w:b w:val="0"/>
                <w:sz w:val="18"/>
              </w:rPr>
              <w:t>equipment-role</w:t>
            </w:r>
          </w:p>
        </w:tc>
        <w:tc>
          <w:tcPr>
            <w:tcW w:type="dxa" w:w="4608"/>
            <w:vAlign w:val="center"/>
            <w:shd w:fill="F6F8FA"/>
            <w:tcMar>
              <w:top w:w="70" w:type="dxa"/>
              <w:bottom w:w="70" w:type="dxa"/>
              <w:left w:w="70" w:type="dxa"/>
              <w:right w:w="70" w:type="dxa"/>
            </w:tcMar>
          </w:tcPr>
          <w:p>
            <w:pPr>
              <w:spacing w:after="60" w:before="40" w:line="245" w:lineRule="auto"/>
            </w:pPr>
            <w:r>
              <w:rPr>
                <w:b w:val="0"/>
                <w:sz w:val="18"/>
              </w:rPr>
              <w:t>CharacteristicList; component-ref ×1; function-ref ×1..n.</w:t>
            </w:r>
          </w:p>
        </w:tc>
        <w:tc>
          <w:tcPr>
            <w:tcW w:type="dxa" w:w="3110"/>
            <w:vAlign w:val="center"/>
            <w:shd w:fill="F6F8FA"/>
            <w:tcMar>
              <w:top w:w="70" w:type="dxa"/>
              <w:bottom w:w="70" w:type="dxa"/>
              <w:left w:w="70" w:type="dxa"/>
              <w:right w:w="70" w:type="dxa"/>
            </w:tcMar>
          </w:tcPr>
          <w:p>
            <w:pPr>
              <w:spacing w:after="60" w:before="40" w:line="245" w:lineRule="auto"/>
            </w:pPr>
            <w:r>
              <w:rPr>
                <w:b w:val="0"/>
                <w:sz w:val="18"/>
              </w:rPr>
              <w:t>R02–R04; component carrier native; association authored.</w:t>
            </w:r>
          </w:p>
        </w:tc>
      </w:tr>
      <w:tr>
        <w:trPr>
          <w:cantSplit/>
        </w:trPr>
        <w:tc>
          <w:tcPr>
            <w:tcW w:type="dxa" w:w="2203"/>
            <w:vAlign w:val="center"/>
            <w:shd w:fill="FFFFFF"/>
            <w:tcMar>
              <w:top w:w="70" w:type="dxa"/>
              <w:bottom w:w="70" w:type="dxa"/>
              <w:left w:w="70" w:type="dxa"/>
              <w:right w:w="70" w:type="dxa"/>
            </w:tcMar>
          </w:tcPr>
          <w:p>
            <w:pPr>
              <w:spacing w:after="60" w:before="40" w:line="245" w:lineRule="auto"/>
            </w:pPr>
            <w:r>
              <w:rPr>
                <w:b w:val="0"/>
                <w:sz w:val="18"/>
              </w:rPr>
              <w:t>sensing-function</w:t>
            </w:r>
          </w:p>
        </w:tc>
        <w:tc>
          <w:tcPr>
            <w:tcW w:type="dxa" w:w="4608"/>
            <w:vAlign w:val="center"/>
            <w:shd w:fill="FFFFFF"/>
            <w:tcMar>
              <w:top w:w="70" w:type="dxa"/>
              <w:bottom w:w="70" w:type="dxa"/>
              <w:left w:w="70" w:type="dxa"/>
              <w:right w:w="70" w:type="dxa"/>
            </w:tcMar>
          </w:tcPr>
          <w:p>
            <w:pPr>
              <w:spacing w:after="60" w:before="40" w:line="245" w:lineRule="auto"/>
            </w:pPr>
            <w:r>
              <w:rPr>
                <w:b w:val="0"/>
                <w:sz w:val="18"/>
              </w:rPr>
              <w:t>CapabilityList; function-kind ×1; applicable typed qualifications. In process.capabilities[] or native Mode.capabilities[]; nested content retains mode scope.</w:t>
            </w:r>
          </w:p>
        </w:tc>
        <w:tc>
          <w:tcPr>
            <w:tcW w:type="dxa" w:w="3110"/>
            <w:vAlign w:val="center"/>
            <w:shd w:fill="FFFFFF"/>
            <w:tcMar>
              <w:top w:w="70" w:type="dxa"/>
              <w:bottom w:w="70" w:type="dxa"/>
              <w:left w:w="70" w:type="dxa"/>
              <w:right w:w="70" w:type="dxa"/>
            </w:tcMar>
          </w:tcPr>
          <w:p>
            <w:pPr>
              <w:spacing w:after="60" w:before="40" w:line="245" w:lineRule="auto"/>
            </w:pPr>
            <w:r>
              <w:rPr>
                <w:b w:val="0"/>
                <w:sz w:val="18"/>
              </w:rPr>
              <w:t>R04; native Mode/carrier; OSUS/SAPIENT precedent; grouping and mode rules authored.</w:t>
            </w:r>
          </w:p>
        </w:tc>
      </w:tr>
      <w:tr>
        <w:trPr>
          <w:cantSplit/>
        </w:trPr>
        <w:tc>
          <w:tcPr>
            <w:tcW w:type="dxa" w:w="2203"/>
            <w:vAlign w:val="center"/>
            <w:shd w:fill="F6F8FA"/>
            <w:tcMar>
              <w:top w:w="70" w:type="dxa"/>
              <w:bottom w:w="70" w:type="dxa"/>
              <w:left w:w="70" w:type="dxa"/>
              <w:right w:w="70" w:type="dxa"/>
            </w:tcMar>
          </w:tcPr>
          <w:p>
            <w:pPr>
              <w:spacing w:after="60" w:before="40" w:line="245" w:lineRule="auto"/>
            </w:pPr>
            <w:r>
              <w:rPr>
                <w:b w:val="0"/>
                <w:sz w:val="18"/>
              </w:rPr>
              <w:t>function-binding</w:t>
            </w:r>
          </w:p>
        </w:tc>
        <w:tc>
          <w:tcPr>
            <w:tcW w:type="dxa" w:w="4608"/>
            <w:vAlign w:val="center"/>
            <w:shd w:fill="F6F8FA"/>
            <w:tcMar>
              <w:top w:w="70" w:type="dxa"/>
              <w:bottom w:w="70" w:type="dxa"/>
              <w:left w:w="70" w:type="dxa"/>
              <w:right w:w="70" w:type="dxa"/>
            </w:tcMar>
          </w:tcPr>
          <w:p>
            <w:pPr>
              <w:spacing w:after="60" w:before="40" w:line="245" w:lineRule="auto"/>
            </w:pPr>
            <w:r>
              <w:rPr>
                <w:b w:val="0"/>
                <w:sz w:val="18"/>
              </w:rPr>
              <w:t>CharacteristicList; function-ref ×1; ≥1 parameter-path or output-path. Process or Mode placement; paths resolve against the containing process.</w:t>
            </w:r>
          </w:p>
        </w:tc>
        <w:tc>
          <w:tcPr>
            <w:tcW w:type="dxa" w:w="3110"/>
            <w:vAlign w:val="center"/>
            <w:shd w:fill="F6F8FA"/>
            <w:tcMar>
              <w:top w:w="70" w:type="dxa"/>
              <w:bottom w:w="70" w:type="dxa"/>
              <w:left w:w="70" w:type="dxa"/>
              <w:right w:w="70" w:type="dxa"/>
            </w:tcMar>
          </w:tcPr>
          <w:p>
            <w:pPr>
              <w:spacing w:after="60" w:before="40" w:line="245" w:lineRule="auto"/>
            </w:pPr>
            <w:r>
              <w:rPr>
                <w:b w:val="0"/>
                <w:sz w:val="18"/>
              </w:rPr>
              <w:t>R09–R10; native paths; correspondence and mode scoping authored.</w:t>
            </w:r>
          </w:p>
        </w:tc>
      </w:tr>
      <w:tr>
        <w:trPr>
          <w:cantSplit/>
        </w:trPr>
        <w:tc>
          <w:tcPr>
            <w:tcW w:type="dxa" w:w="2203"/>
            <w:vAlign w:val="center"/>
            <w:shd w:fill="FFFFFF"/>
            <w:tcMar>
              <w:top w:w="70" w:type="dxa"/>
              <w:bottom w:w="70" w:type="dxa"/>
              <w:left w:w="70" w:type="dxa"/>
              <w:right w:w="70" w:type="dxa"/>
            </w:tcMar>
          </w:tcPr>
          <w:p>
            <w:pPr>
              <w:spacing w:after="60" w:before="40" w:line="245" w:lineRule="auto"/>
            </w:pPr>
            <w:r>
              <w:rPr>
                <w:b w:val="0"/>
                <w:sz w:val="18"/>
              </w:rPr>
              <w:t>action-binding</w:t>
            </w:r>
          </w:p>
        </w:tc>
        <w:tc>
          <w:tcPr>
            <w:tcW w:type="dxa" w:w="4608"/>
            <w:vAlign w:val="center"/>
            <w:shd w:fill="FFFFFF"/>
            <w:tcMar>
              <w:top w:w="70" w:type="dxa"/>
              <w:bottom w:w="70" w:type="dxa"/>
              <w:left w:w="70" w:type="dxa"/>
              <w:right w:w="70" w:type="dxa"/>
            </w:tcMar>
          </w:tcPr>
          <w:p>
            <w:pPr>
              <w:spacing w:after="60" w:before="40" w:line="245" w:lineRule="auto"/>
            </w:pPr>
            <w:r>
              <w:rPr>
                <w:b w:val="0"/>
                <w:sz w:val="18"/>
              </w:rPr>
              <w:t>CharacteristicList; input-path ×1; function-ref ×1..n; parameter-path ×0..n.</w:t>
            </w:r>
          </w:p>
        </w:tc>
        <w:tc>
          <w:tcPr>
            <w:tcW w:type="dxa" w:w="3110"/>
            <w:vAlign w:val="center"/>
            <w:shd w:fill="FFFFFF"/>
            <w:tcMar>
              <w:top w:w="70" w:type="dxa"/>
              <w:bottom w:w="70" w:type="dxa"/>
              <w:left w:w="70" w:type="dxa"/>
              <w:right w:w="70" w:type="dxa"/>
            </w:tcMar>
          </w:tcPr>
          <w:p>
            <w:pPr>
              <w:spacing w:after="60" w:before="40" w:line="245" w:lineRule="auto"/>
            </w:pPr>
            <w:r>
              <w:rPr>
                <w:b w:val="0"/>
                <w:sz w:val="18"/>
              </w:rPr>
              <w:t>R12; native input/control relation plus authored action meaning.</w:t>
            </w:r>
          </w:p>
        </w:tc>
      </w:tr>
      <w:tr>
        <w:trPr>
          <w:cantSplit/>
        </w:trPr>
        <w:tc>
          <w:tcPr>
            <w:tcW w:type="dxa" w:w="2203"/>
            <w:vAlign w:val="center"/>
            <w:shd w:fill="F6F8FA"/>
            <w:tcMar>
              <w:top w:w="70" w:type="dxa"/>
              <w:bottom w:w="70" w:type="dxa"/>
              <w:left w:w="70" w:type="dxa"/>
              <w:right w:w="70" w:type="dxa"/>
            </w:tcMar>
          </w:tcPr>
          <w:p>
            <w:pPr>
              <w:spacing w:after="60" w:before="40" w:line="245" w:lineRule="auto"/>
            </w:pPr>
            <w:r>
              <w:rPr>
                <w:b w:val="0"/>
                <w:sz w:val="18"/>
              </w:rPr>
              <w:t>communications-interface</w:t>
            </w:r>
          </w:p>
        </w:tc>
        <w:tc>
          <w:tcPr>
            <w:tcW w:type="dxa" w:w="4608"/>
            <w:vAlign w:val="center"/>
            <w:shd w:fill="F6F8FA"/>
            <w:tcMar>
              <w:top w:w="70" w:type="dxa"/>
              <w:bottom w:w="70" w:type="dxa"/>
              <w:left w:w="70" w:type="dxa"/>
              <w:right w:w="70" w:type="dxa"/>
            </w:tcMar>
          </w:tcPr>
          <w:p>
            <w:pPr>
              <w:spacing w:after="60" w:before="40" w:line="245" w:lineRule="auto"/>
            </w:pPr>
            <w:r>
              <w:rPr>
                <w:b w:val="0"/>
                <w:sz w:val="18"/>
              </w:rPr>
              <w:t>CharacteristicList; interface-name ×1; interface-type ×1; interface-enabled ×0..1; lower-layer-interface-ref ×0..n.</w:t>
            </w:r>
          </w:p>
        </w:tc>
        <w:tc>
          <w:tcPr>
            <w:tcW w:type="dxa" w:w="3110"/>
            <w:vAlign w:val="center"/>
            <w:shd w:fill="F6F8FA"/>
            <w:tcMar>
              <w:top w:w="70" w:type="dxa"/>
              <w:bottom w:w="70" w:type="dxa"/>
              <w:left w:w="70" w:type="dxa"/>
              <w:right w:w="70" w:type="dxa"/>
            </w:tcMar>
          </w:tcPr>
          <w:p>
            <w:pPr>
              <w:spacing w:after="60" w:before="40" w:line="245" w:lineRule="auto"/>
            </w:pPr>
            <w:r>
              <w:rPr>
                <w:b w:val="0"/>
                <w:sz w:val="18"/>
              </w:rPr>
              <w:t>R13; RFC 2863/8343 translated content.</w:t>
            </w:r>
          </w:p>
        </w:tc>
      </w:tr>
      <w:tr>
        <w:trPr>
          <w:cantSplit/>
        </w:trPr>
        <w:tc>
          <w:tcPr>
            <w:tcW w:type="dxa" w:w="2203"/>
            <w:vAlign w:val="center"/>
            <w:shd w:fill="FFFFFF"/>
            <w:tcMar>
              <w:top w:w="70" w:type="dxa"/>
              <w:bottom w:w="70" w:type="dxa"/>
              <w:left w:w="70" w:type="dxa"/>
              <w:right w:w="70" w:type="dxa"/>
            </w:tcMar>
          </w:tcPr>
          <w:p>
            <w:pPr>
              <w:spacing w:after="60" w:before="40" w:line="245" w:lineRule="auto"/>
            </w:pPr>
            <w:r>
              <w:rPr>
                <w:b w:val="0"/>
                <w:sz w:val="18"/>
              </w:rPr>
              <w:t>communication-link</w:t>
            </w:r>
          </w:p>
        </w:tc>
        <w:tc>
          <w:tcPr>
            <w:tcW w:type="dxa" w:w="4608"/>
            <w:vAlign w:val="center"/>
            <w:shd w:fill="FFFFFF"/>
            <w:tcMar>
              <w:top w:w="70" w:type="dxa"/>
              <w:bottom w:w="70" w:type="dxa"/>
              <w:left w:w="70" w:type="dxa"/>
              <w:right w:w="70" w:type="dxa"/>
            </w:tcMar>
          </w:tcPr>
          <w:p>
            <w:pPr>
              <w:spacing w:after="60" w:before="40" w:line="245" w:lineRule="auto"/>
            </w:pPr>
            <w:r>
              <w:rPr>
                <w:b w:val="0"/>
                <w:sz w:val="18"/>
              </w:rPr>
              <w:t>CharacteristicList; source-interface-ref ×1; destination-interface-ref ×1; optional time conditions.</w:t>
            </w:r>
          </w:p>
        </w:tc>
        <w:tc>
          <w:tcPr>
            <w:tcW w:type="dxa" w:w="3110"/>
            <w:vAlign w:val="center"/>
            <w:shd w:fill="FFFFFF"/>
            <w:tcMar>
              <w:top w:w="70" w:type="dxa"/>
              <w:bottom w:w="70" w:type="dxa"/>
              <w:left w:w="70" w:type="dxa"/>
              <w:right w:w="70" w:type="dxa"/>
            </w:tcMar>
          </w:tcPr>
          <w:p>
            <w:pPr>
              <w:spacing w:after="60" w:before="40" w:line="245" w:lineRule="auto"/>
            </w:pPr>
            <w:r>
              <w:rPr>
                <w:b w:val="0"/>
                <w:sz w:val="18"/>
              </w:rPr>
              <w:t>R14; RFC 8345-based directed-link projection.</w:t>
            </w:r>
          </w:p>
        </w:tc>
      </w:tr>
      <w:tr>
        <w:trPr>
          <w:cantSplit/>
        </w:trPr>
        <w:tc>
          <w:tcPr>
            <w:tcW w:type="dxa" w:w="2203"/>
            <w:vAlign w:val="center"/>
            <w:shd w:fill="F6F8FA"/>
            <w:tcMar>
              <w:top w:w="70" w:type="dxa"/>
              <w:bottom w:w="70" w:type="dxa"/>
              <w:left w:w="70" w:type="dxa"/>
              <w:right w:w="70" w:type="dxa"/>
            </w:tcMar>
          </w:tcPr>
          <w:p>
            <w:pPr>
              <w:spacing w:after="60" w:before="40" w:line="245" w:lineRule="auto"/>
            </w:pPr>
            <w:r>
              <w:rPr>
                <w:b w:val="0"/>
                <w:sz w:val="18"/>
              </w:rPr>
              <w:t>gateway-access</w:t>
            </w:r>
          </w:p>
        </w:tc>
        <w:tc>
          <w:tcPr>
            <w:tcW w:type="dxa" w:w="4608"/>
            <w:vAlign w:val="center"/>
            <w:shd w:fill="F6F8FA"/>
            <w:tcMar>
              <w:top w:w="70" w:type="dxa"/>
              <w:bottom w:w="70" w:type="dxa"/>
              <w:left w:w="70" w:type="dxa"/>
              <w:right w:w="70" w:type="dxa"/>
            </w:tcMar>
          </w:tcPr>
          <w:p>
            <w:pPr>
              <w:spacing w:after="60" w:before="40" w:line="245" w:lineRule="auto"/>
            </w:pPr>
            <w:r>
              <w:rPr>
                <w:b w:val="0"/>
                <w:sz w:val="18"/>
              </w:rPr>
              <w:t>CharacteristicList; served-system-ref ×1; via-system-ref ×1; link-ref ×0..n; optional time conditions.</w:t>
            </w:r>
          </w:p>
        </w:tc>
        <w:tc>
          <w:tcPr>
            <w:tcW w:type="dxa" w:w="3110"/>
            <w:vAlign w:val="center"/>
            <w:shd w:fill="F6F8FA"/>
            <w:tcMar>
              <w:top w:w="70" w:type="dxa"/>
              <w:bottom w:w="70" w:type="dxa"/>
              <w:left w:w="70" w:type="dxa"/>
              <w:right w:w="70" w:type="dxa"/>
            </w:tcMar>
          </w:tcPr>
          <w:p>
            <w:pPr>
              <w:spacing w:after="60" w:before="40" w:line="245" w:lineRule="auto"/>
            </w:pPr>
            <w:r>
              <w:rPr>
                <w:b w:val="0"/>
                <w:sz w:val="18"/>
              </w:rPr>
              <w:t>R15; SNRA/OSUS-inspired authored association.</w:t>
            </w:r>
          </w:p>
        </w:tc>
      </w:tr>
      <w:tr>
        <w:trPr>
          <w:cantSplit/>
        </w:trPr>
        <w:tc>
          <w:tcPr>
            <w:tcW w:type="dxa" w:w="2203"/>
            <w:vAlign w:val="center"/>
            <w:shd w:fill="F6F8FA"/>
            <w:tcMar>
              <w:top w:w="70" w:type="dxa"/>
              <w:bottom w:w="70" w:type="dxa"/>
              <w:left w:w="70" w:type="dxa"/>
              <w:right w:w="70" w:type="dxa"/>
            </w:tcMar>
          </w:tcPr>
          <w:p>
            <w:r>
              <w:t>representation-source</w:t>
            </w:r>
          </w:p>
        </w:tc>
        <w:tc>
          <w:tcPr>
            <w:tcW w:type="dxa" w:w="4608"/>
            <w:vAlign w:val="center"/>
            <w:shd w:fill="F6F8FA"/>
            <w:tcMar>
              <w:top w:w="70" w:type="dxa"/>
              <w:bottom w:w="70" w:type="dxa"/>
              <w:left w:w="70" w:type="dxa"/>
              <w:right w:w="70" w:type="dxa"/>
            </w:tcMar>
          </w:tcPr>
          <w:p>
            <w:r>
              <w:t>CharacteristicList on represented System, optional when externally mediated; native-source-id ×1 (Text), native-entity-role ×1 (Category), source-specification ×1 (Text), representing-adapter-ref ×1 (Text URI).</w:t>
            </w:r>
          </w:p>
        </w:tc>
        <w:tc>
          <w:tcPr>
            <w:tcW w:type="dxa" w:w="3110"/>
            <w:vAlign w:val="center"/>
            <w:shd w:fill="F6F8FA"/>
            <w:tcMar>
              <w:top w:w="70" w:type="dxa"/>
              <w:bottom w:w="70" w:type="dxa"/>
              <w:left w:w="70" w:type="dxa"/>
              <w:right w:w="70" w:type="dxa"/>
            </w:tcMar>
          </w:tcPr>
          <w:p>
            <w:r>
              <w:t>R01/R15; ISA mediation distinction and SAPIENT sender identity prompt; group, terms and OGC carrier are MERLIN-authored. Not a gateway link or native source-conformance class.</w:t>
            </w:r>
          </w:p>
        </w:tc>
      </w:tr>
      <w:tr>
        <w:trPr>
          <w:cantSplit/>
        </w:trPr>
        <w:tc>
          <w:tcPr>
            <w:tcW w:type="dxa" w:w="2203"/>
            <w:vAlign w:val="center"/>
            <w:shd w:fill="FFFFFF"/>
            <w:tcMar>
              <w:top w:w="70" w:type="dxa"/>
              <w:bottom w:w="70" w:type="dxa"/>
              <w:left w:w="70" w:type="dxa"/>
              <w:right w:w="70" w:type="dxa"/>
            </w:tcMar>
          </w:tcPr>
          <w:p>
            <w:r>
              <w:t>energy-relationship</w:t>
            </w:r>
          </w:p>
        </w:tc>
        <w:tc>
          <w:tcPr>
            <w:tcW w:type="dxa" w:w="4608"/>
            <w:vAlign w:val="center"/>
            <w:shd w:fill="FFFFFF"/>
            <w:tcMar>
              <w:top w:w="70" w:type="dxa"/>
              <w:bottom w:w="70" w:type="dxa"/>
              <w:left w:w="70" w:type="dxa"/>
              <w:right w:w="70" w:type="dxa"/>
            </w:tcMar>
          </w:tcPr>
          <w:p>
            <w:r>
              <w:t>CharacteristicList; relationship-subject-ref ×1; energy-relationship-kind ×1 (powers/meters/aggregates); relationship-object-ref ×1; applicable deployment/time scope.</w:t>
            </w:r>
          </w:p>
        </w:tc>
        <w:tc>
          <w:tcPr>
            <w:tcW w:type="dxa" w:w="3110"/>
            <w:vAlign w:val="center"/>
            <w:shd w:fill="FFFFFF"/>
            <w:tcMar>
              <w:top w:w="70" w:type="dxa"/>
              <w:bottom w:w="70" w:type="dxa"/>
              <w:left w:w="70" w:type="dxa"/>
              <w:right w:w="70" w:type="dxa"/>
            </w:tcMar>
          </w:tcPr>
          <w:p>
            <w:r>
              <w:t>R16; RFC 7326 domain meanings, authored MERLIN OGC mapping, not a native RFC 7461 MIB.</w:t>
            </w:r>
          </w:p>
        </w:tc>
      </w:tr>
      <w:tr>
        <w:trPr>
          <w:cantSplit/>
        </w:trPr>
        <w:tc>
          <w:tcPr>
            <w:tcW w:type="dxa" w:w="2203"/>
            <w:vAlign w:val="center"/>
            <w:shd w:fill="F6F8FA"/>
            <w:tcMar>
              <w:top w:w="70" w:type="dxa"/>
              <w:bottom w:w="70" w:type="dxa"/>
              <w:left w:w="70" w:type="dxa"/>
              <w:right w:w="70" w:type="dxa"/>
            </w:tcMar>
          </w:tcPr>
          <w:p>
            <w:pPr>
              <w:spacing w:after="60" w:before="40" w:line="245" w:lineRule="auto"/>
            </w:pPr>
            <w:r>
              <w:rPr>
                <w:b w:val="0"/>
                <w:sz w:val="18"/>
              </w:rPr>
              <w:t>assessment-result</w:t>
            </w:r>
          </w:p>
        </w:tc>
        <w:tc>
          <w:tcPr>
            <w:tcW w:type="dxa" w:w="4608"/>
            <w:vAlign w:val="center"/>
            <w:shd w:fill="F6F8FA"/>
            <w:tcMar>
              <w:top w:w="70" w:type="dxa"/>
              <w:bottom w:w="70" w:type="dxa"/>
              <w:left w:w="70" w:type="dxa"/>
              <w:right w:w="70" w:type="dxa"/>
            </w:tcMar>
          </w:tcPr>
          <w:p>
            <w:r>
              <w:t>Optional qualifying method-derived or measured condition Observation result: DataRecord finding plus declared evidence as supported.</w:t>
            </w:r>
          </w:p>
        </w:tc>
        <w:tc>
          <w:tcPr>
            <w:tcW w:type="dxa" w:w="3110"/>
            <w:vAlign w:val="center"/>
            <w:shd w:fill="F6F8FA"/>
            <w:tcMar>
              <w:top w:w="70" w:type="dxa"/>
              <w:bottom w:w="70" w:type="dxa"/>
              <w:left w:w="70" w:type="dxa"/>
              <w:right w:w="70" w:type="dxa"/>
            </w:tcMar>
          </w:tcPr>
          <w:p>
            <w:r>
              <w:t>R20; OMS 3.0 admission distinction; CCOM-informed authored binding; administrative service review uses Event.</w:t>
            </w:r>
          </w:p>
        </w:tc>
      </w:tr>
    </w:tbl>
    <w:p>
      <w:pPr>
        <w:pStyle w:val="Small"/>
        <w:widowControl/>
      </w:pPr>
      <w:r/>
    </w:p>
    <w:p>
      <w:pPr>
        <w:widowControl/>
      </w:pPr>
      <w:r>
        <w:t>These are content contracts within the eight subject areas, not additional service types or independently required domains. Optional representation-source is present only where an integration has an identifiable native sender or source entity represented by an adapter. Additional family properties can be included with their own definitions where the base carrier allows them. A translated property keeps its documented source meaning while an authored reference states a profile rule; neither implies adoption of an originating protocol.</w:t>
      </w:r>
    </w:p>
    <w:p>
      <w:pPr>
        <w:pStyle w:val="Heading2"/>
        <w:keepNext/>
        <w:pageBreakBefore/>
        <w:widowControl/>
      </w:pPr>
      <w:r>
        <w:t>5.6 Equipment, model and sensing-function bindings</w:t>
      </w:r>
    </w:p>
    <w:p>
      <w:pPr>
        <w:pStyle w:val="Heading3"/>
        <w:keepNext/>
        <w:widowControl/>
      </w:pPr>
      <w:r>
        <w:t>R01 — A System uses a reusable model description</w:t>
      </w:r>
    </w:p>
    <w:p>
      <w:pPr>
        <w:widowControl/>
      </w:pPr>
      <w:r>
        <w:t>The selected meaning is the relationship between a particular system and the reusable description of its kind. This is already expressed by CSAPI systemKind and SensorML typeOf; a manufacturer’s model label is supporting descriptive information, not a substitute for that link. RFC 8348’s mfg-name, model-name and revision concepts inform the separate technical description fields, while marine SensorML and CCOM provide model/instance precedents (Open Geospatial Consortium 2025a, §§9, 13, 19.2; Internet Engineering Task Force 2018, §7.1; Kokkinaki et al. n.d.).</w:t>
      </w:r>
    </w:p>
    <w:p>
      <w:pPr>
        <w:widowControl/>
      </w:pPr>
      <w:r>
        <w:t>Bind the System’s typeOf to an XLink to the appropriate Procedure/base SensorML description, retaining its href and identifier where supplied. The optional systemKind relation remains single-valued; the same model can describe many Systems. Put manufacturer and model-designation on a P/group/technical-description CharacteristicList, with equipment-specific revisions on the instance when that is their scope. The technical group uses native id, label and definition; each property uses its selected P/term definition and SWE Text value.</w:t>
      </w:r>
    </w:p>
    <w:p>
      <w:pPr>
        <w:widowControl/>
      </w:pPr>
      <w:r>
        <w:t>Client model resolution follows the base standard rather than manufacturing fields in the System. A family may add selected technical properties using the same typed mechanism. The worked example materializes the needed parameters on the System while keeping their reusable model link, making the binding inspectable without claiming a complete inheritance engine.</w:t>
      </w:r>
    </w:p>
    <w:p>
      <w:pPr/>
      <w:r>
        <w:t>Native sender, node, gateway or adapter identifiers are not automatically identifiers of the same enduring physical System. When authoritative integration evidence establishes that a native identifier denotes the identical equipment, it may be recorded in SensorML identifiers[] with its definition and code-space context; otherwise keep it separately qualified as source provenance under R15. A SAPIENT v2 node_id, for example, identifies the registered native message sender and must not replace the physical System.uniqueId or SensorML typeOf merely because its messages originate from that equipment. This is a MERLIN identity interpretation rule informed by SAPIENT v2 and ISA Phase 2, not an external normative identity equivalence (BSI Flex 335 v2.0:2024-03, §§4.10–4.11, 6.2.4; ISA Phase 2 Main-Profile Memo 2026).</w:t>
      </w:r>
    </w:p>
    <w:p>
      <w:pPr>
        <w:pStyle w:val="BindingLocator"/>
        <w:widowControl/>
      </w:pPr>
      <w:r>
        <w:t>Binding locator: System.typeOf; characteristics[] / technical-description.  Example files: 01–02.</w:t>
      </w:r>
    </w:p>
    <w:p>
      <w:pPr>
        <w:pStyle w:val="Heading3"/>
        <w:keepNext/>
        <w:widowControl/>
      </w:pPr>
      <w:r>
        <w:t>R02 — A System includes its equipment</w:t>
      </w:r>
    </w:p>
    <w:p>
      <w:pPr>
        <w:widowControl/>
      </w:pPr>
      <w:r>
        <w:t>The relationship describes components that belong to the described physical system. SensorML provides named components and CSAPI provides applicable subsystem associations; RFC 8348 and AAS provide external component-management and distribution concepts, not an already standardized OGC crosswalk. This draft retains their organizing contribution while implementing the selected OGC structure (Open Geospatial Consortium 2025a, §10; n.d.-a, AggregateProcess.json; Internet Engineering Task Force 2018, §3; Industrial Digital Twin Association 2024, §§1.2–1.5).</w:t>
      </w:r>
    </w:p>
    <w:p>
      <w:pPr>
        <w:widowControl/>
      </w:pPr>
      <w:r>
        <w:t>Use components[] for named inline component descriptions or the permitted Link form, and publish applicable native subsystem links for accessible System resources. A component referenced by other profile content needs its native id for owner-scoped resolution or an independent resource reference. A P/group/equipment-role group links exactly one component-ref to one or more function-ref values when the role is to enable those functions. This additional role group does not replace the actual components relationship or assert an extra physical component.</w:t>
      </w:r>
    </w:p>
    <w:p>
      <w:pPr>
        <w:widowControl/>
      </w:pPr>
      <w:r>
        <w:t>The new role binding is authored here, not imported wholesale from YANG or AAS. Select inline versus independent description by the useful equipment and management boundary, not by the existence of a serial number alone. The operator can see one meaningful Equipment presentation while technical substructure remains available.</w:t>
      </w:r>
    </w:p>
    <w:p>
      <w:pPr/>
      <w:r>
        <w:t>Treat physical containment, attachment, functional realization, software representation and tasking or fusion dependencies as distinct relationships. A native SAPIENT dependent_nodes entry or SOSA logical responsibility does not by itself prove that one physical device is a component of another; represent an actual component or subsystem only when the source identifies that physical relationship. Software mediation belongs under the optional R15 provenance convention rather than components[]; the physical support remains attachedTo under R03. These limits preserve the capabilities of the existing OGC model while avoiding a duplicate generic equipment hierarchy (BSI 2024, §§4.10–4.11, 6.2.4; The Open Group 2023, SOSA C239; ISA Phase 2 2026).</w:t>
      </w:r>
    </w:p>
    <w:p>
      <w:pPr>
        <w:pStyle w:val="BindingLocator"/>
        <w:widowControl/>
      </w:pPr>
      <w:r>
        <w:t>Binding locator: components[]; characteristics[] / equipment-role.  Example files: 02.</w:t>
      </w:r>
    </w:p>
    <w:p>
      <w:pPr>
        <w:pStyle w:val="Heading3"/>
        <w:keepNext/>
        <w:pageBreakBefore/>
        <w:widowControl/>
      </w:pPr>
      <w:r>
        <w:t>R03 — Equipment is mounted on a physical support</w:t>
      </w:r>
    </w:p>
    <w:p>
      <w:pPr>
        <w:widowControl/>
      </w:pPr>
      <w:r>
        <w:t>Physical attachment connects equipment to a platform or supporting component. SensorML attachedTo and position/reference-frame mechanisms supply that relationship, so no new “mounted-on” top-level API member is proposed. The attachment may coexist with deployment participation and with an equipment composition (Open Geospatial Consortium 2025c, §8.5.1.1; n.d.-a, AbstractPhysicalProcess.json).</w:t>
      </w:r>
    </w:p>
    <w:p>
      <w:pPr>
        <w:widowControl/>
      </w:pPr>
      <w:r>
        <w:t>Use attachedTo as the permitted link to the support and retain the relevant supported position or pose representation. When geometry depends on a local frame, identify that frame through the base mechanism rather than assuming a heading or coordinate convention. The common binding does not demand orientation for every sensor or create an independent Location class with invented cardinalities. A support already represented as a System can also be the platform identified by a Deployment.</w:t>
      </w:r>
    </w:p>
    <w:p>
      <w:pPr>
        <w:widowControl/>
      </w:pPr>
      <w:r>
        <w:t>The profile’s selection is to resolve attachment and deployment for the same equipment and requested time. Any changed mounting record needs an appropriate description revision or event, not deletion of the equipment’s persistent identity. In the example, the station links to a mast and the deployment identifies that same mast as its platform.</w:t>
      </w:r>
    </w:p>
    <w:p>
      <w:pPr>
        <w:pStyle w:val="BindingLocator"/>
        <w:widowControl/>
      </w:pPr>
      <w:r>
        <w:t>Binding locator: attachedTo; position / reference frames as applicable.  Example files: 02, 04.</w:t>
      </w:r>
    </w:p>
    <w:p>
      <w:pPr>
        <w:pStyle w:val="Heading3"/>
        <w:keepNext/>
        <w:widowControl/>
      </w:pPr>
      <w:r>
        <w:t>R04 — Equipment provides named functions and capabilities</w:t>
      </w:r>
    </w:p>
    <w:p>
      <w:pPr>
        <w:widowControl/>
      </w:pPr>
      <w:r>
        <w:t>A sensing-function describes an understood sensing or supporting activity and its declared technical qualifications, not a universal current-readiness state. Keep the existing CapabilityList carrier, id, label, P/group/sensing-function definition, function-kind and permitted typed properties; no replacement capability class is introduced. OSUS remains the organizing precedent, while the completed SAPIENT review identifies mode-dependent declarations that the profile must preserve rather than flatten. The group organization and its mode-scoping rule are MERLIN-authored; the native Mode/DescribedObject mechanism is OGC-defined (OSUS-R Contributors n.d., AssetCapabilities.xsd; MERLIN SAPIENT v2 Research 2026, reconciliation memo; Open Geospatial Consortium 2025c, §§8.2.4, 8.8.1).</w:t>
      </w:r>
    </w:p>
    <w:p>
      <w:pPr>
        <w:widowControl/>
      </w:pPr>
      <w:r>
        <w:t>Place a generally applicable function description in the process capabilities[], and place a mode-specific function description in that native Mode’s capabilities[]. The enclosing Mode limits the latter assertion and its associated function-binding; alternative modes must not be merged into an assertion that all listed functions, products and parameter settings are simultaneously usable. Keep applicable native metadata and conditions, and resolve each function-ref through the actual owner#id convention in §5.3. Shared labels or function-kind values do not establish identity between separate groups, and an absent mode-specific group does not prove a function unsupported.</w:t>
      </w:r>
    </w:p>
    <w:p>
      <w:pPr>
        <w:widowControl/>
      </w:pPr>
      <w:r>
        <w:t>Use at least two Modes when a modes list is supplied, consistent with SensorML §8.8.1; otherwise retain the existing mode-free representation. Supported modes, configured selection, source-reported operating state and data availability are distinct facts, so neither listing a Mode nor specifying its Settings proves that it is active or ready now. Preserve donor-specific states with their original meanings: ISA command readiness, for example, means enabled and does not establish availability when the component is busy. Family performance vocabularies remain extensible, but exact IEEE/TEDS quantities and conditions stay normative-gated; this increment supplies no invented precision or calibration data (Open Geospatial Consortium 2025c, §§8.8.1–8.8.2; ISA Component Requirements 2023, CMPT-L-0072; IEEE Pass 1A 2026, §11).</w:t>
      </w:r>
    </w:p>
    <w:p>
      <w:pPr>
        <w:pStyle w:val="BindingLocator"/>
        <w:widowControl/>
      </w:pPr>
      <w:r>
        <w:t>Binding locator: process.capabilities[] or process.modes[].capabilities[] / sensing-function; native Mode metadata. Example files: 01–02; supplementary case 28.</w:t>
      </w:r>
    </w:p>
    <w:p>
      <w:pPr>
        <w:pStyle w:val="Heading2"/>
        <w:keepNext/>
        <w:pageBreakBefore/>
        <w:widowControl/>
      </w:pPr>
      <w:r>
        <w:t>5.7 Deployment and participation bindings</w:t>
      </w:r>
    </w:p>
    <w:p>
      <w:pPr>
        <w:pStyle w:val="Heading3"/>
        <w:keepNext/>
        <w:widowControl/>
      </w:pPr>
      <w:r>
        <w:t>R05 — A Deployment identifies participating Systems</w:t>
      </w:r>
    </w:p>
    <w:p>
      <w:pPr>
        <w:widowControl/>
      </w:pPr>
      <w:r>
        <w:t>DeployedSystem is the native embedded participation linking an employment to a physical System. Its purpose is not to create a second identity for the equipment but to retain the description or configuration pertinent to this deployment. Multiple participating Systems and multiple deployments through an equipment lifetime are supported by the conceptual model (Open Geospatial Consortium 2025c, §8.9; n.d.-a, Deployment.json and DeployedSystem.json).</w:t>
      </w:r>
    </w:p>
    <w:p>
      <w:pPr>
        <w:widowControl/>
      </w:pPr>
      <w:r>
        <w:t>Use Deployment.deployedSystems[] with the native name and required system XLink, and include description or configuration when needed. The system link targets the existing System, not a newly invented participant endpoint. A deployment platform uses the schema’s DeployedSystem-shaped platform object, including its system link. Do not add uniqueId, role or time fields to DeployedSystem unless the base schema or an explicitly defined extension permits them.</w:t>
      </w:r>
    </w:p>
    <w:p>
      <w:pPr>
        <w:widowControl/>
      </w:pPr>
      <w:r>
        <w:t>This draft identifies participants by their named entry and linked System within the Deployment; it adds no independent participation identity. Where different participation periods must be separately described, use time-qualified deployment records or a meaningful subdeployment under R06. The operator-facing view can still present the employment as one coherent situation.</w:t>
      </w:r>
    </w:p>
    <w:p>
      <w:pPr>
        <w:pStyle w:val="BindingLocator"/>
        <w:widowControl/>
      </w:pPr>
      <w:r>
        <w:t>Binding locator: Deployment.deployedSystems[].system; platform.system.  Example files: 08.</w:t>
      </w:r>
    </w:p>
    <w:p>
      <w:pPr>
        <w:pStyle w:val="Heading3"/>
        <w:keepNext/>
        <w:widowControl/>
      </w:pPr>
      <w:r>
        <w:t>R06 — A wider employment contains subordinate Deployments</w:t>
      </w:r>
    </w:p>
    <w:p>
      <w:pPr>
        <w:widowControl/>
      </w:pPr>
      <w:r>
        <w:t>The selected relationship is the optional CSAPI subdeployment organization. It is useful when a campaign, network employment or wider operation contains identifiable local deployments with their own information. It is not a mandatory layer imposed on every single-sensor deployment (Open Geospatial Consortium 2025a, §12).</w:t>
      </w:r>
    </w:p>
    <w:p>
      <w:pPr>
        <w:widowControl/>
      </w:pPr>
      <w:r>
        <w:t>Publish the appropriate parent and subdeployments associations using the base links, including ogc-rel:parentDeployment and ogc-rel:subdeployments where applicable. Each subordinate item retains its own native Deployment identity, scope and participants. Consumers follow the advertised links rather than interpreting an arbitrary parent string as a complete relationship. This draft does not introduce a second custom parent-deployment property alongside the native one.</w:t>
      </w:r>
    </w:p>
    <w:p>
      <w:pPr>
        <w:widowControl/>
      </w:pPr>
      <w:r>
        <w:t>The profile authors when the operational arrangement warrants those boundaries; CSAPI supplies the representation. Recovery of a local station can then affect its local employment without necessarily ending a larger campaign. The example contains campaign-01 and site-01 to show that relationship, not to prescribe that hierarchy for all families.</w:t>
      </w:r>
    </w:p>
    <w:p>
      <w:pPr>
        <w:pStyle w:val="BindingLocator"/>
        <w:widowControl/>
      </w:pPr>
      <w:r>
        <w:t>Binding locator: links[rel=ogc-rel:parentDeployment or subdeployments].  Example files: 07–08.</w:t>
      </w:r>
    </w:p>
    <w:p>
      <w:pPr>
        <w:pStyle w:val="Heading3"/>
        <w:keepNext/>
        <w:pageBreakBefore/>
        <w:widowControl/>
      </w:pPr>
      <w:r>
        <w:t>R07 — The Deployment supplies purpose, place and responsibility</w:t>
      </w:r>
    </w:p>
    <w:p>
      <w:pPr>
        <w:widowControl/>
      </w:pPr>
      <w:r>
        <w:t>The selected content answers why, where and under whose responsibility the equipment is employed. OGC’s Deployment model directly anticipates in-situ emplacement and mission examples, including deployment-specific information and contacts. A more detailed operational model remains eligible when its roles or activities are needed, but is not required merely to describe an emplacement (Open Geospatial Consortium 2025a, §11.1; 2025c, §§8.9.2–8.9.3).</w:t>
      </w:r>
    </w:p>
    <w:p>
      <w:pPr>
        <w:widowControl/>
      </w:pPr>
      <w:r>
        <w:t>Use label and description for the employment’s useful name and narrative, location for its geometry, validTime for the native temporal scope and classifiers[] for selected purpose terms. The draft purpose classifier has definition=P/term/deployment-purpose, a declared codeSpace and a value. Bind responsibility through contacts[] with role-qualified ResponsibleParty or the permitted ContactLink. Keep plans and supporting material in the native documents mechanism rather than adding an assumed mission object to every Deployment.</w:t>
      </w:r>
    </w:p>
    <w:p>
      <w:pPr>
        <w:widowControl/>
      </w:pPr>
      <w:r>
        <w:t>The purpose and actor-role vocabulary is authored or explicitly selected domain content; it does not redefine Deployment. This draft provides environmental-monitoring as an illustrative purpose, without closing the family vocabulary. Legacy emplacement records may be integrated into this representation even though their original software did not call them Deployments.</w:t>
      </w:r>
    </w:p>
    <w:p>
      <w:pPr>
        <w:pStyle w:val="BindingLocator"/>
        <w:widowControl/>
      </w:pPr>
      <w:r>
        <w:t>Binding locator: label; description; classifiers[]; location; validTime; contacts[].  Example files: 08.</w:t>
      </w:r>
    </w:p>
    <w:p>
      <w:pPr>
        <w:pStyle w:val="Heading3"/>
        <w:keepNext/>
        <w:widowControl/>
      </w:pPr>
      <w:r>
        <w:t>R08 — A deployment participation has its relevant configuration</w:t>
      </w:r>
    </w:p>
    <w:p>
      <w:pPr>
        <w:widowControl/>
      </w:pPr>
      <w:r>
        <w:t>The selected configuration concerns this System’s participation in this employment. SensorML already places Settings in DeployedSystem.configuration, so a separate generic Configuration resource is unnecessary for this binding. The settings must still refer to the appropriate configurable process and its constraints (Open Geospatial Consortium 2025c, §§8.8–8.9; n.d.-a, DeployedSystem.json and Settings.json).</w:t>
      </w:r>
    </w:p>
    <w:p>
      <w:pPr>
        <w:widowControl/>
      </w:pPr>
      <w:r>
        <w:t>Bind each setting through the appropriate native Settings member, such as configuration.setValues[{ref,value}]. The ref is a named SensorML PathRef resolved against the participating System’s applicable description; the example uses parameters/sampleInterval. The inspected setValues value accepts a number or string, while arrays, mode selections, status and constraints have their own members. Do not silently put arbitrary objects or JSON Boolean values into that scalar value slot.</w:t>
      </w:r>
    </w:p>
    <w:p>
      <w:pPr>
        <w:widowControl/>
      </w:pPr>
      <w:r>
        <w:t>This draft keeps deployment settings scoped to their participation and selected description revision. It does not declare that every current System setting is globally overridden by every deployment record. Useful current and historical presentation therefore requires the same equipment, deployment and time selection throughout the assembly.</w:t>
      </w:r>
    </w:p>
    <w:p>
      <w:pPr>
        <w:pStyle w:val="BindingLocator"/>
        <w:widowControl/>
      </w:pPr>
      <w:r>
        <w:t>Binding locator: deployedSystems[].configuration.  Example files: 08.</w:t>
      </w:r>
    </w:p>
    <w:p>
      <w:pPr>
        <w:pStyle w:val="Heading2"/>
        <w:keepNext/>
        <w:pageBreakBefore/>
        <w:widowControl/>
      </w:pPr>
      <w:r>
        <w:t>5.8 Products, setup and action bindings</w:t>
      </w:r>
    </w:p>
    <w:p>
      <w:pPr>
        <w:pStyle w:val="Heading3"/>
        <w:keepNext/>
        <w:widowControl/>
      </w:pPr>
      <w:r>
        <w:t>R09 — Function bindings identify the parameters that affect a function</w:t>
      </w:r>
    </w:p>
    <w:p>
      <w:pPr>
        <w:widowControl/>
      </w:pPr>
      <w:r>
        <w:t>Retain function-binding as a correspondence record rather than a second copy of parameters or outputs. Use the same P/group/function-binding CharacteristicList in process.characteristics[] for generally applicable associations, or in Mode.characteristics[] for mode-specific associations. Each supplied group retains one function-ref and at least one parameter-path or output-path, with the existing multiplicities unchanged. The Mode placement and traversal rules are MERLIN’s; SensorML supplies the carrier and configuration mechanisms (Open Geospatial Consortium 2025c, §§8.8–9.1; n.d.-a, Mode.json, DescribedObject.json and Settings.json).</w:t>
      </w:r>
    </w:p>
    <w:p>
      <w:pPr>
        <w:widowControl/>
      </w:pPr>
      <w:r>
        <w:t>Define shared parameters and outputs once on the containing process, or obtain them through its documented native inheritance; do not duplicate them as fictitious Mode inputs or outputs. A mode-scoped path resolves against that process, while the function-ref targets the intended group at its actual owner URL. Use Mode.configuration with native setValues, setConstraints and setStatus where the source supports preset values, narrower parameter limits or enabled/disabled inputs or outputs; units and basic types remain those of the referenced definitions. These are descriptive settings, not new physical-state observations or a replacement for R08/R12 command/configuration distinctions.</w:t>
      </w:r>
    </w:p>
    <w:p>
      <w:pPr>
        <w:widowControl/>
      </w:pPr>
      <w:r>
        <w:t>A client inspecting an individual mode must keep its capabilities, bindings and applicable Settings together, and must not treat the union of alternative modes as one executable configuration. Mode restrictions must respect the referenced parameter’s original bounds; conflicting or unavailable source information remains unresolved instead of being silently broadened or assigned a default. Mode selection continues to use the appropriate native setModes mechanism, while listed presets do not assert a current selection. Multiple paths identify associations only, not a new dependency engine, scheduler or algorithm for composing concurrent modes; the supplementary example deliberately leaves the active mode unreported.</w:t>
      </w:r>
    </w:p>
    <w:p>
      <w:pPr>
        <w:pStyle w:val="BindingLocator"/>
        <w:widowControl/>
      </w:pPr>
      <w:r>
        <w:t>Binding locator: process.parameters[] / outputs[]; process.modes[].characteristics[] and configuration; native Settings / PathRef. Example files: 01–02, 08; supplementary case 28.</w:t>
      </w:r>
    </w:p>
    <w:p>
      <w:pPr>
        <w:pStyle w:val="Heading3"/>
        <w:keepNext/>
        <w:pageBreakBefore/>
        <w:widowControl/>
      </w:pPr>
      <w:r>
        <w:t>R10 — Declared products remain distinct from available observation data</w:t>
      </w:r>
    </w:p>
    <w:p>
      <w:pPr>
        <w:widowControl/>
      </w:pPr>
      <w:r>
        <w:t>A function can declare a supported observation product before a corresponding DataStream is exposed or any observations have been recorded. Retain the function-binding output-path to the named SensorML output; when actual streams are present, match their outputName and producing System identity, not a title or capability label. Keep the output’s mode scope from R04/R09 rather than inferring simultaneous availability from the process-wide output inventory. This is a refinement of the existing correspondence, not a second stream class or an OMS capability endpoint (Open Geospatial Consortium 2025c, §§8.2.9, 8.8; 2025b, §§9.1–9.2, 16.1.3).</w:t>
      </w:r>
    </w:p>
    <w:p>
      <w:pPr>
        <w:widowControl/>
      </w:pPr>
      <w:r>
        <w:t>Follow the System’s advertised datastreams association and preserve the identities and schemas of actual matching resources; do not invent a DataStream or URL to complete a declared-output binding. No visible match means only that a stream has not been found in the applicable authorized response: incomplete paging, filtering or access limits cannot prove that a capability is absent. Where an exposed stream has no linked Observations, CSAPI §9.2.2 requires observedProperties, phenomenonTime, resultTime and resultType to be null; keep supported-product meaning in the process description rather than fabricating observation summaries. The observation-schema resource still describes resultSchema and any parametersSchema, while actual Observation values remain separate.</w:t>
      </w:r>
    </w:p>
    <w:p>
      <w:pPr>
        <w:widowControl/>
      </w:pPr>
      <w:r>
        <w:t>Keep declared support, visible stream exposure, evidence of recorded observations and the DataStream’s live value separate in the client’s interpretation. DataStream.live concerns live-data availability, not a general device-health or donor-ready flag; an empty query response alone also does not establish a stream with no observations under every time/filter context. A disabled output in one Mode does not erase its supported definition or historical observations, and a declared Mode does not prove present physical readiness. The supplementary case shows one empty stream and one unexposed declared output, while the unchanged original temperature stream retains its recorded value and live=false (Open Geospatial Consortium 2025b, §9.2.2; MERLIN OMS3 Research 2026, decision memo).</w:t>
      </w:r>
    </w:p>
    <w:p>
      <w:pPr>
        <w:pStyle w:val="BindingLocator"/>
        <w:widowControl/>
      </w:pPr>
      <w:r>
        <w:t>Binding locator: mode-scoped output-path → containing process.outputs[] → actual DataStream.system@link + outputName when exposed. Example files: 02, 10–12; supplementary case 28–30.</w:t>
      </w:r>
    </w:p>
    <w:p>
      <w:pPr>
        <w:pStyle w:val="Heading3"/>
        <w:keepNext/>
        <w:pageBreakBefore/>
        <w:widowControl/>
      </w:pPr>
      <w:r>
        <w:t>R11 — An observation retains its producer, subject and employment</w:t>
      </w:r>
    </w:p>
    <w:p>
      <w:pPr>
        <w:widowControl/>
      </w:pPr>
      <w:r>
        <w:t>Keep the producing System separate from the observed subject. In CSAPI, feature of interest means the ultimate subject; a SamplingFeature can describe the proximate sample, location or observed part and link it to the feature it samples. Prefer that native route when the source actually supports a sampling/part role and separately addressable subject access is useful. A complete System may itself be the ultimate feature of interest. Independent identity alone does not make every component a SamplingFeature, and no separate terminal resource is required (Open Geospatial Consortium 2025a, §§14.1–14.3, 19.1.8; 2025b, §9.7.2).</w:t>
      </w:r>
    </w:p>
    <w:p>
      <w:pPr>
        <w:widowControl/>
      </w:pPr>
      <w:r>
        <w:t>Where the implemented API exposes a SamplingFeature, retain its sampledFeature association and use the native sampling-feature association on the stream or observation as applicable. For a lightweight embedded subject without such a resource, retain the declared subjectRef Text field and owner#id convention in parametersSchema and Observation.parameters. This authored refinement must stay within the correctly identified subject and must not override a native sampled-feature relationship or redirect the result to unrelated equipment. Keep a per-observation deploymentRef only where needed and declared; do not add unsupported top-level members or fabricate sampling-resource URLs.</w:t>
      </w:r>
    </w:p>
    <w:p>
      <w:pPr>
        <w:widowControl/>
      </w:pPr>
      <w:r>
        <w:t>Preserve the subject and employment applicable when each observation was made. A stream-level featureOfInterest, samplingFeature or deployment link is a shared-context assertion, not a mutable label for whichever item is connected now. If a replacement changes that context, retain separate fixed-subject streams or use the supported per-observation sampling-feature association and its documented sampled-feature chain; do not retarget earlier observations. Continue to distinguish phenomenonTime, resultTime and deployment applicability. Files 16–18 remain a fixed power-b example with no invented pre-replacement readings (Open Geospatial Consortium 2025b, §§9.2, 9.7; published dataStream.json and observation.json).</w:t>
      </w:r>
    </w:p>
    <w:p>
      <w:pPr>
        <w:pStyle w:val="Heading4"/>
      </w:pPr>
      <w:r>
        <w:t>Donor lineage: preservation is not a universal relation model</w:t>
      </w:r>
    </w:p>
    <w:p>
      <w:pPr/>
      <w:r>
        <w:t>SAPIENT v2 distinguishes report identity, object identity, associated detections and derived fused detections; association is not always derivation, and successive track reports are not linked as fusion inputs merely because they concern the same object. ISA separately distinguishes correction, recall of erroneous information and resolution of an accurate event that no longer needs attention. Preserve these source meanings rather than replacing them with one generic related/derived relation or an equipment-service event (BSI 2024, §5.5, §6.4.2.1–2, §6.4.2.19; U.S. Army 2023, §§2.2–2.5).</w:t>
      </w:r>
    </w:p>
    <w:p>
      <w:pPr/>
      <w:r>
        <w:t>For U-INT-01 mappings, retain source-qualified report/object/task identifiers and supplied relation kind, direction, time and reference scope in a documented source-specific result or observation parameter where that carrier is semantically appropriate. Otherwise retain accessible native records through an applicable existing link/document/result mechanism and state the unmapped meaning. Do not infer shared physical identity, fusion membership or missing reciprocal links. R15 describes System-representation provenance, not observation derivation. This increment creates no common lineage fields, resolver or lossless-mapping claim; a common-client lineage convention remains a separate source-grounded decision.</w:t>
      </w:r>
    </w:p>
    <w:p>
      <w:pPr>
        <w:pStyle w:val="BindingLocator"/>
        <w:widowControl/>
      </w:pPr>
      <w:r>
        <w:t>Binding locator: native SamplingFeature/sampledFeature and stream/observation associations; declared parametersSchema and Observation.parameters. Existing example files 11–18 retained. R11_SUBJECT_AND_LINEAGE_GUIDANCE.md records the selection and preservation rules; no new fused native payload is supplied.</w:t>
      </w:r>
    </w:p>
    <w:p>
      <w:pPr>
        <w:pStyle w:val="Heading3"/>
        <w:keepNext/>
        <w:pageBreakBefore/>
        <w:widowControl/>
      </w:pPr>
      <w:r>
        <w:t>R12 — A supported action maps to a control input and its result</w:t>
      </w:r>
    </w:p>
    <w:p>
      <w:pPr>
        <w:widowControl/>
      </w:pPr>
      <w:r>
        <w:t>ControlStream, Command, CommandStatus and CommandResult remain distinct native resources. The useful domain action identifies the function and settings affected by the control input, with OSUS providing a command-description precedent. The integration still owns the supplier interaction and permissions; the profile does not execute an action by changing a description (Open Geospatial Consortium 2025b, §§10, 16.1.6–16.1.10; OSUS-R Contributors n.d.).</w:t>
      </w:r>
    </w:p>
    <w:p>
      <w:pPr>
        <w:widowControl/>
      </w:pPr>
      <w:r>
        <w:t>Use P/group/action-binding with one input-path, one or more function-ref values, and the relevant parameter-path references. Match inputs/&lt;name&gt; to ControlStream.inputName for the same system@link, and encode parameters against its parametersSchema. Command keeps its native sender, issue/execution information and currentStatus; status reports use statusCode and result items use data or the supported result links. The input definition can identify a locally authored action such as P/action/set-sample-interval, whose documented effect is to set the named interval in seconds.</w:t>
      </w:r>
    </w:p>
    <w:p>
      <w:pPr>
        <w:widowControl/>
      </w:pPr>
      <w:r>
        <w:t>Follow the server’s advertised command, status and result links; the profile does not repair or standardize endpoint spelling by assumption. The package marks status/result files as selected collection members, not invented canonical item URLs. A result schema stating the applied value lets the client relate the action to the operating description, while richer action semantics remain family-specific. A CommandStatus or CommandResult reports the command-service or supplier-declared outcome and return information. A COMPLETED status or returned setting does not independently verify that the physical system reached the requested state. When operational verification matters, correlate suitable subsequent state evidence or an Observation with the relevant system, time and source. No additional command resource, lifecycle state or mandatory verification stream is introduced by this clarification.</w:t>
      </w:r>
    </w:p>
    <w:p>
      <w:pPr>
        <w:pStyle w:val="BindingLocator"/>
        <w:widowControl/>
      </w:pPr>
      <w:r>
        <w:t>Binding locator: inputs[]; action-binding; ControlStream.inputName; Command family.  Example files: 02, 19–23.</w:t>
      </w:r>
    </w:p>
    <w:p>
      <w:pPr>
        <w:pStyle w:val="Heading2"/>
        <w:keepNext/>
        <w:pageBreakBefore/>
        <w:widowControl/>
      </w:pPr>
      <w:r>
        <w:t>5.9 Communications bindings</w:t>
      </w:r>
    </w:p>
    <w:p>
      <w:pPr>
        <w:pStyle w:val="Heading3"/>
        <w:keepNext/>
        <w:widowControl/>
      </w:pPr>
      <w:r>
        <w:t>R13 — Equipment owns communications interfaces</w:t>
      </w:r>
    </w:p>
    <w:p>
      <w:pPr>
        <w:widowControl/>
      </w:pPr>
      <w:r>
        <w:t>The selected interface content is a translation of common interface semantics, principally RFC 8343 and its documented relation to RFC 2863. Those works supply interface naming, type, administrative enablement, operational state and layering, rather than the detailed radio vocabulary of every UGS family. The proposed OGC representation does not claim to implement an SNMP agent or the ietf-interfaces module (Bjorklund 2018, §§3–5; McCloghrie and Kastenholz 2000, §§3, 6).</w:t>
      </w:r>
    </w:p>
    <w:p>
      <w:pPr>
        <w:widowControl/>
      </w:pPr>
      <w:r>
        <w:t>Create a P/group/communications-interface CharacteristicList on the owning equipment with id, interface-name and interface-type. Additional selected properties include Boolean interface-enabled and repeated lower-layer-interface-ref references; their presence depends on supported content. Bind operational state to a typed observation about that interface using R11, rather than forcing all changing state into static metadata. The draft code space preserves the RFC 8343 oper-status tokens; the two illustrative interface-type tokens are explicitly mapped in the catalogue, not presented as a complete IANA interface-type registry.</w:t>
      </w:r>
    </w:p>
    <w:p>
      <w:pPr>
        <w:widowControl/>
      </w:pPr>
      <w:r>
        <w:t>The common structure makes the communication interface a reusable subject across equipment families. Radio channel, band, waveform and shared-medium detail remain admissible family-specific content with explicit definitions. The endpoint or service URL used to read CSAPI is not substituted for the sensor’s physical or logical communication interface.</w:t>
      </w:r>
    </w:p>
    <w:p>
      <w:pPr>
        <w:pStyle w:val="BindingLocator"/>
        <w:widowControl/>
      </w:pPr>
      <w:r>
        <w:t>Binding locator: characteristics[] / communications-interface; typed status result.  Example files: 02–03, 13–15.</w:t>
      </w:r>
    </w:p>
    <w:p>
      <w:pPr>
        <w:pStyle w:val="Heading3"/>
        <w:keepNext/>
        <w:widowControl/>
      </w:pPr>
      <w:r>
        <w:t>R14 — A directed communication link connects endpoints</w:t>
      </w:r>
    </w:p>
    <w:p>
      <w:pPr>
        <w:widowControl/>
      </w:pPr>
      <w:r>
        <w:t>RFC 8345 supplies nodes, termination points and point-to-point directed links for explicit network topology. Its association between topology entities and managed equipment interfaces is intentionally a specialization concern. This draft selects a compact equipment-interface projection of that relationship, not a native YANG topology document (Clemm et al. 2018, §§4.2–4.4.2).</w:t>
      </w:r>
    </w:p>
    <w:p>
      <w:pPr>
        <w:widowControl/>
      </w:pPr>
      <w:r>
        <w:t>Use a P/group/communication-link group on the relevant arrangement owner, normally the Deployment for an employment-specific topology. Require an id and exactly one source-interface-ref and destination-interface-ref, both resolving to R13 interfaces; optional effective-from/effective-until conditions qualify the link assertion. The owning equipment of each interface supplies the node association in this projection. Represent two directions by two link descriptions when both are actually described, rather than assigning bidirectionality to one unidirectional source concept.</w:t>
      </w:r>
    </w:p>
    <w:p>
      <w:pPr>
        <w:widowControl/>
      </w:pPr>
      <w:r>
        <w:t>This binding does not flatten a shared radio medium, route or reachability claim into a base directed link. A family can supply an explicit specialization or retain a linked native topology artifact where that is the useful exchange object. Those cases remain inside communications coverage; the present record is the first selected point-to-point form, not the definition of all possible connectivity.</w:t>
      </w:r>
    </w:p>
    <w:p>
      <w:pPr>
        <w:pStyle w:val="BindingLocator"/>
        <w:widowControl/>
      </w:pPr>
      <w:r>
        <w:t>Binding locator: characteristics[] / communication-link, with conditions.  Example files: 08.</w:t>
      </w:r>
    </w:p>
    <w:p>
      <w:pPr>
        <w:pStyle w:val="Heading3"/>
        <w:keepNext/>
        <w:pageBreakBefore/>
        <w:widowControl/>
      </w:pPr>
      <w:r>
        <w:t>R15 — Gateway access and source representation are distinct</w:t>
      </w:r>
    </w:p>
    <w:p>
      <w:pPr>
        <w:widowControl/>
      </w:pPr>
      <w:r>
        <w:t>The sensor-node/gateway distinction is supported by SNRA and the OSUS physical-asset abstraction. Neither source supplies the finished CSAPI association below, so its predicate and reference structure are explicitly authored here. The gateway remains equipment in the same operating picture, not a replacement identity for the sensor (ISO/IEC 2013, inspected §5; OSUS-R Contributors n.d., Asset.java).</w:t>
      </w:r>
    </w:p>
    <w:p>
      <w:pPr>
        <w:widowControl/>
      </w:pPr>
      <w:r>
        <w:t>Use P/group/gateway-access with exactly one served-system-ref and one via-system-ref, and zero or more link-ref values pointing to R14 connections. Place the group on the Deployment when the mediation is employment-specific, or on the System when it is part of the applicable enduring description. Use the same optional relationship time conditions as R14. Do not require a radio, direct IP address or separately exposed network for every sensor to use this model.</w:t>
      </w:r>
    </w:p>
    <w:p>
      <w:pPr>
        <w:widowControl/>
      </w:pPr>
      <w:r>
        <w:t>The consumer can traverse from the selected station to its gateway and supporting connection descriptions. The sensor keeps its own functions and deployment associations even when data arrives through another component. Multiple gateway-access groups permit multiple documented paths without requiring a universal network-control service.</w:t>
      </w:r>
    </w:p>
    <w:p>
      <w:pPr/>
      <w:r>
        <w:t>Separately, when a physical System description is authored from a native message sender or represented through software mediation, an optional P/group/representation-source CharacteristicList may identify that source without changing System identity or the R15 gateway path. On the represented System require one native-source-id, one native-entity-role in the declared role code space, one source-specification that pins the applicable native model/edition, and one representing-adapter-ref URI identifying the software adapter; the adapter need not be another CSAPI System or an HTTP endpoint. These four profile-authored fields describe *where the representation came from*, not who physically contains the sensor or where electricity or network packets flow. Missing or uncertain native subject correspondence must remain explicit; the group does not prove source-conformance, value fidelity, or physical co-reference.</w:t>
      </w:r>
    </w:p>
    <w:p>
      <w:pPr/>
      <w:r>
        <w:t>When source-specific records, documentation or a verifiable native feed are available, preserve their native links through appropriate standard documentation/link mechanisms rather than inventing universal profile fields for every provenance detail. Do not place a SAPIENT node_id in SensorML identifiers[] as a physical-equipment identifier without evidence that the native sender and equipment are the same subject. In the connected example, a fictional SAPIENT v2 sender and synthetic adapter demonstrate the distinction; neither asserts an implemented SAPIENT receiver or original manufacturer data.</w:t>
      </w:r>
    </w:p>
    <w:p>
      <w:pPr>
        <w:pStyle w:val="BindingLocator"/>
        <w:widowControl/>
      </w:pPr>
      <w:r>
        <w:t>Binding locator: characteristics[] / gateway-access, with conditions; separately characteristics[] / representation-source on represented System when mediated.  Example files: 02, 08.</w:t>
      </w:r>
    </w:p>
    <w:p>
      <w:pPr>
        <w:pStyle w:val="Heading2"/>
        <w:keepNext/>
        <w:pageBreakBefore/>
        <w:widowControl/>
      </w:pPr>
      <w:r>
        <w:t>5.10 Power Source integration boundary</w:t>
      </w:r>
    </w:p>
    <w:p>
      <w:pPr>
        <w:pStyle w:val="Heading3"/>
        <w:keepNext/>
        <w:widowControl/>
      </w:pPr>
      <w:r>
        <w:t>R16 — Typed energy relationships connect the operating arrangement</w:t>
      </w:r>
    </w:p>
    <w:p>
      <w:pPr>
        <w:widowControl/>
      </w:pPr>
      <w:r>
        <w:t>RFC 7326 is the chosen organizing information model for the relationship semantics of the operating power arrangement. It distinguishes electrical supply, metering and aggregation relationships among Energy Objects, devices, components and Power Interfaces. MERLIN reuses those domain meanings within existing SensorML representations, but the selected OGC binding is authored here; it is not the native RFC 7461 MIB or a new CSAPI resource. A metering link is not proof of electrical supply, and aggregation is not a guarantee of additive numerical output (Parello et al. 2014, RFC 7326, §§6.2, 6.6–7; MERLIN Power Source recommendation 2026, §§6, 8).</w:t>
      </w:r>
    </w:p>
    <w:p>
      <w:pPr>
        <w:widowControl/>
      </w:pPr>
      <w:r>
        <w:t>Use one id-bearing CharacteristicList defined as P/group/energy-relationship containing one relationship-subject-ref, one energy-relationship-kind and one relationship-object-ref. The directed kind code space selects powers, meters or aggregates, with each code’s source-to-target interpretation explicitly specified in the MERLIN catalogue. A subject or object may reference a separately identified System or resolvable owner#id component/interface. Prefer Power Interface-level specificity where actually known; an equipment-level connection remains valid when source data only supports that granularity. These relationships alone do not infer connector detail, current flow, metering boundaries or computed totals.</w:t>
      </w:r>
    </w:p>
    <w:p>
      <w:pPr>
        <w:widowControl/>
      </w:pPr>
      <w:r>
        <w:t>Place deployment-specific relationships on the relevant Deployment with applicable effective-from/effective-until conditions using start-inclusive/end-exclusive interpretation. A durable or shared relationship may instead belong with an enduring System or component, with an explicit deployment reference when needed to disambiguate scope. Power-source replacement leaves the sensing System and Deployment identities stable while the applicable powers relationship changes through time. Battery specialization, internal power paths, interface ratings, measurements and estimates remain separately sourced model content, not universal R16 mandatory detail.</w:t>
      </w:r>
    </w:p>
    <w:p>
      <w:pPr>
        <w:pStyle w:val="BindingLocator"/>
        <w:widowControl/>
      </w:pPr>
      <w:r>
        <w:t>Binding locator: characteristics[] / energy-relationship with subject, directed kind, object and optional deployment/time scope. Example file: 08.</w:t>
      </w:r>
    </w:p>
    <w:p>
      <w:pPr>
        <w:pStyle w:val="Heading3"/>
        <w:keepNext/>
        <w:pageBreakBefore/>
        <w:widowControl/>
      </w:pPr>
      <w:r>
        <w:t>R17 — Power information observes the appropriate subject</w:t>
      </w:r>
    </w:p>
    <w:p>
      <w:pPr>
        <w:widowControl/>
      </w:pPr>
      <w:r>
        <w:t>Retain native producer/subject roles, R16 energy relationships and R18–R19 service links. Keep ratings in the applicable description and operating readings or method-derived estimates in the appropriate dynamic representation. A quantity mapping must preserve the identified subject, source-supported measurement point or reference, property meaning, unit and temporal scope; it must not infer polarity, AC/DC characteristics, a battery identity or an estimation method that the source does not establish. Use R11 native sampling or embedded-subject rules where finer observation context is needed (Open Geospatial Consortium 2025a, §§14–15; 2025b, §9; Power Source Recommendation 2026, §§9.1–9.5).</w:t>
      </w:r>
    </w:p>
    <w:p>
      <w:pPr>
        <w:widowControl/>
      </w:pPr>
      <w:r>
        <w:t>Reuse an exact applicable property definition when available. If a qualified definition is needed, use the existing CSAPI Property/SensorML DerivedProperty mechanism rather than a parallel description structure, and identify the MERLIN-authored meaning separately from its base quantity kind. Match the selected definition and unit across the process output, applicable DataStream observedProperties and resultSchema; the numerical result does not supply its own meaning. This rule does not mandate a new property endpoint or a complete I-ADOPT/QUDT runtime. It preserves the existing generic supply-terminal-voltage definition and does not specialize every external source as a battery (Open Geospatial Consortium 2025a, §§15.2, 19.2.8; 2025d, §9.1).</w:t>
      </w:r>
    </w:p>
    <w:p>
      <w:pPr>
        <w:widowControl/>
      </w:pPr>
      <w:r>
        <w:t>Apply documented unit conversion only after decoding the source datatype and checking its reserved or unavailable-value codes. RFC 7577 batteryActualVoltage reports actual battery voltage in millivolts and uses 0xFFFFFFFF for an undetermined value. The separate §6.10 mapping illustrates 12,600 mV to 12.6 V and retains zero as zero; the reserved value is represented by a declared SWE nil value, never scaled into a voltage. The nil token chosen in that example is local to its schema, not a universal MPSS requirement. Files 16–18 and their original synthetic source-terminal reading remain unchanged (Quittek, Winter, and Dietz 2015, §5, batteryActualVoltage; Open Geospatial Consortium 2025d, §§8.2.16, 9.1.15).</w:t>
      </w:r>
    </w:p>
    <w:p>
      <w:pPr>
        <w:pStyle w:val="BindingLocator"/>
        <w:widowControl/>
      </w:pPr>
      <w:r>
        <w:t>Binding locator: native producer/subject associations; existing property definition and SWE Quantity/uom/nilValues. Existing files 16–18 unchanged; supplementary mapping files 31–33 and R17_BATTERY_VOLTAGE_MAPPING_CASE.md. No physical battery or native SNMP agent is created by this example.</w:t>
      </w:r>
    </w:p>
    <w:p>
      <w:pPr>
        <w:pStyle w:val="Heading2"/>
        <w:keepNext/>
        <w:pageBreakBefore/>
        <w:widowControl/>
      </w:pPr>
      <w:r>
        <w:t>5.11 Condition, service and lifecycle bindings</w:t>
      </w:r>
    </w:p>
    <w:p>
      <w:pPr>
        <w:pStyle w:val="Heading3"/>
        <w:keepNext/>
        <w:widowControl/>
      </w:pPr>
      <w:r>
        <w:t>R18 — A lifecycle Event affects equipment and an employment</w:t>
      </w:r>
    </w:p>
    <w:p>
      <w:pPr>
        <w:widowControl/>
      </w:pPr>
      <w:r>
        <w:t>SensorML history Event supplies time, a label, typed properties, contacts, documentation and optional configuration. MIMOSA’s asset and installation/removal patterns inform the identity of affected equipment through change, but the present binding is newly authored and does not implement CCOM or OIIE’s native messages. The inspected detailed CCOM source remains 4.1.0-RC1 rather than the independently DISR-listed OSA-EAI edition (Open Geospatial Consortium n.d.-a, Event.json; MIMOSA 2018, pp. 7–8; MIMOSA n.d.-e).</w:t>
      </w:r>
    </w:p>
    <w:p>
      <w:pPr>
        <w:widowControl/>
      </w:pPr>
      <w:r>
        <w:t>Place the event in history[] of the relevant System or Deployment and require a native id when other records must cite it. Give it a selected event definition, label and time, with one or more affected-subject-ref properties and the applicable deployment-ref. Replacement additionally uses replaced-subject-ref and replacement-subject-ref, identifying the items rather than changing the sensor’s identity. Event properties are allowed typed values; references to those events resolve as owner#event-id, and documentation uses the native Document structure.</w:t>
      </w:r>
    </w:p>
    <w:p>
      <w:pPr>
        <w:widowControl/>
      </w:pPr>
      <w:r>
        <w:t>P/event/emplacement, service, power-source-replacement, recovery and reconfiguration are explicitly authored event definitions in this first draft. They are not renamed CCOM classes with a claim of equivalence. The client can assemble useful service history and recovery against the same equipment, with event time and the continuing arrangement represented separately.</w:t>
      </w:r>
    </w:p>
    <w:p>
      <w:pPr>
        <w:pStyle w:val="BindingLocator"/>
        <w:widowControl/>
      </w:pPr>
      <w:r>
        <w:t>Binding locator: history[].definition, time, properties, documentation, configuration.  Example files: 02, 08.</w:t>
      </w:r>
    </w:p>
    <w:p>
      <w:pPr>
        <w:pStyle w:val="Heading3"/>
        <w:keepNext/>
        <w:widowControl/>
      </w:pPr>
      <w:r>
        <w:t>R19 — A party has a scoped responsibility</w:t>
      </w:r>
    </w:p>
    <w:p>
      <w:pPr>
        <w:widowControl/>
      </w:pPr>
      <w:r>
        <w:t>The selected relationship describes an actor’s role in a deployment or event, rather than a single global owner of everything. SensorML’s role-qualified contacts are the representation foundation, while MIMOSA’s performing-agent scenario is an informative lifecycle comparison. Detailed organization or military-role models can extend the content when justified (Open Geospatial Consortium n.d.-a, ResponsibleParty.json and Event.json; MIMOSA n.d.-e).</w:t>
      </w:r>
    </w:p>
    <w:p>
      <w:pPr>
        <w:widowControl/>
      </w:pPr>
      <w:r>
        <w:t>Use contacts[] at the relevant scope, with role set to the selected role URI. Operator and maintainer are example employment roles, while emplacer, recoverer and assessor may apply to actual events or qualifying condition assessment provenance. An Event’s inspected schema takes ResponsibleParty entries; do not silently assume it accepts every alternative contact-link form allowed elsewhere. An administrative service review can legitimately have an assessor without becoming a CSAPI Observation.</w:t>
      </w:r>
    </w:p>
    <w:p>
      <w:pPr>
        <w:widowControl/>
      </w:pPr>
      <w:r>
        <w:t>The five P/role definitions are locally authored and recorded in the catalogue. They support intelligible responsibility without imposing a new organization resource or a single-party restriction. Authorization to issue a command is a separate implementation requirement, not inferred merely from a visible contact role.</w:t>
      </w:r>
    </w:p>
    <w:p>
      <w:pPr>
        <w:pStyle w:val="BindingLocator"/>
        <w:widowControl/>
      </w:pPr>
      <w:r>
        <w:t>Binding locator: contacts[].role on employment and service Event, and on qualifying condition finding provenance if actually represented. Example files: 02, 08.</w:t>
      </w:r>
    </w:p>
    <w:p>
      <w:pPr>
        <w:pStyle w:val="Heading3"/>
        <w:keepNext/>
        <w:pageBreakBefore/>
        <w:widowControl/>
      </w:pPr>
      <w:r>
        <w:t>R20 — Condition findings retain their observed subject, method and evidence</w:t>
      </w:r>
    </w:p>
    <w:p>
      <w:pPr>
        <w:widowControl/>
      </w:pPr>
      <w:r>
        <w:t>A condition finding may be represented as an OGC Observation when it expresses a measured or method-derived property of an identified feature, with an appropriate observing procedure, time and result. CCOM provides an informative equipment/evidence assessment pattern, while approved OMS 3.0 supports the distinction between observational results and administrative decisions. Inspection sign-off, maintenance approval, a work order or a statement that evidence was reviewed is not an Observation by its name alone. The resulting R20 binding remains MERLIN-authored, not native CCOM, OSA-CBM or OMS conceptual-model conformance (MIMOSA 2018, p. 27; Open Geospatial Consortium 2023, OMS 3.0 §§8–9).</w:t>
      </w:r>
    </w:p>
    <w:p>
      <w:pPr>
        <w:widowControl/>
      </w:pPr>
      <w:r>
        <w:t>For a qualifying Observation-based finding, preserve the DataStream/Observation carrier and declare an appropriate SWE DataRecord resultSchema, such as P/group/assessment-result, with a meaningful finding and supported evidence references. Identify the true producing process, observed subject, procedure and temporal context, with R11’s embedded-subject refinement only when necessary and declared in the schema. The finding must come from source evidence, not a profile-generated diagnosis, threshold or readiness score. The earlier example files 24–27 were withdrawn because they represented an administrative review as an assessment Observation.</w:t>
      </w:r>
    </w:p>
    <w:p>
      <w:pPr>
        <w:widowControl/>
      </w:pPr>
      <w:r>
        <w:t>Represent a non-observational service review or administrative decision through an applicable linked document or existing SensorML history Event / CSAPI SystemEvent, preserving the equipment affected, responsible party, employment, time and supporting evidence. Do not invent a new Assessment API resource just for administrative records. The fictional example now records the post-service review as Event event-service-review in 08_site_deployment.sml.json linked to the existing power-01 Observation. It makes no invented health or mission-readiness determination.</w:t>
      </w:r>
    </w:p>
    <w:p>
      <w:pPr>
        <w:pStyle w:val="BindingLocator"/>
        <w:widowControl/>
      </w:pPr>
      <w:r>
        <w:t>Binding locator: qualifying condition Observation via DataStream/Observation.resultSchema and evidence; otherwise existing Event/Document carrier. Example files: 08 (administrative review), 16–18 (measured power evidence); no condition-assessment Observation is fabricated.</w:t>
      </w:r>
    </w:p>
    <w:p>
      <w:pPr>
        <w:pStyle w:val="Heading2"/>
        <w:keepNext/>
        <w:pageBreakBefore/>
        <w:widowControl/>
      </w:pPr>
      <w:r>
        <w:t>5.12 Draft definition catalogue</w:t>
      </w:r>
    </w:p>
    <w:p>
      <w:pPr>
        <w:widowControl/>
      </w:pPr>
      <w:r>
        <w:t>The draft catalogue makes local identifiers explicit instead of hiding new terminology behind a standards citation. A “translated” entry means the definition is based on the named source element, but the P identifier and OGC placement are authored here. “Authored” entries connect the selected concepts or define profile-specific behavior, and illustrative terms exist to make the example concrete rather than settle a production dictionary. Power-boundary entries remain provisional; §5.14 explains these labels, their origin and the recommended justification review.</w:t>
      </w:r>
    </w:p>
    <w:p>
      <w:pPr>
        <w:pStyle w:val="Heading3"/>
        <w:keepNext/>
        <w:widowControl/>
      </w:pPr>
      <w:r>
        <w:t>Technical description and function association</w:t>
      </w:r>
    </w:p>
    <w:tbl>
      <w:tblPr>
        <w:tblW w:type="auto" w:w="0"/>
        <w:jc w:val="center"/>
        <w:tblLayout w:type="fixed"/>
        <w:tblLook w:firstColumn="1" w:firstRow="1" w:lastColumn="0" w:lastRow="0" w:noHBand="0" w:noVBand="1" w:val="04A0"/>
      </w:tblPr>
      <w:tblGrid>
        <w:gridCol w:w="2088"/>
        <w:gridCol w:w="4464"/>
        <w:gridCol w:w="3370"/>
      </w:tblGrid>
      <w:tr>
        <w:trPr>
          <w:cantSplit/>
          <w:tblHeader/>
        </w:trPr>
        <w:tc>
          <w:tcPr>
            <w:tcW w:type="dxa" w:w="2088"/>
            <w:vAlign w:val="center"/>
            <w:shd w:fill="E7EEF2"/>
            <w:tcMar>
              <w:top w:w="70" w:type="dxa"/>
              <w:bottom w:w="70" w:type="dxa"/>
              <w:left w:w="70" w:type="dxa"/>
              <w:right w:w="70" w:type="dxa"/>
            </w:tcMar>
          </w:tcPr>
          <w:p>
            <w:pPr>
              <w:spacing w:after="60" w:before="40" w:line="245" w:lineRule="auto"/>
            </w:pPr>
            <w:r>
              <w:rPr>
                <w:b/>
                <w:sz w:val="17"/>
              </w:rPr>
              <w:t>Token under P/term/ and kind</w:t>
            </w:r>
          </w:p>
        </w:tc>
        <w:tc>
          <w:tcPr>
            <w:tcW w:type="dxa" w:w="4464"/>
            <w:vAlign w:val="center"/>
            <w:shd w:fill="E7EEF2"/>
            <w:tcMar>
              <w:top w:w="70" w:type="dxa"/>
              <w:bottom w:w="70" w:type="dxa"/>
              <w:left w:w="70" w:type="dxa"/>
              <w:right w:w="70" w:type="dxa"/>
            </w:tcMar>
          </w:tcPr>
          <w:p>
            <w:pPr>
              <w:spacing w:after="60" w:before="40" w:line="245" w:lineRule="auto"/>
            </w:pPr>
            <w:r>
              <w:rPr>
                <w:b/>
                <w:sz w:val="17"/>
              </w:rPr>
              <w:t>Meaning used by this draft</w:t>
            </w:r>
          </w:p>
        </w:tc>
        <w:tc>
          <w:tcPr>
            <w:tcW w:type="dxa" w:w="3370"/>
            <w:vAlign w:val="center"/>
            <w:shd w:fill="E7EEF2"/>
            <w:tcMar>
              <w:top w:w="70" w:type="dxa"/>
              <w:bottom w:w="70" w:type="dxa"/>
              <w:left w:w="70" w:type="dxa"/>
              <w:right w:w="70" w:type="dxa"/>
            </w:tcMar>
          </w:tcPr>
          <w:p>
            <w:pPr>
              <w:spacing w:after="60" w:before="40" w:line="245" w:lineRule="auto"/>
            </w:pPr>
            <w:r>
              <w:rPr>
                <w:b/>
                <w:sz w:val="17"/>
              </w:rPr>
              <w:t>Source / authored responsibility</w:t>
            </w:r>
          </w:p>
        </w:tc>
      </w:tr>
      <w:tr>
        <w:trPr>
          <w:cantSplit/>
        </w:trPr>
        <w:tc>
          <w:tcPr>
            <w:tcW w:type="dxa" w:w="2088"/>
            <w:vAlign w:val="center"/>
            <w:shd w:fill="FFFFFF"/>
            <w:tcMar>
              <w:top w:w="70" w:type="dxa"/>
              <w:bottom w:w="70" w:type="dxa"/>
              <w:left w:w="70" w:type="dxa"/>
              <w:right w:w="70" w:type="dxa"/>
            </w:tcMar>
          </w:tcPr>
          <w:p>
            <w:pPr>
              <w:spacing w:after="60" w:before="40" w:line="245" w:lineRule="auto"/>
            </w:pPr>
            <w:r>
              <w:rPr>
                <w:b w:val="0"/>
                <w:sz w:val="17"/>
              </w:rPr>
              <w:t>manufacturer</w:t>
              <w:br/>
              <w:t>Text</w:t>
            </w:r>
          </w:p>
        </w:tc>
        <w:tc>
          <w:tcPr>
            <w:tcW w:type="dxa" w:w="4464"/>
            <w:vAlign w:val="center"/>
            <w:shd w:fill="FFFFFF"/>
            <w:tcMar>
              <w:top w:w="70" w:type="dxa"/>
              <w:bottom w:w="70" w:type="dxa"/>
              <w:left w:w="70" w:type="dxa"/>
              <w:right w:w="70" w:type="dxa"/>
            </w:tcMar>
          </w:tcPr>
          <w:p>
            <w:pPr>
              <w:spacing w:after="60" w:before="40" w:line="245" w:lineRule="auto"/>
            </w:pPr>
            <w:r>
              <w:rPr>
                <w:b w:val="0"/>
                <w:sz w:val="17"/>
              </w:rPr>
              <w:t>Organization responsible for manufacturing the equipment or product model.</w:t>
            </w:r>
          </w:p>
        </w:tc>
        <w:tc>
          <w:tcPr>
            <w:tcW w:type="dxa" w:w="3370"/>
            <w:vAlign w:val="center"/>
            <w:shd w:fill="FFFFFF"/>
            <w:tcMar>
              <w:top w:w="70" w:type="dxa"/>
              <w:bottom w:w="70" w:type="dxa"/>
              <w:left w:w="70" w:type="dxa"/>
              <w:right w:w="70" w:type="dxa"/>
            </w:tcMar>
          </w:tcPr>
          <w:p>
            <w:pPr>
              <w:spacing w:after="60" w:before="40" w:line="245" w:lineRule="auto"/>
            </w:pPr>
            <w:r>
              <w:rPr>
                <w:b w:val="0"/>
                <w:sz w:val="17"/>
              </w:rPr>
              <w:t>translated — RFC 8348 §7.1: mfg-name</w:t>
            </w:r>
          </w:p>
        </w:tc>
      </w:tr>
      <w:tr>
        <w:trPr>
          <w:cantSplit/>
        </w:trPr>
        <w:tc>
          <w:tcPr>
            <w:tcW w:type="dxa" w:w="2088"/>
            <w:vAlign w:val="center"/>
            <w:shd w:fill="F6F8FA"/>
            <w:tcMar>
              <w:top w:w="70" w:type="dxa"/>
              <w:bottom w:w="70" w:type="dxa"/>
              <w:left w:w="70" w:type="dxa"/>
              <w:right w:w="70" w:type="dxa"/>
            </w:tcMar>
          </w:tcPr>
          <w:p>
            <w:pPr>
              <w:spacing w:after="60" w:before="40" w:line="245" w:lineRule="auto"/>
            </w:pPr>
            <w:r>
              <w:rPr>
                <w:b w:val="0"/>
                <w:sz w:val="17"/>
              </w:rPr>
              <w:t>model-designation</w:t>
              <w:br/>
              <w:t>Text</w:t>
            </w:r>
          </w:p>
        </w:tc>
        <w:tc>
          <w:tcPr>
            <w:tcW w:type="dxa" w:w="4464"/>
            <w:vAlign w:val="center"/>
            <w:shd w:fill="F6F8FA"/>
            <w:tcMar>
              <w:top w:w="70" w:type="dxa"/>
              <w:bottom w:w="70" w:type="dxa"/>
              <w:left w:w="70" w:type="dxa"/>
              <w:right w:w="70" w:type="dxa"/>
            </w:tcMar>
          </w:tcPr>
          <w:p>
            <w:pPr>
              <w:spacing w:after="60" w:before="40" w:line="245" w:lineRule="auto"/>
            </w:pPr>
            <w:r>
              <w:rPr>
                <w:b w:val="0"/>
                <w:sz w:val="17"/>
              </w:rPr>
              <w:t>Manufacturer or provider designation of the product model.</w:t>
            </w:r>
          </w:p>
        </w:tc>
        <w:tc>
          <w:tcPr>
            <w:tcW w:type="dxa" w:w="3370"/>
            <w:vAlign w:val="center"/>
            <w:shd w:fill="F6F8FA"/>
            <w:tcMar>
              <w:top w:w="70" w:type="dxa"/>
              <w:bottom w:w="70" w:type="dxa"/>
              <w:left w:w="70" w:type="dxa"/>
              <w:right w:w="70" w:type="dxa"/>
            </w:tcMar>
          </w:tcPr>
          <w:p>
            <w:pPr>
              <w:spacing w:after="60" w:before="40" w:line="245" w:lineRule="auto"/>
            </w:pPr>
            <w:r>
              <w:rPr>
                <w:b w:val="0"/>
                <w:sz w:val="17"/>
              </w:rPr>
              <w:t>translated — RFC 8348 §7.1: model-name; CCOM Model</w:t>
            </w:r>
          </w:p>
        </w:tc>
      </w:tr>
      <w:tr>
        <w:trPr>
          <w:cantSplit/>
        </w:trPr>
        <w:tc>
          <w:tcPr>
            <w:tcW w:type="dxa" w:w="2088"/>
            <w:vAlign w:val="center"/>
            <w:shd w:fill="FFFFFF"/>
            <w:tcMar>
              <w:top w:w="70" w:type="dxa"/>
              <w:bottom w:w="70" w:type="dxa"/>
              <w:left w:w="70" w:type="dxa"/>
              <w:right w:w="70" w:type="dxa"/>
            </w:tcMar>
          </w:tcPr>
          <w:p>
            <w:pPr>
              <w:spacing w:after="60" w:before="40" w:line="245" w:lineRule="auto"/>
            </w:pPr>
            <w:r>
              <w:rPr>
                <w:b w:val="0"/>
                <w:sz w:val="17"/>
              </w:rPr>
              <w:t>hardware-revision</w:t>
              <w:br/>
              <w:t>Text</w:t>
            </w:r>
          </w:p>
        </w:tc>
        <w:tc>
          <w:tcPr>
            <w:tcW w:type="dxa" w:w="4464"/>
            <w:vAlign w:val="center"/>
            <w:shd w:fill="FFFFFF"/>
            <w:tcMar>
              <w:top w:w="70" w:type="dxa"/>
              <w:bottom w:w="70" w:type="dxa"/>
              <w:left w:w="70" w:type="dxa"/>
              <w:right w:w="70" w:type="dxa"/>
            </w:tcMar>
          </w:tcPr>
          <w:p>
            <w:pPr>
              <w:spacing w:after="60" w:before="40" w:line="245" w:lineRule="auto"/>
            </w:pPr>
            <w:r>
              <w:rPr>
                <w:b w:val="0"/>
                <w:sz w:val="17"/>
              </w:rPr>
              <w:t>Hardware revision identifier for the described equipment.</w:t>
            </w:r>
          </w:p>
        </w:tc>
        <w:tc>
          <w:tcPr>
            <w:tcW w:type="dxa" w:w="3370"/>
            <w:vAlign w:val="center"/>
            <w:shd w:fill="FFFFFF"/>
            <w:tcMar>
              <w:top w:w="70" w:type="dxa"/>
              <w:bottom w:w="70" w:type="dxa"/>
              <w:left w:w="70" w:type="dxa"/>
              <w:right w:w="70" w:type="dxa"/>
            </w:tcMar>
          </w:tcPr>
          <w:p>
            <w:pPr>
              <w:spacing w:after="60" w:before="40" w:line="245" w:lineRule="auto"/>
            </w:pPr>
            <w:r>
              <w:rPr>
                <w:b w:val="0"/>
                <w:sz w:val="17"/>
              </w:rPr>
              <w:t>translated — RFC 8348 §7.1: hardware-rev</w:t>
            </w:r>
          </w:p>
        </w:tc>
      </w:tr>
      <w:tr>
        <w:trPr>
          <w:cantSplit/>
        </w:trPr>
        <w:tc>
          <w:tcPr>
            <w:tcW w:type="dxa" w:w="2088"/>
            <w:vAlign w:val="center"/>
            <w:shd w:fill="F6F8FA"/>
            <w:tcMar>
              <w:top w:w="70" w:type="dxa"/>
              <w:bottom w:w="70" w:type="dxa"/>
              <w:left w:w="70" w:type="dxa"/>
              <w:right w:w="70" w:type="dxa"/>
            </w:tcMar>
          </w:tcPr>
          <w:p>
            <w:pPr>
              <w:spacing w:after="60" w:before="40" w:line="245" w:lineRule="auto"/>
            </w:pPr>
            <w:r>
              <w:rPr>
                <w:b w:val="0"/>
                <w:sz w:val="17"/>
              </w:rPr>
              <w:t>firmware-revision</w:t>
              <w:br/>
              <w:t>Text</w:t>
            </w:r>
          </w:p>
        </w:tc>
        <w:tc>
          <w:tcPr>
            <w:tcW w:type="dxa" w:w="4464"/>
            <w:vAlign w:val="center"/>
            <w:shd w:fill="F6F8FA"/>
            <w:tcMar>
              <w:top w:w="70" w:type="dxa"/>
              <w:bottom w:w="70" w:type="dxa"/>
              <w:left w:w="70" w:type="dxa"/>
              <w:right w:w="70" w:type="dxa"/>
            </w:tcMar>
          </w:tcPr>
          <w:p>
            <w:pPr>
              <w:spacing w:after="60" w:before="40" w:line="245" w:lineRule="auto"/>
            </w:pPr>
            <w:r>
              <w:rPr>
                <w:b w:val="0"/>
                <w:sz w:val="17"/>
              </w:rPr>
              <w:t>Firmware revision identifier for the described equipment.</w:t>
            </w:r>
          </w:p>
        </w:tc>
        <w:tc>
          <w:tcPr>
            <w:tcW w:type="dxa" w:w="3370"/>
            <w:vAlign w:val="center"/>
            <w:shd w:fill="F6F8FA"/>
            <w:tcMar>
              <w:top w:w="70" w:type="dxa"/>
              <w:bottom w:w="70" w:type="dxa"/>
              <w:left w:w="70" w:type="dxa"/>
              <w:right w:w="70" w:type="dxa"/>
            </w:tcMar>
          </w:tcPr>
          <w:p>
            <w:pPr>
              <w:spacing w:after="60" w:before="40" w:line="245" w:lineRule="auto"/>
            </w:pPr>
            <w:r>
              <w:rPr>
                <w:b w:val="0"/>
                <w:sz w:val="17"/>
              </w:rPr>
              <w:t>translated — RFC 8348 §7.1: firmware-rev</w:t>
            </w:r>
          </w:p>
        </w:tc>
      </w:tr>
      <w:tr>
        <w:trPr>
          <w:cantSplit/>
        </w:trPr>
        <w:tc>
          <w:tcPr>
            <w:tcW w:type="dxa" w:w="2088"/>
            <w:vAlign w:val="center"/>
            <w:shd w:fill="FFFFFF"/>
            <w:tcMar>
              <w:top w:w="70" w:type="dxa"/>
              <w:bottom w:w="70" w:type="dxa"/>
              <w:left w:w="70" w:type="dxa"/>
              <w:right w:w="70" w:type="dxa"/>
            </w:tcMar>
          </w:tcPr>
          <w:p>
            <w:pPr>
              <w:spacing w:after="60" w:before="40" w:line="245" w:lineRule="auto"/>
            </w:pPr>
            <w:r>
              <w:rPr>
                <w:b w:val="0"/>
                <w:sz w:val="17"/>
              </w:rPr>
              <w:t>equipment-class</w:t>
              <w:br/>
              <w:t>Category</w:t>
            </w:r>
          </w:p>
        </w:tc>
        <w:tc>
          <w:tcPr>
            <w:tcW w:type="dxa" w:w="4464"/>
            <w:vAlign w:val="center"/>
            <w:shd w:fill="FFFFFF"/>
            <w:tcMar>
              <w:top w:w="70" w:type="dxa"/>
              <w:bottom w:w="70" w:type="dxa"/>
              <w:left w:w="70" w:type="dxa"/>
              <w:right w:w="70" w:type="dxa"/>
            </w:tcMar>
          </w:tcPr>
          <w:p>
            <w:pPr>
              <w:spacing w:after="60" w:before="40" w:line="245" w:lineRule="auto"/>
            </w:pPr>
            <w:r>
              <w:rPr>
                <w:b w:val="0"/>
                <w:sz w:val="17"/>
              </w:rPr>
              <w:t>Family or supporting-equipment classification; a profile classification, not a replacement for CSAPI systemType.</w:t>
            </w:r>
          </w:p>
        </w:tc>
        <w:tc>
          <w:tcPr>
            <w:tcW w:type="dxa" w:w="3370"/>
            <w:vAlign w:val="center"/>
            <w:shd w:fill="FFFFFF"/>
            <w:tcMar>
              <w:top w:w="70" w:type="dxa"/>
              <w:bottom w:w="70" w:type="dxa"/>
              <w:left w:w="70" w:type="dxa"/>
              <w:right w:w="70" w:type="dxa"/>
            </w:tcMar>
          </w:tcPr>
          <w:p>
            <w:pPr>
              <w:spacing w:after="60" w:before="40" w:line="245" w:lineRule="auto"/>
            </w:pPr>
            <w:r>
              <w:rPr>
                <w:b w:val="0"/>
                <w:sz w:val="17"/>
              </w:rPr>
              <w:t>authored — Profile choice informed by SNRA / OSUS / RFC 8348</w:t>
            </w:r>
          </w:p>
        </w:tc>
      </w:tr>
      <w:tr>
        <w:trPr>
          <w:cantSplit/>
        </w:trPr>
        <w:tc>
          <w:tcPr>
            <w:tcW w:type="dxa" w:w="2088"/>
            <w:vAlign w:val="center"/>
            <w:shd w:fill="F6F8FA"/>
            <w:tcMar>
              <w:top w:w="70" w:type="dxa"/>
              <w:bottom w:w="70" w:type="dxa"/>
              <w:left w:w="70" w:type="dxa"/>
              <w:right w:w="70" w:type="dxa"/>
            </w:tcMar>
          </w:tcPr>
          <w:p>
            <w:pPr>
              <w:spacing w:after="60" w:before="40" w:line="245" w:lineRule="auto"/>
            </w:pPr>
            <w:r>
              <w:rPr>
                <w:b w:val="0"/>
                <w:sz w:val="17"/>
              </w:rPr>
              <w:t>component-ref</w:t>
              <w:br/>
              <w:t>Text URI</w:t>
            </w:r>
          </w:p>
        </w:tc>
        <w:tc>
          <w:tcPr>
            <w:tcW w:type="dxa" w:w="4464"/>
            <w:vAlign w:val="center"/>
            <w:shd w:fill="F6F8FA"/>
            <w:tcMar>
              <w:top w:w="70" w:type="dxa"/>
              <w:bottom w:w="70" w:type="dxa"/>
              <w:left w:w="70" w:type="dxa"/>
              <w:right w:w="70" w:type="dxa"/>
            </w:tcMar>
          </w:tcPr>
          <w:p>
            <w:pPr>
              <w:spacing w:after="60" w:before="40" w:line="245" w:lineRule="auto"/>
            </w:pPr>
            <w:r>
              <w:rPr>
                <w:b w:val="0"/>
                <w:sz w:val="17"/>
              </w:rPr>
              <w:t>Reference to equipment described as a component or participant.</w:t>
            </w:r>
          </w:p>
        </w:tc>
        <w:tc>
          <w:tcPr>
            <w:tcW w:type="dxa" w:w="3370"/>
            <w:vAlign w:val="center"/>
            <w:shd w:fill="F6F8FA"/>
            <w:tcMar>
              <w:top w:w="70" w:type="dxa"/>
              <w:bottom w:w="70" w:type="dxa"/>
              <w:left w:w="70" w:type="dxa"/>
              <w:right w:w="70" w:type="dxa"/>
            </w:tcMar>
          </w:tcPr>
          <w:p>
            <w:pPr>
              <w:spacing w:after="60" w:before="40" w:line="245" w:lineRule="auto"/>
            </w:pPr>
            <w:r>
              <w:rPr>
                <w:b w:val="0"/>
                <w:sz w:val="17"/>
              </w:rPr>
              <w:t>authored — SensorML components; profile cross-domain binding</w:t>
            </w:r>
          </w:p>
        </w:tc>
      </w:tr>
      <w:tr>
        <w:trPr>
          <w:cantSplit/>
        </w:trPr>
        <w:tc>
          <w:tcPr>
            <w:tcW w:type="dxa" w:w="2088"/>
            <w:vAlign w:val="center"/>
            <w:shd w:fill="FFFFFF"/>
            <w:tcMar>
              <w:top w:w="70" w:type="dxa"/>
              <w:bottom w:w="70" w:type="dxa"/>
              <w:left w:w="70" w:type="dxa"/>
              <w:right w:w="70" w:type="dxa"/>
            </w:tcMar>
          </w:tcPr>
          <w:p>
            <w:pPr>
              <w:spacing w:after="60" w:before="40" w:line="245" w:lineRule="auto"/>
            </w:pPr>
            <w:r>
              <w:rPr>
                <w:b w:val="0"/>
                <w:sz w:val="17"/>
              </w:rPr>
              <w:t>function-ref</w:t>
              <w:br/>
              <w:t>Text URI</w:t>
            </w:r>
          </w:p>
        </w:tc>
        <w:tc>
          <w:tcPr>
            <w:tcW w:type="dxa" w:w="4464"/>
            <w:vAlign w:val="center"/>
            <w:shd w:fill="FFFFFF"/>
            <w:tcMar>
              <w:top w:w="70" w:type="dxa"/>
              <w:bottom w:w="70" w:type="dxa"/>
              <w:left w:w="70" w:type="dxa"/>
              <w:right w:w="70" w:type="dxa"/>
            </w:tcMar>
          </w:tcPr>
          <w:p>
            <w:pPr>
              <w:spacing w:after="60" w:before="40" w:line="245" w:lineRule="auto"/>
            </w:pPr>
            <w:r>
              <w:rPr>
                <w:b w:val="0"/>
                <w:sz w:val="17"/>
              </w:rPr>
              <w:t>Reference to the intended function group or process, including a Mode-scoped group at its actual owner#id.</w:t>
            </w:r>
          </w:p>
        </w:tc>
        <w:tc>
          <w:tcPr>
            <w:tcW w:type="dxa" w:w="3370"/>
            <w:vAlign w:val="center"/>
            <w:shd w:fill="FFFFFF"/>
            <w:tcMar>
              <w:top w:w="70" w:type="dxa"/>
              <w:bottom w:w="70" w:type="dxa"/>
              <w:left w:w="70" w:type="dxa"/>
              <w:right w:w="70" w:type="dxa"/>
            </w:tcMar>
          </w:tcPr>
          <w:p>
            <w:pPr>
              <w:spacing w:after="60" w:before="40" w:line="245" w:lineRule="auto"/>
            </w:pPr>
            <w:r>
              <w:rPr>
                <w:b w:val="0"/>
                <w:sz w:val="17"/>
              </w:rPr>
              <w:t>authored — OSUS capability organization; SensorML capabilities</w:t>
            </w:r>
          </w:p>
        </w:tc>
      </w:tr>
      <w:tr>
        <w:trPr>
          <w:cantSplit/>
        </w:trPr>
        <w:tc>
          <w:tcPr>
            <w:tcW w:type="dxa" w:w="2088"/>
            <w:vAlign w:val="center"/>
            <w:shd w:fill="F6F8FA"/>
            <w:tcMar>
              <w:top w:w="70" w:type="dxa"/>
              <w:bottom w:w="70" w:type="dxa"/>
              <w:left w:w="70" w:type="dxa"/>
              <w:right w:w="70" w:type="dxa"/>
            </w:tcMar>
          </w:tcPr>
          <w:p>
            <w:pPr>
              <w:spacing w:after="60" w:before="40" w:line="245" w:lineRule="auto"/>
            </w:pPr>
            <w:r>
              <w:rPr>
                <w:b w:val="0"/>
                <w:sz w:val="17"/>
              </w:rPr>
              <w:t>output-path</w:t>
              <w:br/>
              <w:t>Text PathRef</w:t>
            </w:r>
          </w:p>
        </w:tc>
        <w:tc>
          <w:tcPr>
            <w:tcW w:type="dxa" w:w="4464"/>
            <w:vAlign w:val="center"/>
            <w:shd w:fill="F6F8FA"/>
            <w:tcMar>
              <w:top w:w="70" w:type="dxa"/>
              <w:bottom w:w="70" w:type="dxa"/>
              <w:left w:w="70" w:type="dxa"/>
              <w:right w:w="70" w:type="dxa"/>
            </w:tcMar>
          </w:tcPr>
          <w:p>
            <w:pPr>
              <w:spacing w:after="60" w:before="40" w:line="245" w:lineRule="auto"/>
            </w:pPr>
            <w:r>
              <w:rPr>
                <w:b w:val="0"/>
                <w:sz w:val="17"/>
              </w:rPr>
              <w:t>Named output path relative to the nearest containing process, including a Mode-scoped binding; no exposed stream is required.</w:t>
            </w:r>
          </w:p>
        </w:tc>
        <w:tc>
          <w:tcPr>
            <w:tcW w:type="dxa" w:w="3370"/>
            <w:vAlign w:val="center"/>
            <w:shd w:fill="F6F8FA"/>
            <w:tcMar>
              <w:top w:w="70" w:type="dxa"/>
              <w:bottom w:w="70" w:type="dxa"/>
              <w:left w:w="70" w:type="dxa"/>
              <w:right w:w="70" w:type="dxa"/>
            </w:tcMar>
          </w:tcPr>
          <w:p>
            <w:pPr>
              <w:spacing w:after="60" w:before="40" w:line="245" w:lineRule="auto"/>
            </w:pPr>
            <w:r>
              <w:rPr>
                <w:b w:val="0"/>
                <w:sz w:val="17"/>
              </w:rPr>
              <w:t>authored-binding — SensorML PathRef; CSAPI outputName</w:t>
            </w:r>
          </w:p>
        </w:tc>
      </w:tr>
      <w:tr>
        <w:trPr>
          <w:cantSplit/>
        </w:trPr>
        <w:tc>
          <w:tcPr>
            <w:tcW w:type="dxa" w:w="2088"/>
            <w:vAlign w:val="center"/>
            <w:shd w:fill="FFFFFF"/>
            <w:tcMar>
              <w:top w:w="70" w:type="dxa"/>
              <w:bottom w:w="70" w:type="dxa"/>
              <w:left w:w="70" w:type="dxa"/>
              <w:right w:w="70" w:type="dxa"/>
            </w:tcMar>
          </w:tcPr>
          <w:p>
            <w:pPr>
              <w:spacing w:after="60" w:before="40" w:line="245" w:lineRule="auto"/>
            </w:pPr>
            <w:r>
              <w:rPr>
                <w:b w:val="0"/>
                <w:sz w:val="17"/>
              </w:rPr>
              <w:t>input-path</w:t>
              <w:br/>
              <w:t>Text PathRef</w:t>
            </w:r>
          </w:p>
        </w:tc>
        <w:tc>
          <w:tcPr>
            <w:tcW w:type="dxa" w:w="4464"/>
            <w:vAlign w:val="center"/>
            <w:shd w:fill="FFFFFF"/>
            <w:tcMar>
              <w:top w:w="70" w:type="dxa"/>
              <w:bottom w:w="70" w:type="dxa"/>
              <w:left w:w="70" w:type="dxa"/>
              <w:right w:w="70" w:type="dxa"/>
            </w:tcMar>
          </w:tcPr>
          <w:p>
            <w:pPr>
              <w:spacing w:after="60" w:before="40" w:line="245" w:lineRule="auto"/>
            </w:pPr>
            <w:r>
              <w:rPr>
                <w:b w:val="0"/>
                <w:sz w:val="17"/>
              </w:rPr>
              <w:t>Named SensorML control-input path relative to the owning process.</w:t>
            </w:r>
          </w:p>
        </w:tc>
        <w:tc>
          <w:tcPr>
            <w:tcW w:type="dxa" w:w="3370"/>
            <w:vAlign w:val="center"/>
            <w:shd w:fill="FFFFFF"/>
            <w:tcMar>
              <w:top w:w="70" w:type="dxa"/>
              <w:bottom w:w="70" w:type="dxa"/>
              <w:left w:w="70" w:type="dxa"/>
              <w:right w:w="70" w:type="dxa"/>
            </w:tcMar>
          </w:tcPr>
          <w:p>
            <w:pPr>
              <w:spacing w:after="60" w:before="40" w:line="245" w:lineRule="auto"/>
            </w:pPr>
            <w:r>
              <w:rPr>
                <w:b w:val="0"/>
                <w:sz w:val="17"/>
              </w:rPr>
              <w:t>authored-binding — SensorML PathRef; CSAPI inputName</w:t>
            </w:r>
          </w:p>
        </w:tc>
      </w:tr>
      <w:tr>
        <w:trPr>
          <w:cantSplit/>
        </w:trPr>
        <w:tc>
          <w:tcPr>
            <w:tcW w:type="dxa" w:w="2088"/>
            <w:vAlign w:val="center"/>
            <w:shd w:fill="F6F8FA"/>
            <w:tcMar>
              <w:top w:w="70" w:type="dxa"/>
              <w:bottom w:w="70" w:type="dxa"/>
              <w:left w:w="70" w:type="dxa"/>
              <w:right w:w="70" w:type="dxa"/>
            </w:tcMar>
          </w:tcPr>
          <w:p>
            <w:pPr>
              <w:spacing w:after="60" w:before="40" w:line="245" w:lineRule="auto"/>
            </w:pPr>
            <w:r>
              <w:rPr>
                <w:b w:val="0"/>
                <w:sz w:val="17"/>
              </w:rPr>
              <w:t>parameter-path</w:t>
              <w:br/>
              <w:t>Text PathRef</w:t>
            </w:r>
          </w:p>
        </w:tc>
        <w:tc>
          <w:tcPr>
            <w:tcW w:type="dxa" w:w="4464"/>
            <w:vAlign w:val="center"/>
            <w:shd w:fill="F6F8FA"/>
            <w:tcMar>
              <w:top w:w="70" w:type="dxa"/>
              <w:bottom w:w="70" w:type="dxa"/>
              <w:left w:w="70" w:type="dxa"/>
              <w:right w:w="70" w:type="dxa"/>
            </w:tcMar>
          </w:tcPr>
          <w:p>
            <w:pPr>
              <w:spacing w:after="60" w:before="40" w:line="245" w:lineRule="auto"/>
            </w:pPr>
            <w:r>
              <w:rPr>
                <w:b w:val="0"/>
                <w:sz w:val="17"/>
              </w:rPr>
              <w:t>Named parameter path relative to the nearest containing process, including a Mode-scoped binding; the shared definition remains on that process.</w:t>
            </w:r>
          </w:p>
        </w:tc>
        <w:tc>
          <w:tcPr>
            <w:tcW w:type="dxa" w:w="3370"/>
            <w:vAlign w:val="center"/>
            <w:shd w:fill="F6F8FA"/>
            <w:tcMar>
              <w:top w:w="70" w:type="dxa"/>
              <w:bottom w:w="70" w:type="dxa"/>
              <w:left w:w="70" w:type="dxa"/>
              <w:right w:w="70" w:type="dxa"/>
            </w:tcMar>
          </w:tcPr>
          <w:p>
            <w:pPr>
              <w:spacing w:after="60" w:before="40" w:line="245" w:lineRule="auto"/>
            </w:pPr>
            <w:r>
              <w:rPr>
                <w:b w:val="0"/>
                <w:sz w:val="17"/>
              </w:rPr>
              <w:t>authored-binding — SensorML Settings / PathRef</w:t>
            </w:r>
          </w:p>
        </w:tc>
      </w:tr>
      <w:tr>
        <w:trPr>
          <w:cantSplit/>
        </w:trPr>
        <w:tc>
          <w:tcPr>
            <w:tcW w:type="dxa" w:w="2088"/>
            <w:vAlign w:val="center"/>
            <w:shd w:fill="FFFFFF"/>
            <w:tcMar>
              <w:top w:w="70" w:type="dxa"/>
              <w:bottom w:w="70" w:type="dxa"/>
              <w:left w:w="70" w:type="dxa"/>
              <w:right w:w="70" w:type="dxa"/>
            </w:tcMar>
          </w:tcPr>
          <w:p>
            <w:pPr>
              <w:spacing w:after="60" w:before="40" w:line="245" w:lineRule="auto"/>
            </w:pPr>
            <w:r>
              <w:rPr>
                <w:b w:val="0"/>
                <w:sz w:val="17"/>
              </w:rPr>
              <w:t>function-kind</w:t>
              <w:br/>
              <w:t>Category</w:t>
            </w:r>
          </w:p>
        </w:tc>
        <w:tc>
          <w:tcPr>
            <w:tcW w:type="dxa" w:w="4464"/>
            <w:vAlign w:val="center"/>
            <w:shd w:fill="FFFFFF"/>
            <w:tcMar>
              <w:top w:w="70" w:type="dxa"/>
              <w:bottom w:w="70" w:type="dxa"/>
              <w:left w:w="70" w:type="dxa"/>
              <w:right w:w="70" w:type="dxa"/>
            </w:tcMar>
          </w:tcPr>
          <w:p>
            <w:pPr>
              <w:spacing w:after="60" w:before="40" w:line="245" w:lineRule="auto"/>
            </w:pPr>
            <w:r>
              <w:rPr>
                <w:b w:val="0"/>
                <w:sz w:val="17"/>
              </w:rPr>
              <w:t>Named sensing or supporting function classification; codes may be specialized by a family vocabulary.</w:t>
            </w:r>
          </w:p>
        </w:tc>
        <w:tc>
          <w:tcPr>
            <w:tcW w:type="dxa" w:w="3370"/>
            <w:vAlign w:val="center"/>
            <w:shd w:fill="FFFFFF"/>
            <w:tcMar>
              <w:top w:w="70" w:type="dxa"/>
              <w:bottom w:w="70" w:type="dxa"/>
              <w:left w:w="70" w:type="dxa"/>
              <w:right w:w="70" w:type="dxa"/>
            </w:tcMar>
          </w:tcPr>
          <w:p>
            <w:pPr>
              <w:spacing w:after="60" w:before="40" w:line="245" w:lineRule="auto"/>
            </w:pPr>
            <w:r>
              <w:rPr>
                <w:b w:val="0"/>
                <w:sz w:val="17"/>
              </w:rPr>
              <w:t>authored — OSUS AssetCapabilities comparator</w:t>
            </w:r>
          </w:p>
        </w:tc>
      </w:tr>
      <w:tr>
        <w:trPr>
          <w:cantSplit/>
        </w:trPr>
        <w:tc>
          <w:tcPr>
            <w:tcW w:type="dxa" w:w="2088"/>
            <w:vAlign w:val="center"/>
            <w:shd w:fill="F6F8FA"/>
            <w:tcMar>
              <w:top w:w="70" w:type="dxa"/>
              <w:bottom w:w="70" w:type="dxa"/>
              <w:left w:w="70" w:type="dxa"/>
              <w:right w:w="70" w:type="dxa"/>
            </w:tcMar>
          </w:tcPr>
          <w:p>
            <w:pPr>
              <w:spacing w:after="60" w:before="40" w:line="245" w:lineRule="auto"/>
            </w:pPr>
            <w:r>
              <w:rPr>
                <w:b w:val="0"/>
                <w:sz w:val="17"/>
              </w:rPr>
              <w:t>sample-interval</w:t>
              <w:br/>
              <w:t>Quantity s</w:t>
            </w:r>
          </w:p>
        </w:tc>
        <w:tc>
          <w:tcPr>
            <w:tcW w:type="dxa" w:w="4464"/>
            <w:vAlign w:val="center"/>
            <w:shd w:fill="F6F8FA"/>
            <w:tcMar>
              <w:top w:w="70" w:type="dxa"/>
              <w:bottom w:w="70" w:type="dxa"/>
              <w:left w:w="70" w:type="dxa"/>
              <w:right w:w="70" w:type="dxa"/>
            </w:tcMar>
          </w:tcPr>
          <w:p>
            <w:pPr>
              <w:spacing w:after="60" w:before="40" w:line="245" w:lineRule="auto"/>
            </w:pPr>
            <w:r>
              <w:rPr>
                <w:b w:val="0"/>
                <w:sz w:val="17"/>
              </w:rPr>
              <w:t>Elapsed interval between scheduled samples for the named sensing function, not communications latency.</w:t>
            </w:r>
          </w:p>
        </w:tc>
        <w:tc>
          <w:tcPr>
            <w:tcW w:type="dxa" w:w="3370"/>
            <w:vAlign w:val="center"/>
            <w:shd w:fill="F6F8FA"/>
            <w:tcMar>
              <w:top w:w="70" w:type="dxa"/>
              <w:bottom w:w="70" w:type="dxa"/>
              <w:left w:w="70" w:type="dxa"/>
              <w:right w:w="70" w:type="dxa"/>
            </w:tcMar>
          </w:tcPr>
          <w:p>
            <w:pPr>
              <w:spacing w:after="60" w:before="40" w:line="245" w:lineRule="auto"/>
            </w:pPr>
            <w:r>
              <w:rPr>
                <w:b w:val="0"/>
                <w:sz w:val="17"/>
              </w:rPr>
              <w:t>authored — Profile-defined parameter; SensorML configuration carrier</w:t>
            </w:r>
          </w:p>
        </w:tc>
      </w:tr>
    </w:tbl>
    <w:p>
      <w:pPr>
        <w:pStyle w:val="Small"/>
        <w:widowControl/>
      </w:pPr>
      <w:r/>
    </w:p>
    <w:p>
      <w:pPr>
        <w:pStyle w:val="Heading3"/>
        <w:keepNext/>
        <w:pageBreakBefore/>
        <w:widowControl/>
      </w:pPr>
      <w:r>
        <w:t>Communications and observation context</w:t>
      </w:r>
    </w:p>
    <w:tbl>
      <w:tblPr>
        <w:tblW w:type="auto" w:w="0"/>
        <w:jc w:val="center"/>
        <w:tblLayout w:type="fixed"/>
        <w:tblLook w:firstColumn="1" w:firstRow="1" w:lastColumn="0" w:lastRow="0" w:noHBand="0" w:noVBand="1" w:val="04A0"/>
      </w:tblPr>
      <w:tblGrid>
        <w:gridCol w:w="2088"/>
        <w:gridCol w:w="4464"/>
        <w:gridCol w:w="3370"/>
      </w:tblGrid>
      <w:tr>
        <w:trPr>
          <w:cantSplit/>
          <w:tblHeader/>
        </w:trPr>
        <w:tc>
          <w:tcPr>
            <w:tcW w:type="dxa" w:w="2088"/>
            <w:vAlign w:val="center"/>
            <w:shd w:fill="E7EEF2"/>
            <w:tcMar>
              <w:top w:w="70" w:type="dxa"/>
              <w:bottom w:w="70" w:type="dxa"/>
              <w:left w:w="70" w:type="dxa"/>
              <w:right w:w="70" w:type="dxa"/>
            </w:tcMar>
          </w:tcPr>
          <w:p>
            <w:pPr>
              <w:spacing w:after="60" w:before="40" w:line="245" w:lineRule="auto"/>
            </w:pPr>
            <w:r>
              <w:rPr>
                <w:b/>
                <w:sz w:val="17"/>
              </w:rPr>
              <w:t>Token under P/term/ and kind</w:t>
            </w:r>
          </w:p>
        </w:tc>
        <w:tc>
          <w:tcPr>
            <w:tcW w:type="dxa" w:w="4464"/>
            <w:vAlign w:val="center"/>
            <w:shd w:fill="E7EEF2"/>
            <w:tcMar>
              <w:top w:w="70" w:type="dxa"/>
              <w:bottom w:w="70" w:type="dxa"/>
              <w:left w:w="70" w:type="dxa"/>
              <w:right w:w="70" w:type="dxa"/>
            </w:tcMar>
          </w:tcPr>
          <w:p>
            <w:pPr>
              <w:spacing w:after="60" w:before="40" w:line="245" w:lineRule="auto"/>
            </w:pPr>
            <w:r>
              <w:rPr>
                <w:b/>
                <w:sz w:val="17"/>
              </w:rPr>
              <w:t>Meaning used by this draft</w:t>
            </w:r>
          </w:p>
        </w:tc>
        <w:tc>
          <w:tcPr>
            <w:tcW w:type="dxa" w:w="3370"/>
            <w:vAlign w:val="center"/>
            <w:shd w:fill="E7EEF2"/>
            <w:tcMar>
              <w:top w:w="70" w:type="dxa"/>
              <w:bottom w:w="70" w:type="dxa"/>
              <w:left w:w="70" w:type="dxa"/>
              <w:right w:w="70" w:type="dxa"/>
            </w:tcMar>
          </w:tcPr>
          <w:p>
            <w:pPr>
              <w:spacing w:after="60" w:before="40" w:line="245" w:lineRule="auto"/>
            </w:pPr>
            <w:r>
              <w:rPr>
                <w:b/>
                <w:sz w:val="17"/>
              </w:rPr>
              <w:t>Source / authored responsibility</w:t>
            </w:r>
          </w:p>
        </w:tc>
      </w:tr>
      <w:tr>
        <w:trPr>
          <w:cantSplit/>
        </w:trPr>
        <w:tc>
          <w:tcPr>
            <w:tcW w:type="dxa" w:w="2088"/>
            <w:vAlign w:val="center"/>
            <w:shd w:fill="FFFFFF"/>
            <w:tcMar>
              <w:top w:w="70" w:type="dxa"/>
              <w:bottom w:w="70" w:type="dxa"/>
              <w:left w:w="70" w:type="dxa"/>
              <w:right w:w="70" w:type="dxa"/>
            </w:tcMar>
          </w:tcPr>
          <w:p>
            <w:pPr>
              <w:spacing w:after="60" w:before="40" w:line="245" w:lineRule="auto"/>
            </w:pPr>
            <w:r>
              <w:rPr>
                <w:b w:val="0"/>
                <w:sz w:val="17"/>
              </w:rPr>
              <w:t>interface-name</w:t>
              <w:br/>
              <w:t>Text</w:t>
            </w:r>
          </w:p>
        </w:tc>
        <w:tc>
          <w:tcPr>
            <w:tcW w:type="dxa" w:w="4464"/>
            <w:vAlign w:val="center"/>
            <w:shd w:fill="FFFFFF"/>
            <w:tcMar>
              <w:top w:w="70" w:type="dxa"/>
              <w:bottom w:w="70" w:type="dxa"/>
              <w:left w:w="70" w:type="dxa"/>
              <w:right w:w="70" w:type="dxa"/>
            </w:tcMar>
          </w:tcPr>
          <w:p>
            <w:pPr>
              <w:spacing w:after="60" w:before="40" w:line="245" w:lineRule="auto"/>
            </w:pPr>
            <w:r>
              <w:rPr>
                <w:b w:val="0"/>
                <w:sz w:val="17"/>
              </w:rPr>
              <w:t>Interface name within its owning equipment.</w:t>
            </w:r>
          </w:p>
        </w:tc>
        <w:tc>
          <w:tcPr>
            <w:tcW w:type="dxa" w:w="3370"/>
            <w:vAlign w:val="center"/>
            <w:shd w:fill="FFFFFF"/>
            <w:tcMar>
              <w:top w:w="70" w:type="dxa"/>
              <w:bottom w:w="70" w:type="dxa"/>
              <w:left w:w="70" w:type="dxa"/>
              <w:right w:w="70" w:type="dxa"/>
            </w:tcMar>
          </w:tcPr>
          <w:p>
            <w:pPr>
              <w:spacing w:after="60" w:before="40" w:line="245" w:lineRule="auto"/>
            </w:pPr>
            <w:r>
              <w:rPr>
                <w:b w:val="0"/>
                <w:sz w:val="17"/>
              </w:rPr>
              <w:t>translated — RFC 8343 §5 /interfaces/interface/name</w:t>
            </w:r>
          </w:p>
        </w:tc>
      </w:tr>
      <w:tr>
        <w:trPr>
          <w:cantSplit/>
        </w:trPr>
        <w:tc>
          <w:tcPr>
            <w:tcW w:type="dxa" w:w="2088"/>
            <w:vAlign w:val="center"/>
            <w:shd w:fill="F6F8FA"/>
            <w:tcMar>
              <w:top w:w="70" w:type="dxa"/>
              <w:bottom w:w="70" w:type="dxa"/>
              <w:left w:w="70" w:type="dxa"/>
              <w:right w:w="70" w:type="dxa"/>
            </w:tcMar>
          </w:tcPr>
          <w:p>
            <w:pPr>
              <w:spacing w:after="60" w:before="40" w:line="245" w:lineRule="auto"/>
            </w:pPr>
            <w:r>
              <w:rPr>
                <w:b w:val="0"/>
                <w:sz w:val="17"/>
              </w:rPr>
              <w:t>interface-type</w:t>
              <w:br/>
              <w:t>Category</w:t>
            </w:r>
          </w:p>
        </w:tc>
        <w:tc>
          <w:tcPr>
            <w:tcW w:type="dxa" w:w="4464"/>
            <w:vAlign w:val="center"/>
            <w:shd w:fill="F6F8FA"/>
            <w:tcMar>
              <w:top w:w="70" w:type="dxa"/>
              <w:bottom w:w="70" w:type="dxa"/>
              <w:left w:w="70" w:type="dxa"/>
              <w:right w:w="70" w:type="dxa"/>
            </w:tcMar>
          </w:tcPr>
          <w:p>
            <w:pPr>
              <w:spacing w:after="60" w:before="40" w:line="245" w:lineRule="auto"/>
            </w:pPr>
            <w:r>
              <w:rPr>
                <w:b w:val="0"/>
                <w:sz w:val="17"/>
              </w:rPr>
              <w:t>Type of communication interface in the indicated code space.</w:t>
            </w:r>
          </w:p>
        </w:tc>
        <w:tc>
          <w:tcPr>
            <w:tcW w:type="dxa" w:w="3370"/>
            <w:vAlign w:val="center"/>
            <w:shd w:fill="F6F8FA"/>
            <w:tcMar>
              <w:top w:w="70" w:type="dxa"/>
              <w:bottom w:w="70" w:type="dxa"/>
              <w:left w:w="70" w:type="dxa"/>
              <w:right w:w="70" w:type="dxa"/>
            </w:tcMar>
          </w:tcPr>
          <w:p>
            <w:pPr>
              <w:spacing w:after="60" w:before="40" w:line="245" w:lineRule="auto"/>
            </w:pPr>
            <w:r>
              <w:rPr>
                <w:b w:val="0"/>
                <w:sz w:val="17"/>
              </w:rPr>
              <w:t>translated — RFC 8343 §5 /interfaces/interface/type; RFC 2863 ifType</w:t>
            </w:r>
          </w:p>
        </w:tc>
      </w:tr>
      <w:tr>
        <w:trPr>
          <w:cantSplit/>
        </w:trPr>
        <w:tc>
          <w:tcPr>
            <w:tcW w:type="dxa" w:w="2088"/>
            <w:vAlign w:val="center"/>
            <w:shd w:fill="FFFFFF"/>
            <w:tcMar>
              <w:top w:w="70" w:type="dxa"/>
              <w:bottom w:w="70" w:type="dxa"/>
              <w:left w:w="70" w:type="dxa"/>
              <w:right w:w="70" w:type="dxa"/>
            </w:tcMar>
          </w:tcPr>
          <w:p>
            <w:pPr>
              <w:spacing w:after="60" w:before="40" w:line="245" w:lineRule="auto"/>
            </w:pPr>
            <w:r>
              <w:rPr>
                <w:b w:val="0"/>
                <w:sz w:val="17"/>
              </w:rPr>
              <w:t>interface-enabled</w:t>
              <w:br/>
              <w:t>Boolean</w:t>
            </w:r>
          </w:p>
        </w:tc>
        <w:tc>
          <w:tcPr>
            <w:tcW w:type="dxa" w:w="4464"/>
            <w:vAlign w:val="center"/>
            <w:shd w:fill="FFFFFF"/>
            <w:tcMar>
              <w:top w:w="70" w:type="dxa"/>
              <w:bottom w:w="70" w:type="dxa"/>
              <w:left w:w="70" w:type="dxa"/>
              <w:right w:w="70" w:type="dxa"/>
            </w:tcMar>
          </w:tcPr>
          <w:p>
            <w:pPr>
              <w:spacing w:after="60" w:before="40" w:line="245" w:lineRule="auto"/>
            </w:pPr>
            <w:r>
              <w:rPr>
                <w:b w:val="0"/>
                <w:sz w:val="17"/>
              </w:rPr>
              <w:t>Whether the interface is administratively enabled as a configuration setting.</w:t>
            </w:r>
          </w:p>
        </w:tc>
        <w:tc>
          <w:tcPr>
            <w:tcW w:type="dxa" w:w="3370"/>
            <w:vAlign w:val="center"/>
            <w:shd w:fill="FFFFFF"/>
            <w:tcMar>
              <w:top w:w="70" w:type="dxa"/>
              <w:bottom w:w="70" w:type="dxa"/>
              <w:left w:w="70" w:type="dxa"/>
              <w:right w:w="70" w:type="dxa"/>
            </w:tcMar>
          </w:tcPr>
          <w:p>
            <w:pPr>
              <w:spacing w:after="60" w:before="40" w:line="245" w:lineRule="auto"/>
            </w:pPr>
            <w:r>
              <w:rPr>
                <w:b w:val="0"/>
                <w:sz w:val="17"/>
              </w:rPr>
              <w:t>translated — RFC 8343 §5 /interfaces/interface/enabled</w:t>
            </w:r>
          </w:p>
        </w:tc>
      </w:tr>
      <w:tr>
        <w:trPr>
          <w:cantSplit/>
        </w:trPr>
        <w:tc>
          <w:tcPr>
            <w:tcW w:type="dxa" w:w="2088"/>
            <w:vAlign w:val="center"/>
            <w:shd w:fill="F6F8FA"/>
            <w:tcMar>
              <w:top w:w="70" w:type="dxa"/>
              <w:bottom w:w="70" w:type="dxa"/>
              <w:left w:w="70" w:type="dxa"/>
              <w:right w:w="70" w:type="dxa"/>
            </w:tcMar>
          </w:tcPr>
          <w:p>
            <w:pPr>
              <w:spacing w:after="60" w:before="40" w:line="245" w:lineRule="auto"/>
            </w:pPr>
            <w:r>
              <w:rPr>
                <w:b w:val="0"/>
                <w:sz w:val="17"/>
              </w:rPr>
              <w:t>interface-oper-status</w:t>
              <w:br/>
              <w:t>Category</w:t>
            </w:r>
          </w:p>
        </w:tc>
        <w:tc>
          <w:tcPr>
            <w:tcW w:type="dxa" w:w="4464"/>
            <w:vAlign w:val="center"/>
            <w:shd w:fill="F6F8FA"/>
            <w:tcMar>
              <w:top w:w="70" w:type="dxa"/>
              <w:bottom w:w="70" w:type="dxa"/>
              <w:left w:w="70" w:type="dxa"/>
              <w:right w:w="70" w:type="dxa"/>
            </w:tcMar>
          </w:tcPr>
          <w:p>
            <w:pPr>
              <w:spacing w:after="60" w:before="40" w:line="245" w:lineRule="auto"/>
            </w:pPr>
            <w:r>
              <w:rPr>
                <w:b w:val="0"/>
                <w:sz w:val="17"/>
              </w:rPr>
              <w:t>Operational state of the named interface using RFC 8343 enum tokens.</w:t>
            </w:r>
          </w:p>
        </w:tc>
        <w:tc>
          <w:tcPr>
            <w:tcW w:type="dxa" w:w="3370"/>
            <w:vAlign w:val="center"/>
            <w:shd w:fill="F6F8FA"/>
            <w:tcMar>
              <w:top w:w="70" w:type="dxa"/>
              <w:bottom w:w="70" w:type="dxa"/>
              <w:left w:w="70" w:type="dxa"/>
              <w:right w:w="70" w:type="dxa"/>
            </w:tcMar>
          </w:tcPr>
          <w:p>
            <w:pPr>
              <w:spacing w:after="60" w:before="40" w:line="245" w:lineRule="auto"/>
            </w:pPr>
            <w:r>
              <w:rPr>
                <w:b w:val="0"/>
                <w:sz w:val="17"/>
              </w:rPr>
              <w:t>translated — RFC 8343 §5 /interfaces/interface/oper-status; RFC 2863 ifOperStatus</w:t>
            </w:r>
          </w:p>
        </w:tc>
      </w:tr>
      <w:tr>
        <w:trPr>
          <w:cantSplit/>
        </w:trPr>
        <w:tc>
          <w:tcPr>
            <w:tcW w:type="dxa" w:w="2088"/>
            <w:vAlign w:val="center"/>
            <w:shd w:fill="FFFFFF"/>
            <w:tcMar>
              <w:top w:w="70" w:type="dxa"/>
              <w:bottom w:w="70" w:type="dxa"/>
              <w:left w:w="70" w:type="dxa"/>
              <w:right w:w="70" w:type="dxa"/>
            </w:tcMar>
          </w:tcPr>
          <w:p>
            <w:pPr>
              <w:spacing w:after="60" w:before="40" w:line="245" w:lineRule="auto"/>
            </w:pPr>
            <w:r>
              <w:rPr>
                <w:b w:val="0"/>
                <w:sz w:val="17"/>
              </w:rPr>
              <w:t>lower-layer-interface-ref</w:t>
              <w:br/>
              <w:t>Text URI</w:t>
            </w:r>
          </w:p>
        </w:tc>
        <w:tc>
          <w:tcPr>
            <w:tcW w:type="dxa" w:w="4464"/>
            <w:vAlign w:val="center"/>
            <w:shd w:fill="FFFFFF"/>
            <w:tcMar>
              <w:top w:w="70" w:type="dxa"/>
              <w:bottom w:w="70" w:type="dxa"/>
              <w:left w:w="70" w:type="dxa"/>
              <w:right w:w="70" w:type="dxa"/>
            </w:tcMar>
          </w:tcPr>
          <w:p>
            <w:pPr>
              <w:spacing w:after="60" w:before="40" w:line="245" w:lineRule="auto"/>
            </w:pPr>
            <w:r>
              <w:rPr>
                <w:b w:val="0"/>
                <w:sz w:val="17"/>
              </w:rPr>
              <w:t>Reference to an interface below the described interface in its stack.</w:t>
            </w:r>
          </w:p>
        </w:tc>
        <w:tc>
          <w:tcPr>
            <w:tcW w:type="dxa" w:w="3370"/>
            <w:vAlign w:val="center"/>
            <w:shd w:fill="FFFFFF"/>
            <w:tcMar>
              <w:top w:w="70" w:type="dxa"/>
              <w:bottom w:w="70" w:type="dxa"/>
              <w:left w:w="70" w:type="dxa"/>
              <w:right w:w="70" w:type="dxa"/>
            </w:tcMar>
          </w:tcPr>
          <w:p>
            <w:pPr>
              <w:spacing w:after="60" w:before="40" w:line="245" w:lineRule="auto"/>
            </w:pPr>
            <w:r>
              <w:rPr>
                <w:b w:val="0"/>
                <w:sz w:val="17"/>
              </w:rPr>
              <w:t>translated-binding — RFC 8343 §3.3 and lower-layer-if</w:t>
            </w:r>
          </w:p>
        </w:tc>
      </w:tr>
      <w:tr>
        <w:trPr>
          <w:cantSplit/>
        </w:trPr>
        <w:tc>
          <w:tcPr>
            <w:tcW w:type="dxa" w:w="2088"/>
            <w:vAlign w:val="center"/>
            <w:shd w:fill="F6F8FA"/>
            <w:tcMar>
              <w:top w:w="70" w:type="dxa"/>
              <w:bottom w:w="70" w:type="dxa"/>
              <w:left w:w="70" w:type="dxa"/>
              <w:right w:w="70" w:type="dxa"/>
            </w:tcMar>
          </w:tcPr>
          <w:p>
            <w:pPr>
              <w:spacing w:after="60" w:before="40" w:line="245" w:lineRule="auto"/>
            </w:pPr>
            <w:r>
              <w:rPr>
                <w:b w:val="0"/>
                <w:sz w:val="17"/>
              </w:rPr>
              <w:t>source-interface-ref</w:t>
              <w:br/>
              <w:t>Text URI</w:t>
            </w:r>
          </w:p>
        </w:tc>
        <w:tc>
          <w:tcPr>
            <w:tcW w:type="dxa" w:w="4464"/>
            <w:vAlign w:val="center"/>
            <w:shd w:fill="F6F8FA"/>
            <w:tcMar>
              <w:top w:w="70" w:type="dxa"/>
              <w:bottom w:w="70" w:type="dxa"/>
              <w:left w:w="70" w:type="dxa"/>
              <w:right w:w="70" w:type="dxa"/>
            </w:tcMar>
          </w:tcPr>
          <w:p>
            <w:pPr>
              <w:spacing w:after="60" w:before="40" w:line="245" w:lineRule="auto"/>
            </w:pPr>
            <w:r>
              <w:rPr>
                <w:b w:val="0"/>
                <w:sz w:val="17"/>
              </w:rPr>
              <w:t>Source endpoint for the directed communication connection.</w:t>
            </w:r>
          </w:p>
        </w:tc>
        <w:tc>
          <w:tcPr>
            <w:tcW w:type="dxa" w:w="3370"/>
            <w:vAlign w:val="center"/>
            <w:shd w:fill="F6F8FA"/>
            <w:tcMar>
              <w:top w:w="70" w:type="dxa"/>
              <w:bottom w:w="70" w:type="dxa"/>
              <w:left w:w="70" w:type="dxa"/>
              <w:right w:w="70" w:type="dxa"/>
            </w:tcMar>
          </w:tcPr>
          <w:p>
            <w:pPr>
              <w:spacing w:after="60" w:before="40" w:line="245" w:lineRule="auto"/>
            </w:pPr>
            <w:r>
              <w:rPr>
                <w:b w:val="0"/>
                <w:sz w:val="17"/>
              </w:rPr>
              <w:t>authored-binding — RFC 8345 §4.2 source / source-tp; profile equipment association</w:t>
            </w:r>
          </w:p>
        </w:tc>
      </w:tr>
      <w:tr>
        <w:trPr>
          <w:cantSplit/>
        </w:trPr>
        <w:tc>
          <w:tcPr>
            <w:tcW w:type="dxa" w:w="2088"/>
            <w:vAlign w:val="center"/>
            <w:shd w:fill="FFFFFF"/>
            <w:tcMar>
              <w:top w:w="70" w:type="dxa"/>
              <w:bottom w:w="70" w:type="dxa"/>
              <w:left w:w="70" w:type="dxa"/>
              <w:right w:w="70" w:type="dxa"/>
            </w:tcMar>
          </w:tcPr>
          <w:p>
            <w:pPr>
              <w:spacing w:after="60" w:before="40" w:line="245" w:lineRule="auto"/>
            </w:pPr>
            <w:r>
              <w:rPr>
                <w:b w:val="0"/>
                <w:sz w:val="17"/>
              </w:rPr>
              <w:t>destination-interface-ref</w:t>
              <w:br/>
              <w:t>Text URI</w:t>
            </w:r>
          </w:p>
        </w:tc>
        <w:tc>
          <w:tcPr>
            <w:tcW w:type="dxa" w:w="4464"/>
            <w:vAlign w:val="center"/>
            <w:shd w:fill="FFFFFF"/>
            <w:tcMar>
              <w:top w:w="70" w:type="dxa"/>
              <w:bottom w:w="70" w:type="dxa"/>
              <w:left w:w="70" w:type="dxa"/>
              <w:right w:w="70" w:type="dxa"/>
            </w:tcMar>
          </w:tcPr>
          <w:p>
            <w:pPr>
              <w:spacing w:after="60" w:before="40" w:line="245" w:lineRule="auto"/>
            </w:pPr>
            <w:r>
              <w:rPr>
                <w:b w:val="0"/>
                <w:sz w:val="17"/>
              </w:rPr>
              <w:t>Destination endpoint for the directed communication connection.</w:t>
            </w:r>
          </w:p>
        </w:tc>
        <w:tc>
          <w:tcPr>
            <w:tcW w:type="dxa" w:w="3370"/>
            <w:vAlign w:val="center"/>
            <w:shd w:fill="FFFFFF"/>
            <w:tcMar>
              <w:top w:w="70" w:type="dxa"/>
              <w:bottom w:w="70" w:type="dxa"/>
              <w:left w:w="70" w:type="dxa"/>
              <w:right w:w="70" w:type="dxa"/>
            </w:tcMar>
          </w:tcPr>
          <w:p>
            <w:pPr>
              <w:spacing w:after="60" w:before="40" w:line="245" w:lineRule="auto"/>
            </w:pPr>
            <w:r>
              <w:rPr>
                <w:b w:val="0"/>
                <w:sz w:val="17"/>
              </w:rPr>
              <w:t>authored-binding — RFC 8345 §4.2 destination / dest-tp; profile equipment association</w:t>
            </w:r>
          </w:p>
        </w:tc>
      </w:tr>
      <w:tr>
        <w:trPr>
          <w:cantSplit/>
        </w:trPr>
        <w:tc>
          <w:tcPr>
            <w:tcW w:type="dxa" w:w="2088"/>
            <w:vAlign w:val="center"/>
            <w:shd w:fill="F6F8FA"/>
            <w:tcMar>
              <w:top w:w="70" w:type="dxa"/>
              <w:bottom w:w="70" w:type="dxa"/>
              <w:left w:w="70" w:type="dxa"/>
              <w:right w:w="70" w:type="dxa"/>
            </w:tcMar>
          </w:tcPr>
          <w:p>
            <w:pPr>
              <w:spacing w:after="60" w:before="40" w:line="245" w:lineRule="auto"/>
            </w:pPr>
            <w:r>
              <w:rPr>
                <w:b w:val="0"/>
                <w:sz w:val="17"/>
              </w:rPr>
              <w:t>served-system-ref</w:t>
              <w:br/>
              <w:t>Text URI</w:t>
            </w:r>
          </w:p>
        </w:tc>
        <w:tc>
          <w:tcPr>
            <w:tcW w:type="dxa" w:w="4464"/>
            <w:vAlign w:val="center"/>
            <w:shd w:fill="F6F8FA"/>
            <w:tcMar>
              <w:top w:w="70" w:type="dxa"/>
              <w:bottom w:w="70" w:type="dxa"/>
              <w:left w:w="70" w:type="dxa"/>
              <w:right w:w="70" w:type="dxa"/>
            </w:tcMar>
          </w:tcPr>
          <w:p>
            <w:pPr>
              <w:spacing w:after="60" w:before="40" w:line="245" w:lineRule="auto"/>
            </w:pPr>
            <w:r>
              <w:rPr>
                <w:b w:val="0"/>
                <w:sz w:val="17"/>
              </w:rPr>
              <w:t>System whose information or control access is mediated by the identified gateway.</w:t>
            </w:r>
          </w:p>
        </w:tc>
        <w:tc>
          <w:tcPr>
            <w:tcW w:type="dxa" w:w="3370"/>
            <w:vAlign w:val="center"/>
            <w:shd w:fill="F6F8FA"/>
            <w:tcMar>
              <w:top w:w="70" w:type="dxa"/>
              <w:bottom w:w="70" w:type="dxa"/>
              <w:left w:w="70" w:type="dxa"/>
              <w:right w:w="70" w:type="dxa"/>
            </w:tcMar>
          </w:tcPr>
          <w:p>
            <w:pPr>
              <w:spacing w:after="60" w:before="40" w:line="245" w:lineRule="auto"/>
            </w:pPr>
            <w:r>
              <w:rPr>
                <w:b w:val="0"/>
                <w:sz w:val="17"/>
              </w:rPr>
              <w:t>authored — SNRA / OSUS; profile gateway binding</w:t>
            </w:r>
          </w:p>
        </w:tc>
      </w:tr>
      <w:tr>
        <w:trPr>
          <w:cantSplit/>
        </w:trPr>
        <w:tc>
          <w:tcPr>
            <w:tcW w:type="dxa" w:w="2088"/>
            <w:vAlign w:val="center"/>
            <w:shd w:fill="FFFFFF"/>
            <w:tcMar>
              <w:top w:w="70" w:type="dxa"/>
              <w:bottom w:w="70" w:type="dxa"/>
              <w:left w:w="70" w:type="dxa"/>
              <w:right w:w="70" w:type="dxa"/>
            </w:tcMar>
          </w:tcPr>
          <w:p>
            <w:pPr>
              <w:spacing w:after="60" w:before="40" w:line="245" w:lineRule="auto"/>
            </w:pPr>
            <w:r>
              <w:rPr>
                <w:b w:val="0"/>
                <w:sz w:val="17"/>
              </w:rPr>
              <w:t>via-system-ref</w:t>
              <w:br/>
              <w:t>Text URI</w:t>
            </w:r>
          </w:p>
        </w:tc>
        <w:tc>
          <w:tcPr>
            <w:tcW w:type="dxa" w:w="4464"/>
            <w:vAlign w:val="center"/>
            <w:shd w:fill="FFFFFF"/>
            <w:tcMar>
              <w:top w:w="70" w:type="dxa"/>
              <w:bottom w:w="70" w:type="dxa"/>
              <w:left w:w="70" w:type="dxa"/>
              <w:right w:w="70" w:type="dxa"/>
            </w:tcMar>
          </w:tcPr>
          <w:p>
            <w:pPr>
              <w:spacing w:after="60" w:before="40" w:line="245" w:lineRule="auto"/>
            </w:pPr>
            <w:r>
              <w:rPr>
                <w:b w:val="0"/>
                <w:sz w:val="17"/>
              </w:rPr>
              <w:t>Gateway or relay equipment through which the described access passes.</w:t>
            </w:r>
          </w:p>
        </w:tc>
        <w:tc>
          <w:tcPr>
            <w:tcW w:type="dxa" w:w="3370"/>
            <w:vAlign w:val="center"/>
            <w:shd w:fill="FFFFFF"/>
            <w:tcMar>
              <w:top w:w="70" w:type="dxa"/>
              <w:bottom w:w="70" w:type="dxa"/>
              <w:left w:w="70" w:type="dxa"/>
              <w:right w:w="70" w:type="dxa"/>
            </w:tcMar>
          </w:tcPr>
          <w:p>
            <w:pPr>
              <w:spacing w:after="60" w:before="40" w:line="245" w:lineRule="auto"/>
            </w:pPr>
            <w:r>
              <w:rPr>
                <w:b w:val="0"/>
                <w:sz w:val="17"/>
              </w:rPr>
              <w:t>authored — SNRA / OSUS; profile gateway binding</w:t>
            </w:r>
          </w:p>
        </w:tc>
      </w:tr>
      <w:tr>
        <w:trPr>
          <w:cantSplit/>
        </w:trPr>
        <w:tc>
          <w:tcPr>
            <w:tcW w:type="dxa" w:w="2088"/>
            <w:vAlign w:val="center"/>
            <w:shd w:fill="F6F8FA"/>
            <w:tcMar>
              <w:top w:w="70" w:type="dxa"/>
              <w:bottom w:w="70" w:type="dxa"/>
              <w:left w:w="70" w:type="dxa"/>
              <w:right w:w="70" w:type="dxa"/>
            </w:tcMar>
          </w:tcPr>
          <w:p>
            <w:pPr>
              <w:spacing w:after="60" w:before="40" w:line="245" w:lineRule="auto"/>
            </w:pPr>
            <w:r>
              <w:rPr>
                <w:b w:val="0"/>
                <w:sz w:val="17"/>
              </w:rPr>
              <w:t>link-ref</w:t>
              <w:br/>
              <w:t>Text URI</w:t>
            </w:r>
          </w:p>
        </w:tc>
        <w:tc>
          <w:tcPr>
            <w:tcW w:type="dxa" w:w="4464"/>
            <w:vAlign w:val="center"/>
            <w:shd w:fill="F6F8FA"/>
            <w:tcMar>
              <w:top w:w="70" w:type="dxa"/>
              <w:bottom w:w="70" w:type="dxa"/>
              <w:left w:w="70" w:type="dxa"/>
              <w:right w:w="70" w:type="dxa"/>
            </w:tcMar>
          </w:tcPr>
          <w:p>
            <w:pPr>
              <w:spacing w:after="60" w:before="40" w:line="245" w:lineRule="auto"/>
            </w:pPr>
            <w:r>
              <w:rPr>
                <w:b w:val="0"/>
                <w:sz w:val="17"/>
              </w:rPr>
              <w:t>Reference to a connection description used by the access arrangement.</w:t>
            </w:r>
          </w:p>
        </w:tc>
        <w:tc>
          <w:tcPr>
            <w:tcW w:type="dxa" w:w="3370"/>
            <w:vAlign w:val="center"/>
            <w:shd w:fill="F6F8FA"/>
            <w:tcMar>
              <w:top w:w="70" w:type="dxa"/>
              <w:bottom w:w="70" w:type="dxa"/>
              <w:left w:w="70" w:type="dxa"/>
              <w:right w:w="70" w:type="dxa"/>
            </w:tcMar>
          </w:tcPr>
          <w:p>
            <w:pPr>
              <w:spacing w:after="60" w:before="40" w:line="245" w:lineRule="auto"/>
            </w:pPr>
            <w:r>
              <w:rPr>
                <w:b w:val="0"/>
                <w:sz w:val="17"/>
              </w:rPr>
              <w:t>authored — Profile binding of RFC 8345-derived links</w:t>
            </w:r>
          </w:p>
        </w:tc>
      </w:tr>
      <w:tr>
        <w:trPr>
          <w:cantSplit/>
        </w:trPr>
        <w:tc>
          <w:tcPr>
            <w:tcW w:type="dxa" w:w="2088"/>
            <w:vAlign w:val="center"/>
            <w:shd w:fill="FFFFFF"/>
            <w:tcMar>
              <w:top w:w="70" w:type="dxa"/>
              <w:bottom w:w="70" w:type="dxa"/>
              <w:left w:w="70" w:type="dxa"/>
              <w:right w:w="70" w:type="dxa"/>
            </w:tcMar>
          </w:tcPr>
          <w:p>
            <w:pPr>
              <w:spacing w:after="60" w:before="40" w:line="245" w:lineRule="auto"/>
            </w:pPr>
            <w:r>
              <w:rPr>
                <w:b w:val="0"/>
                <w:sz w:val="17"/>
              </w:rPr>
              <w:t>deployment-ref</w:t>
              <w:br/>
              <w:t>Text URI</w:t>
            </w:r>
          </w:p>
        </w:tc>
        <w:tc>
          <w:tcPr>
            <w:tcW w:type="dxa" w:w="4464"/>
            <w:vAlign w:val="center"/>
            <w:shd w:fill="FFFFFF"/>
            <w:tcMar>
              <w:top w:w="70" w:type="dxa"/>
              <w:bottom w:w="70" w:type="dxa"/>
              <w:left w:w="70" w:type="dxa"/>
              <w:right w:w="70" w:type="dxa"/>
            </w:tcMar>
          </w:tcPr>
          <w:p>
            <w:pPr>
              <w:spacing w:after="60" w:before="40" w:line="245" w:lineRule="auto"/>
            </w:pPr>
            <w:r>
              <w:rPr>
                <w:b w:val="0"/>
                <w:sz w:val="17"/>
              </w:rPr>
              <w:t>Deployment to which the group, record, or sample applies.</w:t>
            </w:r>
          </w:p>
        </w:tc>
        <w:tc>
          <w:tcPr>
            <w:tcW w:type="dxa" w:w="3370"/>
            <w:vAlign w:val="center"/>
            <w:shd w:fill="FFFFFF"/>
            <w:tcMar>
              <w:top w:w="70" w:type="dxa"/>
              <w:bottom w:w="70" w:type="dxa"/>
              <w:left w:w="70" w:type="dxa"/>
              <w:right w:w="70" w:type="dxa"/>
            </w:tcMar>
          </w:tcPr>
          <w:p>
            <w:pPr>
              <w:spacing w:after="60" w:before="40" w:line="245" w:lineRule="auto"/>
            </w:pPr>
            <w:r>
              <w:rPr>
                <w:b w:val="0"/>
                <w:sz w:val="17"/>
              </w:rPr>
              <w:t>authored-binding — OGC Deployment; profile cross-domain reference</w:t>
            </w:r>
          </w:p>
        </w:tc>
      </w:tr>
      <w:tr>
        <w:trPr>
          <w:cantSplit/>
        </w:trPr>
        <w:tc>
          <w:tcPr>
            <w:tcW w:type="dxa" w:w="2088"/>
            <w:vAlign w:val="center"/>
            <w:shd w:fill="F6F8FA"/>
            <w:tcMar>
              <w:top w:w="70" w:type="dxa"/>
              <w:bottom w:w="70" w:type="dxa"/>
              <w:left w:w="70" w:type="dxa"/>
              <w:right w:w="70" w:type="dxa"/>
            </w:tcMar>
          </w:tcPr>
          <w:p>
            <w:pPr>
              <w:spacing w:after="60" w:before="40" w:line="245" w:lineRule="auto"/>
            </w:pPr>
            <w:r>
              <w:rPr>
                <w:b w:val="0"/>
                <w:sz w:val="17"/>
              </w:rPr>
              <w:t>subject-ref</w:t>
              <w:br/>
              <w:t>Text URI</w:t>
            </w:r>
          </w:p>
        </w:tc>
        <w:tc>
          <w:tcPr>
            <w:tcW w:type="dxa" w:w="4464"/>
            <w:vAlign w:val="center"/>
            <w:shd w:fill="F6F8FA"/>
            <w:tcMar>
              <w:top w:w="70" w:type="dxa"/>
              <w:bottom w:w="70" w:type="dxa"/>
              <w:left w:w="70" w:type="dxa"/>
              <w:right w:w="70" w:type="dxa"/>
            </w:tcMar>
          </w:tcPr>
          <w:p>
            <w:pPr>
              <w:spacing w:after="60" w:before="40" w:line="245" w:lineRule="auto"/>
            </w:pPr>
            <w:r>
              <w:rPr>
                <w:b w:val="0"/>
                <w:sz w:val="17"/>
              </w:rPr>
              <w:t>Refinement identifying the owned subject within the feature of interest, where the subject is not separately exposed as a feature.</w:t>
            </w:r>
          </w:p>
        </w:tc>
        <w:tc>
          <w:tcPr>
            <w:tcW w:type="dxa" w:w="3370"/>
            <w:vAlign w:val="center"/>
            <w:shd w:fill="F6F8FA"/>
            <w:tcMar>
              <w:top w:w="70" w:type="dxa"/>
              <w:bottom w:w="70" w:type="dxa"/>
              <w:left w:w="70" w:type="dxa"/>
              <w:right w:w="70" w:type="dxa"/>
            </w:tcMar>
          </w:tcPr>
          <w:p>
            <w:pPr>
              <w:spacing w:after="60" w:before="40" w:line="245" w:lineRule="auto"/>
            </w:pPr>
            <w:r>
              <w:rPr>
                <w:b w:val="0"/>
                <w:sz w:val="17"/>
              </w:rPr>
              <w:t>authored — Profile observation-context binding</w:t>
            </w:r>
          </w:p>
        </w:tc>
      </w:tr>
      <w:tr>
        <w:trPr>
          <w:cantSplit/>
        </w:trPr>
        <w:tc>
          <w:tcPr>
            <w:tcW w:type="dxa" w:w="2088"/>
          </w:tcPr>
          <w:p>
            <w:r>
              <w:t>native-source-id</w:t>
              <w:br/>
              <w:t>Text</w:t>
            </w:r>
          </w:p>
        </w:tc>
        <w:tc>
          <w:tcPr>
            <w:tcW w:type="dxa" w:w="4464"/>
          </w:tcPr>
          <w:p>
            <w:r>
              <w:t>Native source’s own identifier for the reported sender or source entity; never automatically a physical System uniqueId.</w:t>
            </w:r>
          </w:p>
        </w:tc>
        <w:tc>
          <w:tcPr>
            <w:tcW w:type="dxa" w:w="3370"/>
          </w:tcPr>
          <w:p>
            <w:r>
              <w:t>R01/R15; MERLIN-authored interpretation informed by SAPIENT v2 node_id and ISA mediation.</w:t>
            </w:r>
          </w:p>
        </w:tc>
      </w:tr>
      <w:tr>
        <w:trPr>
          <w:cantSplit/>
        </w:trPr>
        <w:tc>
          <w:tcPr>
            <w:tcW w:type="dxa" w:w="2088"/>
          </w:tcPr>
          <w:p>
            <w:r>
              <w:t>native-entity-role</w:t>
              <w:br/>
              <w:t>Category</w:t>
            </w:r>
          </w:p>
        </w:tc>
        <w:tc>
          <w:tcPr>
            <w:tcW w:type="dxa" w:w="4464"/>
          </w:tcPr>
          <w:p>
            <w:r>
              <w:t>Role of the entity named by native-source-id, using the declared example code space.</w:t>
            </w:r>
          </w:p>
        </w:tc>
        <w:tc>
          <w:tcPr>
            <w:tcW w:type="dxa" w:w="3370"/>
          </w:tcPr>
          <w:p>
            <w:r>
              <w:t>R15; MERLIN-authored role qualifier; not a native BSI enumeration.</w:t>
            </w:r>
          </w:p>
        </w:tc>
      </w:tr>
      <w:tr>
        <w:trPr>
          <w:cantSplit/>
        </w:trPr>
        <w:tc>
          <w:tcPr>
            <w:tcW w:type="dxa" w:w="2088"/>
          </w:tcPr>
          <w:p>
            <w:r>
              <w:t>source-specification</w:t>
              <w:br/>
              <w:t>Text</w:t>
            </w:r>
          </w:p>
        </w:tc>
        <w:tc>
          <w:tcPr>
            <w:tcW w:type="dxa" w:w="4464"/>
          </w:tcPr>
          <w:p>
            <w:r>
              <w:t>Exact native information-model or interface specification and edition governing source identifier meaning.</w:t>
            </w:r>
          </w:p>
        </w:tc>
        <w:tc>
          <w:tcPr>
            <w:tcW w:type="dxa" w:w="3370"/>
          </w:tcPr>
          <w:p>
            <w:r>
              <w:t>R15; authored source-qualification field for honest edition pinning.</w:t>
            </w:r>
          </w:p>
        </w:tc>
      </w:tr>
      <w:tr>
        <w:trPr>
          <w:cantSplit/>
        </w:trPr>
        <w:tc>
          <w:tcPr>
            <w:tcW w:type="dxa" w:w="2088"/>
          </w:tcPr>
          <w:p>
            <w:r>
              <w:t>representing-adapter-ref</w:t>
              <w:br/>
              <w:t>Text URI</w:t>
            </w:r>
          </w:p>
        </w:tc>
        <w:tc>
          <w:tcPr>
            <w:tcW w:type="dxa" w:w="4464"/>
          </w:tcPr>
          <w:p>
            <w:r>
              <w:t>Identity URI of the adapter representing/publishing source information; not an equipment gateway or promised endpoint.</w:t>
            </w:r>
          </w:p>
        </w:tc>
        <w:tc>
          <w:tcPr>
            <w:tcW w:type="dxa" w:w="3370"/>
          </w:tcPr>
          <w:p>
            <w:r>
              <w:t>R15; MERLIN-authored provenance reference; no mandatory CSAPI resource or dereference claim.</w:t>
            </w:r>
          </w:p>
        </w:tc>
      </w:tr>
    </w:tbl>
    <w:p>
      <w:pPr>
        <w:pStyle w:val="Small"/>
        <w:widowControl/>
      </w:pPr>
      <w:r/>
    </w:p>
    <w:p>
      <w:pPr>
        <w:pStyle w:val="Heading3"/>
        <w:keepNext/>
        <w:pageBreakBefore/>
        <w:widowControl/>
      </w:pPr>
      <w:r>
        <w:t>Power, time and lifecycle</w:t>
      </w:r>
    </w:p>
    <w:tbl>
      <w:tblPr>
        <w:tblW w:type="auto" w:w="0"/>
        <w:jc w:val="center"/>
        <w:tblLayout w:type="fixed"/>
        <w:tblLook w:firstColumn="1" w:firstRow="1" w:lastColumn="0" w:lastRow="0" w:noHBand="0" w:noVBand="1" w:val="04A0"/>
      </w:tblPr>
      <w:tblGrid>
        <w:gridCol w:w="2088"/>
        <w:gridCol w:w="4464"/>
        <w:gridCol w:w="3370"/>
      </w:tblGrid>
      <w:tr>
        <w:trPr>
          <w:cantSplit/>
          <w:tblHeader/>
        </w:trPr>
        <w:tc>
          <w:tcPr>
            <w:tcW w:type="dxa" w:w="2088"/>
            <w:vAlign w:val="center"/>
            <w:shd w:fill="E7EEF2"/>
            <w:tcMar>
              <w:top w:w="70" w:type="dxa"/>
              <w:bottom w:w="70" w:type="dxa"/>
              <w:left w:w="70" w:type="dxa"/>
              <w:right w:w="70" w:type="dxa"/>
            </w:tcMar>
          </w:tcPr>
          <w:p>
            <w:pPr>
              <w:spacing w:after="60" w:before="40" w:line="245" w:lineRule="auto"/>
            </w:pPr>
            <w:r>
              <w:rPr>
                <w:b/>
                <w:sz w:val="17"/>
              </w:rPr>
              <w:t>Token under P/term/ and kind</w:t>
            </w:r>
          </w:p>
        </w:tc>
        <w:tc>
          <w:tcPr>
            <w:tcW w:type="dxa" w:w="4464"/>
            <w:vAlign w:val="center"/>
            <w:shd w:fill="E7EEF2"/>
            <w:tcMar>
              <w:top w:w="70" w:type="dxa"/>
              <w:bottom w:w="70" w:type="dxa"/>
              <w:left w:w="70" w:type="dxa"/>
              <w:right w:w="70" w:type="dxa"/>
            </w:tcMar>
          </w:tcPr>
          <w:p>
            <w:pPr>
              <w:spacing w:after="60" w:before="40" w:line="245" w:lineRule="auto"/>
            </w:pPr>
            <w:r>
              <w:rPr>
                <w:b/>
                <w:sz w:val="17"/>
              </w:rPr>
              <w:t>Meaning used by this draft</w:t>
            </w:r>
          </w:p>
        </w:tc>
        <w:tc>
          <w:tcPr>
            <w:tcW w:type="dxa" w:w="3370"/>
            <w:vAlign w:val="center"/>
            <w:shd w:fill="E7EEF2"/>
            <w:tcMar>
              <w:top w:w="70" w:type="dxa"/>
              <w:bottom w:w="70" w:type="dxa"/>
              <w:left w:w="70" w:type="dxa"/>
              <w:right w:w="70" w:type="dxa"/>
            </w:tcMar>
          </w:tcPr>
          <w:p>
            <w:pPr>
              <w:spacing w:after="60" w:before="40" w:line="245" w:lineRule="auto"/>
            </w:pPr>
            <w:r>
              <w:rPr>
                <w:b/>
                <w:sz w:val="17"/>
              </w:rPr>
              <w:t>Source / authored responsibility</w:t>
            </w:r>
          </w:p>
        </w:tc>
      </w:tr>
      <w:tr>
        <w:trPr>
          <w:cantSplit/>
        </w:trPr>
        <w:tc>
          <w:tcPr>
            <w:tcW w:type="dxa" w:w="2088"/>
            <w:vAlign w:val="center"/>
            <w:shd w:fill="FFFFFF"/>
            <w:tcMar>
              <w:top w:w="70" w:type="dxa"/>
              <w:bottom w:w="70" w:type="dxa"/>
              <w:left w:w="70" w:type="dxa"/>
              <w:right w:w="70" w:type="dxa"/>
            </w:tcMar>
          </w:tcPr>
          <w:p>
            <w:r>
              <w:t>relationship-subject-ref / Text URI</w:t>
            </w:r>
          </w:p>
        </w:tc>
        <w:tc>
          <w:tcPr>
            <w:tcW w:type="dxa" w:w="4464"/>
            <w:vAlign w:val="center"/>
            <w:shd w:fill="FFFFFF"/>
            <w:tcMar>
              <w:top w:w="70" w:type="dxa"/>
              <w:bottom w:w="70" w:type="dxa"/>
              <w:left w:w="70" w:type="dxa"/>
              <w:right w:w="70" w:type="dxa"/>
            </w:tcMar>
          </w:tcPr>
          <w:p>
            <w:r>
              <w:t>Identified supplying, metering or aggregating subject in the declared directed relationship.</w:t>
            </w:r>
          </w:p>
        </w:tc>
        <w:tc>
          <w:tcPr>
            <w:tcW w:type="dxa" w:w="3370"/>
            <w:vAlign w:val="center"/>
            <w:shd w:fill="FFFFFF"/>
            <w:tcMar>
              <w:top w:w="70" w:type="dxa"/>
              <w:bottom w:w="70" w:type="dxa"/>
              <w:left w:w="70" w:type="dxa"/>
              <w:right w:w="70" w:type="dxa"/>
            </w:tcMar>
          </w:tcPr>
          <w:p>
            <w:r>
              <w:t>authored binding — RFC 7326 §6.6 meaning; OGC owner/embedded-ref carrier chosen by MERLIN</w:t>
            </w:r>
          </w:p>
        </w:tc>
      </w:tr>
      <w:tr>
        <w:trPr>
          <w:cantSplit/>
        </w:trPr>
        <w:tc>
          <w:tcPr>
            <w:tcW w:type="dxa" w:w="2088"/>
            <w:vAlign w:val="center"/>
            <w:shd w:fill="F6F8FA"/>
            <w:tcMar>
              <w:top w:w="70" w:type="dxa"/>
              <w:bottom w:w="70" w:type="dxa"/>
              <w:left w:w="70" w:type="dxa"/>
              <w:right w:w="70" w:type="dxa"/>
            </w:tcMar>
          </w:tcPr>
          <w:p>
            <w:r>
              <w:t>energy-relationship-kind / Category</w:t>
            </w:r>
          </w:p>
        </w:tc>
        <w:tc>
          <w:tcPr>
            <w:tcW w:type="dxa" w:w="4464"/>
            <w:vAlign w:val="center"/>
            <w:shd w:fill="F6F8FA"/>
            <w:tcMar>
              <w:top w:w="70" w:type="dxa"/>
              <w:bottom w:w="70" w:type="dxa"/>
              <w:left w:w="70" w:type="dxa"/>
              <w:right w:w="70" w:type="dxa"/>
            </w:tcMar>
          </w:tcPr>
          <w:p>
            <w:r>
              <w:t>Directed energy relationship kind: powers, meters or aggregates in a MERLIN-defined code space.</w:t>
            </w:r>
          </w:p>
        </w:tc>
        <w:tc>
          <w:tcPr>
            <w:tcW w:type="dxa" w:w="3370"/>
            <w:vAlign w:val="center"/>
            <w:shd w:fill="F6F8FA"/>
            <w:tcMar>
              <w:top w:w="70" w:type="dxa"/>
              <w:bottom w:w="70" w:type="dxa"/>
              <w:left w:w="70" w:type="dxa"/>
              <w:right w:w="70" w:type="dxa"/>
            </w:tcMar>
          </w:tcPr>
          <w:p>
            <w:r>
              <w:t>authored binding — RFC 7326 §§6.2, 6.6 supplies meaning; codeSpace locally defined</w:t>
            </w:r>
          </w:p>
        </w:tc>
      </w:tr>
      <w:tr>
        <w:trPr>
          <w:cantSplit/>
        </w:trPr>
        <w:tc>
          <w:tcPr>
            <w:tcW w:type="dxa" w:w="2088"/>
            <w:vAlign w:val="center"/>
            <w:shd w:fill="FFFFFF"/>
            <w:tcMar>
              <w:top w:w="70" w:type="dxa"/>
              <w:bottom w:w="70" w:type="dxa"/>
              <w:left w:w="70" w:type="dxa"/>
              <w:right w:w="70" w:type="dxa"/>
            </w:tcMar>
          </w:tcPr>
          <w:p>
            <w:r>
              <w:t>relationship-object-ref / Text URI</w:t>
            </w:r>
          </w:p>
        </w:tc>
        <w:tc>
          <w:tcPr>
            <w:tcW w:type="dxa" w:w="4464"/>
            <w:vAlign w:val="center"/>
            <w:shd w:fill="FFFFFF"/>
            <w:tcMar>
              <w:top w:w="70" w:type="dxa"/>
              <w:bottom w:w="70" w:type="dxa"/>
              <w:left w:w="70" w:type="dxa"/>
              <w:right w:w="70" w:type="dxa"/>
            </w:tcMar>
          </w:tcPr>
          <w:p>
            <w:r>
              <w:t>Identified target or measured/aggregated subject, as appropriate for the declared relationship kind.</w:t>
            </w:r>
          </w:p>
        </w:tc>
        <w:tc>
          <w:tcPr>
            <w:tcW w:type="dxa" w:w="3370"/>
            <w:vAlign w:val="center"/>
            <w:shd w:fill="FFFFFF"/>
            <w:tcMar>
              <w:top w:w="70" w:type="dxa"/>
              <w:bottom w:w="70" w:type="dxa"/>
              <w:left w:w="70" w:type="dxa"/>
              <w:right w:w="70" w:type="dxa"/>
            </w:tcMar>
          </w:tcPr>
          <w:p>
            <w:r>
              <w:t>authored binding — RFC 7326 energy-related subjects; OGC reference model chosen by MERLIN</w:t>
            </w:r>
          </w:p>
        </w:tc>
      </w:tr>
      <w:tr>
        <w:trPr>
          <w:cantSplit/>
        </w:trPr>
        <w:tc>
          <w:tcPr>
            <w:tcW w:type="dxa" w:w="2088"/>
            <w:vAlign w:val="center"/>
            <w:shd w:fill="F6F8FA"/>
            <w:tcMar>
              <w:top w:w="70" w:type="dxa"/>
              <w:bottom w:w="70" w:type="dxa"/>
              <w:left w:w="70" w:type="dxa"/>
              <w:right w:w="70" w:type="dxa"/>
            </w:tcMar>
          </w:tcPr>
          <w:p>
            <w:pPr>
              <w:spacing w:after="60" w:before="40" w:line="245" w:lineRule="auto"/>
            </w:pPr>
            <w:r>
              <w:rPr>
                <w:b w:val="0"/>
                <w:sz w:val="17"/>
              </w:rPr>
              <w:t>effective-from</w:t>
              <w:br/>
              <w:t>Time ISO-8601</w:t>
            </w:r>
          </w:p>
        </w:tc>
        <w:tc>
          <w:tcPr>
            <w:tcW w:type="dxa" w:w="4464"/>
            <w:vAlign w:val="center"/>
            <w:shd w:fill="F6F8FA"/>
            <w:tcMar>
              <w:top w:w="70" w:type="dxa"/>
              <w:bottom w:w="70" w:type="dxa"/>
              <w:left w:w="70" w:type="dxa"/>
              <w:right w:w="70" w:type="dxa"/>
            </w:tcMar>
          </w:tcPr>
          <w:p>
            <w:pPr>
              <w:spacing w:after="60" w:before="40" w:line="245" w:lineRule="auto"/>
            </w:pPr>
            <w:r>
              <w:rPr>
                <w:b w:val="0"/>
                <w:sz w:val="17"/>
              </w:rPr>
              <w:t>Inclusive start of the applicability of this profile-owned relationship assertion.</w:t>
            </w:r>
          </w:p>
        </w:tc>
        <w:tc>
          <w:tcPr>
            <w:tcW w:type="dxa" w:w="3370"/>
            <w:vAlign w:val="center"/>
            <w:shd w:fill="F6F8FA"/>
            <w:tcMar>
              <w:top w:w="70" w:type="dxa"/>
              <w:bottom w:w="70" w:type="dxa"/>
              <w:left w:w="70" w:type="dxa"/>
              <w:right w:w="70" w:type="dxa"/>
            </w:tcMar>
          </w:tcPr>
          <w:p>
            <w:pPr>
              <w:spacing w:after="60" w:before="40" w:line="245" w:lineRule="auto"/>
            </w:pPr>
            <w:r>
              <w:rPr>
                <w:b w:val="0"/>
                <w:sz w:val="17"/>
              </w:rPr>
              <w:t>authored — Authored temporal binding; not a redefinition of base validTime</w:t>
            </w:r>
          </w:p>
        </w:tc>
      </w:tr>
      <w:tr>
        <w:trPr>
          <w:cantSplit/>
        </w:trPr>
        <w:tc>
          <w:tcPr>
            <w:tcW w:type="dxa" w:w="2088"/>
            <w:vAlign w:val="center"/>
            <w:shd w:fill="FFFFFF"/>
            <w:tcMar>
              <w:top w:w="70" w:type="dxa"/>
              <w:bottom w:w="70" w:type="dxa"/>
              <w:left w:w="70" w:type="dxa"/>
              <w:right w:w="70" w:type="dxa"/>
            </w:tcMar>
          </w:tcPr>
          <w:p>
            <w:pPr>
              <w:spacing w:after="60" w:before="40" w:line="245" w:lineRule="auto"/>
            </w:pPr>
            <w:r>
              <w:rPr>
                <w:b w:val="0"/>
                <w:sz w:val="17"/>
              </w:rPr>
              <w:t>effective-until</w:t>
              <w:br/>
              <w:t>Time ISO-8601</w:t>
            </w:r>
          </w:p>
        </w:tc>
        <w:tc>
          <w:tcPr>
            <w:tcW w:type="dxa" w:w="4464"/>
            <w:vAlign w:val="center"/>
            <w:shd w:fill="FFFFFF"/>
            <w:tcMar>
              <w:top w:w="70" w:type="dxa"/>
              <w:bottom w:w="70" w:type="dxa"/>
              <w:left w:w="70" w:type="dxa"/>
              <w:right w:w="70" w:type="dxa"/>
            </w:tcMar>
          </w:tcPr>
          <w:p>
            <w:pPr>
              <w:spacing w:after="60" w:before="40" w:line="245" w:lineRule="auto"/>
            </w:pPr>
            <w:r>
              <w:rPr>
                <w:b w:val="0"/>
                <w:sz w:val="17"/>
              </w:rPr>
              <w:t>Exclusive end of the applicability of this profile-owned relationship assertion. Omit when no end is specified.</w:t>
            </w:r>
          </w:p>
        </w:tc>
        <w:tc>
          <w:tcPr>
            <w:tcW w:type="dxa" w:w="3370"/>
            <w:vAlign w:val="center"/>
            <w:shd w:fill="FFFFFF"/>
            <w:tcMar>
              <w:top w:w="70" w:type="dxa"/>
              <w:bottom w:w="70" w:type="dxa"/>
              <w:left w:w="70" w:type="dxa"/>
              <w:right w:w="70" w:type="dxa"/>
            </w:tcMar>
          </w:tcPr>
          <w:p>
            <w:pPr>
              <w:spacing w:after="60" w:before="40" w:line="245" w:lineRule="auto"/>
            </w:pPr>
            <w:r>
              <w:rPr>
                <w:b w:val="0"/>
                <w:sz w:val="17"/>
              </w:rPr>
              <w:t>authored — Authored temporal binding; not a redefinition of base validTime</w:t>
            </w:r>
          </w:p>
        </w:tc>
      </w:tr>
      <w:tr>
        <w:trPr>
          <w:cantSplit/>
        </w:trPr>
        <w:tc>
          <w:tcPr>
            <w:tcW w:type="dxa" w:w="2088"/>
            <w:vAlign w:val="center"/>
            <w:shd w:fill="F6F8FA"/>
            <w:tcMar>
              <w:top w:w="70" w:type="dxa"/>
              <w:bottom w:w="70" w:type="dxa"/>
              <w:left w:w="70" w:type="dxa"/>
              <w:right w:w="70" w:type="dxa"/>
            </w:tcMar>
          </w:tcPr>
          <w:p>
            <w:pPr>
              <w:spacing w:after="60" w:before="40" w:line="245" w:lineRule="auto"/>
            </w:pPr>
            <w:r>
              <w:rPr>
                <w:b w:val="0"/>
                <w:sz w:val="17"/>
              </w:rPr>
              <w:t>affected-subject-ref</w:t>
              <w:br/>
              <w:t>Text URI</w:t>
            </w:r>
          </w:p>
        </w:tc>
        <w:tc>
          <w:tcPr>
            <w:tcW w:type="dxa" w:w="4464"/>
            <w:vAlign w:val="center"/>
            <w:shd w:fill="F6F8FA"/>
            <w:tcMar>
              <w:top w:w="70" w:type="dxa"/>
              <w:bottom w:w="70" w:type="dxa"/>
              <w:left w:w="70" w:type="dxa"/>
              <w:right w:w="70" w:type="dxa"/>
            </w:tcMar>
          </w:tcPr>
          <w:p>
            <w:pPr>
              <w:spacing w:after="60" w:before="40" w:line="245" w:lineRule="auto"/>
            </w:pPr>
            <w:r>
              <w:rPr>
                <w:b w:val="0"/>
                <w:sz w:val="17"/>
              </w:rPr>
              <w:t>Equipment or owned subject affected by the event.</w:t>
            </w:r>
          </w:p>
        </w:tc>
        <w:tc>
          <w:tcPr>
            <w:tcW w:type="dxa" w:w="3370"/>
            <w:vAlign w:val="center"/>
            <w:shd w:fill="F6F8FA"/>
            <w:tcMar>
              <w:top w:w="70" w:type="dxa"/>
              <w:bottom w:w="70" w:type="dxa"/>
              <w:left w:w="70" w:type="dxa"/>
              <w:right w:w="70" w:type="dxa"/>
            </w:tcMar>
          </w:tcPr>
          <w:p>
            <w:pPr>
              <w:spacing w:after="60" w:before="40" w:line="245" w:lineRule="auto"/>
            </w:pPr>
            <w:r>
              <w:rPr>
                <w:b w:val="0"/>
                <w:sz w:val="17"/>
              </w:rPr>
              <w:t>authored-binding — SensorML Event; MIMOSA asset-event pattern</w:t>
            </w:r>
          </w:p>
        </w:tc>
      </w:tr>
      <w:tr>
        <w:trPr>
          <w:cantSplit/>
        </w:trPr>
        <w:tc>
          <w:tcPr>
            <w:tcW w:type="dxa" w:w="2088"/>
            <w:vAlign w:val="center"/>
            <w:shd w:fill="FFFFFF"/>
            <w:tcMar>
              <w:top w:w="70" w:type="dxa"/>
              <w:bottom w:w="70" w:type="dxa"/>
              <w:left w:w="70" w:type="dxa"/>
              <w:right w:w="70" w:type="dxa"/>
            </w:tcMar>
          </w:tcPr>
          <w:p>
            <w:pPr>
              <w:spacing w:after="60" w:before="40" w:line="245" w:lineRule="auto"/>
            </w:pPr>
            <w:r>
              <w:rPr>
                <w:b w:val="0"/>
                <w:sz w:val="17"/>
              </w:rPr>
              <w:t>replaced-subject-ref</w:t>
              <w:br/>
              <w:t>Text URI</w:t>
            </w:r>
          </w:p>
        </w:tc>
        <w:tc>
          <w:tcPr>
            <w:tcW w:type="dxa" w:w="4464"/>
            <w:vAlign w:val="center"/>
            <w:shd w:fill="FFFFFF"/>
            <w:tcMar>
              <w:top w:w="70" w:type="dxa"/>
              <w:bottom w:w="70" w:type="dxa"/>
              <w:left w:w="70" w:type="dxa"/>
              <w:right w:w="70" w:type="dxa"/>
            </w:tcMar>
          </w:tcPr>
          <w:p>
            <w:pPr>
              <w:spacing w:after="60" w:before="40" w:line="245" w:lineRule="auto"/>
            </w:pPr>
            <w:r>
              <w:rPr>
                <w:b w:val="0"/>
                <w:sz w:val="17"/>
              </w:rPr>
              <w:t>Equipment or power source removed in this particular replacement event.</w:t>
            </w:r>
          </w:p>
        </w:tc>
        <w:tc>
          <w:tcPr>
            <w:tcW w:type="dxa" w:w="3370"/>
            <w:vAlign w:val="center"/>
            <w:shd w:fill="FFFFFF"/>
            <w:tcMar>
              <w:top w:w="70" w:type="dxa"/>
              <w:bottom w:w="70" w:type="dxa"/>
              <w:left w:w="70" w:type="dxa"/>
              <w:right w:w="70" w:type="dxa"/>
            </w:tcMar>
          </w:tcPr>
          <w:p>
            <w:pPr>
              <w:spacing w:after="60" w:before="40" w:line="245" w:lineRule="auto"/>
            </w:pPr>
            <w:r>
              <w:rPr>
                <w:b w:val="0"/>
                <w:sz w:val="17"/>
              </w:rPr>
              <w:t>authored — MIMOSA installation/removal pattern; profile role</w:t>
            </w:r>
          </w:p>
        </w:tc>
      </w:tr>
      <w:tr>
        <w:trPr>
          <w:cantSplit/>
        </w:trPr>
        <w:tc>
          <w:tcPr>
            <w:tcW w:type="dxa" w:w="2088"/>
            <w:vAlign w:val="center"/>
            <w:shd w:fill="F6F8FA"/>
            <w:tcMar>
              <w:top w:w="70" w:type="dxa"/>
              <w:bottom w:w="70" w:type="dxa"/>
              <w:left w:w="70" w:type="dxa"/>
              <w:right w:w="70" w:type="dxa"/>
            </w:tcMar>
          </w:tcPr>
          <w:p>
            <w:pPr>
              <w:spacing w:after="60" w:before="40" w:line="245" w:lineRule="auto"/>
            </w:pPr>
            <w:r>
              <w:rPr>
                <w:b w:val="0"/>
                <w:sz w:val="17"/>
              </w:rPr>
              <w:t>replacement-subject-ref</w:t>
              <w:br/>
              <w:t>Text URI</w:t>
            </w:r>
          </w:p>
        </w:tc>
        <w:tc>
          <w:tcPr>
            <w:tcW w:type="dxa" w:w="4464"/>
            <w:vAlign w:val="center"/>
            <w:shd w:fill="F6F8FA"/>
            <w:tcMar>
              <w:top w:w="70" w:type="dxa"/>
              <w:bottom w:w="70" w:type="dxa"/>
              <w:left w:w="70" w:type="dxa"/>
              <w:right w:w="70" w:type="dxa"/>
            </w:tcMar>
          </w:tcPr>
          <w:p>
            <w:pPr>
              <w:spacing w:after="60" w:before="40" w:line="245" w:lineRule="auto"/>
            </w:pPr>
            <w:r>
              <w:rPr>
                <w:b w:val="0"/>
                <w:sz w:val="17"/>
              </w:rPr>
              <w:t>Equipment or power source installed in this particular replacement event.</w:t>
            </w:r>
          </w:p>
        </w:tc>
        <w:tc>
          <w:tcPr>
            <w:tcW w:type="dxa" w:w="3370"/>
            <w:vAlign w:val="center"/>
            <w:shd w:fill="F6F8FA"/>
            <w:tcMar>
              <w:top w:w="70" w:type="dxa"/>
              <w:bottom w:w="70" w:type="dxa"/>
              <w:left w:w="70" w:type="dxa"/>
              <w:right w:w="70" w:type="dxa"/>
            </w:tcMar>
          </w:tcPr>
          <w:p>
            <w:pPr>
              <w:spacing w:after="60" w:before="40" w:line="245" w:lineRule="auto"/>
            </w:pPr>
            <w:r>
              <w:rPr>
                <w:b w:val="0"/>
                <w:sz w:val="17"/>
              </w:rPr>
              <w:t>authored — MIMOSA installation/removal pattern; profile role</w:t>
            </w:r>
          </w:p>
        </w:tc>
      </w:tr>
      <w:tr>
        <w:trPr>
          <w:cantSplit/>
        </w:trPr>
        <w:tc>
          <w:tcPr>
            <w:tcW w:type="dxa" w:w="2088"/>
            <w:vAlign w:val="center"/>
            <w:shd w:fill="FFFFFF"/>
            <w:tcMar>
              <w:top w:w="70" w:type="dxa"/>
              <w:bottom w:w="70" w:type="dxa"/>
              <w:left w:w="70" w:type="dxa"/>
              <w:right w:w="70" w:type="dxa"/>
            </w:tcMar>
          </w:tcPr>
          <w:p>
            <w:pPr>
              <w:spacing w:after="60" w:before="40" w:line="245" w:lineRule="auto"/>
            </w:pPr>
            <w:r>
              <w:rPr>
                <w:b w:val="0"/>
                <w:sz w:val="17"/>
              </w:rPr>
              <w:t>evidence-ref</w:t>
              <w:br/>
              <w:t>Text URI</w:t>
            </w:r>
          </w:p>
        </w:tc>
        <w:tc>
          <w:tcPr>
            <w:tcW w:type="dxa" w:w="4464"/>
            <w:vAlign w:val="center"/>
            <w:shd w:fill="FFFFFF"/>
            <w:tcMar>
              <w:top w:w="70" w:type="dxa"/>
              <w:bottom w:w="70" w:type="dxa"/>
              <w:left w:w="70" w:type="dxa"/>
              <w:right w:w="70" w:type="dxa"/>
            </w:tcMar>
          </w:tcPr>
          <w:p>
            <w:pPr>
              <w:spacing w:after="60" w:before="40" w:line="245" w:lineRule="auto"/>
            </w:pPr>
            <w:r>
              <w:rPr>
                <w:b w:val="0"/>
                <w:sz w:val="17"/>
              </w:rPr>
              <w:t>Reference to an observation, event, or document supporting the stated assessment.</w:t>
            </w:r>
          </w:p>
        </w:tc>
        <w:tc>
          <w:tcPr>
            <w:tcW w:type="dxa" w:w="3370"/>
            <w:vAlign w:val="center"/>
            <w:shd w:fill="FFFFFF"/>
            <w:tcMar>
              <w:top w:w="70" w:type="dxa"/>
              <w:bottom w:w="70" w:type="dxa"/>
              <w:left w:w="70" w:type="dxa"/>
              <w:right w:w="70" w:type="dxa"/>
            </w:tcMar>
          </w:tcPr>
          <w:p>
            <w:pPr>
              <w:spacing w:after="60" w:before="40" w:line="245" w:lineRule="auto"/>
            </w:pPr>
            <w:r>
              <w:rPr>
                <w:b w:val="0"/>
                <w:sz w:val="17"/>
              </w:rPr>
              <w:t>authored-binding — CCOM assessments / evidence; profile binding</w:t>
            </w:r>
          </w:p>
        </w:tc>
      </w:tr>
      <w:tr>
        <w:trPr>
          <w:cantSplit/>
        </w:trPr>
        <w:tc>
          <w:tcPr>
            <w:tcW w:type="dxa" w:w="2088"/>
            <w:vAlign w:val="center"/>
            <w:shd w:fill="F6F8FA"/>
            <w:tcMar>
              <w:top w:w="70" w:type="dxa"/>
              <w:bottom w:w="70" w:type="dxa"/>
              <w:left w:w="70" w:type="dxa"/>
              <w:right w:w="70" w:type="dxa"/>
            </w:tcMar>
          </w:tcPr>
          <w:p>
            <w:pPr>
              <w:spacing w:after="60" w:before="40" w:line="245" w:lineRule="auto"/>
            </w:pPr>
            <w:r>
              <w:rPr>
                <w:b w:val="0"/>
                <w:sz w:val="17"/>
              </w:rPr>
              <w:t>assessment-finding</w:t>
              <w:br/>
              <w:t>Text</w:t>
            </w:r>
          </w:p>
        </w:tc>
        <w:tc>
          <w:tcPr>
            <w:tcW w:type="dxa" w:w="4464"/>
            <w:vAlign w:val="center"/>
            <w:shd w:fill="F6F8FA"/>
            <w:tcMar>
              <w:top w:w="70" w:type="dxa"/>
              <w:bottom w:w="70" w:type="dxa"/>
              <w:left w:w="70" w:type="dxa"/>
              <w:right w:w="70" w:type="dxa"/>
            </w:tcMar>
          </w:tcPr>
          <w:p>
            <w:r>
              <w:t>Finding from a qualifying measured or method-derived equipment condition Observation; not an administrative review or universal readiness claim.</w:t>
            </w:r>
          </w:p>
        </w:tc>
        <w:tc>
          <w:tcPr>
            <w:tcW w:type="dxa" w:w="3370"/>
            <w:vAlign w:val="center"/>
            <w:shd w:fill="F6F8FA"/>
            <w:tcMar>
              <w:top w:w="70" w:type="dxa"/>
              <w:bottom w:w="70" w:type="dxa"/>
              <w:left w:w="70" w:type="dxa"/>
              <w:right w:w="70" w:type="dxa"/>
            </w:tcMar>
          </w:tcPr>
          <w:p>
            <w:r>
              <w:t>authored — CCOM assessment precedent and OMS 3.0 observation-admission distinction</w:t>
            </w:r>
          </w:p>
        </w:tc>
      </w:tr>
      <w:tr>
        <w:trPr>
          <w:cantSplit/>
        </w:trPr>
        <w:tc>
          <w:tcPr>
            <w:tcW w:type="dxa" w:w="2088"/>
            <w:vAlign w:val="center"/>
            <w:shd w:fill="FFFFFF"/>
            <w:tcMar>
              <w:top w:w="70" w:type="dxa"/>
              <w:bottom w:w="70" w:type="dxa"/>
              <w:left w:w="70" w:type="dxa"/>
              <w:right w:w="70" w:type="dxa"/>
            </w:tcMar>
          </w:tcPr>
          <w:p>
            <w:pPr>
              <w:spacing w:after="60" w:before="40" w:line="245" w:lineRule="auto"/>
            </w:pPr>
            <w:r>
              <w:rPr>
                <w:b w:val="0"/>
                <w:sz w:val="17"/>
              </w:rPr>
              <w:t>deployment-purpose</w:t>
              <w:br/>
              <w:t>Category</w:t>
            </w:r>
          </w:p>
        </w:tc>
        <w:tc>
          <w:tcPr>
            <w:tcW w:type="dxa" w:w="4464"/>
            <w:vAlign w:val="center"/>
            <w:shd w:fill="FFFFFF"/>
            <w:tcMar>
              <w:top w:w="70" w:type="dxa"/>
              <w:bottom w:w="70" w:type="dxa"/>
              <w:left w:w="70" w:type="dxa"/>
              <w:right w:w="70" w:type="dxa"/>
            </w:tcMar>
          </w:tcPr>
          <w:p>
            <w:pPr>
              <w:spacing w:after="60" w:before="40" w:line="245" w:lineRule="auto"/>
            </w:pPr>
            <w:r>
              <w:rPr>
                <w:b w:val="0"/>
                <w:sz w:val="17"/>
              </w:rPr>
              <w:t>Purpose of this employment from a selected family vocabulary.</w:t>
            </w:r>
          </w:p>
        </w:tc>
        <w:tc>
          <w:tcPr>
            <w:tcW w:type="dxa" w:w="3370"/>
            <w:vAlign w:val="center"/>
            <w:shd w:fill="FFFFFF"/>
            <w:tcMar>
              <w:top w:w="70" w:type="dxa"/>
              <w:bottom w:w="70" w:type="dxa"/>
              <w:left w:w="70" w:type="dxa"/>
              <w:right w:w="70" w:type="dxa"/>
            </w:tcMar>
          </w:tcPr>
          <w:p>
            <w:pPr>
              <w:spacing w:after="60" w:before="40" w:line="245" w:lineRule="auto"/>
            </w:pPr>
            <w:r>
              <w:rPr>
                <w:b w:val="0"/>
                <w:sz w:val="17"/>
              </w:rPr>
              <w:t>authored — SensorML Deployment; authored purpose code space</w:t>
            </w:r>
          </w:p>
        </w:tc>
      </w:tr>
    </w:tbl>
    <w:p>
      <w:pPr>
        <w:pStyle w:val="Small"/>
        <w:widowControl/>
      </w:pPr>
      <w:r/>
    </w:p>
    <w:p>
      <w:pPr>
        <w:pStyle w:val="Heading3"/>
        <w:keepNext/>
        <w:pageBreakBefore/>
        <w:widowControl/>
      </w:pPr>
      <w:r>
        <w:t>Example-only quantities and result values</w:t>
      </w:r>
    </w:p>
    <w:tbl>
      <w:tblPr>
        <w:tblW w:type="auto" w:w="0"/>
        <w:jc w:val="center"/>
        <w:tblLayout w:type="fixed"/>
        <w:tblLook w:firstColumn="1" w:firstRow="1" w:lastColumn="0" w:lastRow="0" w:noHBand="0" w:noVBand="1" w:val="04A0"/>
      </w:tblPr>
      <w:tblGrid>
        <w:gridCol w:w="2088"/>
        <w:gridCol w:w="4464"/>
        <w:gridCol w:w="3370"/>
      </w:tblGrid>
      <w:tr>
        <w:trPr>
          <w:cantSplit/>
          <w:tblHeader/>
        </w:trPr>
        <w:tc>
          <w:tcPr>
            <w:tcW w:type="dxa" w:w="2088"/>
            <w:vAlign w:val="center"/>
            <w:shd w:fill="E7EEF2"/>
            <w:tcMar>
              <w:top w:w="70" w:type="dxa"/>
              <w:bottom w:w="70" w:type="dxa"/>
              <w:left w:w="70" w:type="dxa"/>
              <w:right w:w="70" w:type="dxa"/>
            </w:tcMar>
          </w:tcPr>
          <w:p>
            <w:pPr>
              <w:spacing w:after="60" w:before="40" w:line="245" w:lineRule="auto"/>
            </w:pPr>
            <w:r>
              <w:rPr>
                <w:b/>
                <w:sz w:val="17"/>
              </w:rPr>
              <w:t>Token under P/term/ and kind</w:t>
            </w:r>
          </w:p>
        </w:tc>
        <w:tc>
          <w:tcPr>
            <w:tcW w:type="dxa" w:w="4464"/>
            <w:vAlign w:val="center"/>
            <w:shd w:fill="E7EEF2"/>
            <w:tcMar>
              <w:top w:w="70" w:type="dxa"/>
              <w:bottom w:w="70" w:type="dxa"/>
              <w:left w:w="70" w:type="dxa"/>
              <w:right w:w="70" w:type="dxa"/>
            </w:tcMar>
          </w:tcPr>
          <w:p>
            <w:pPr>
              <w:spacing w:after="60" w:before="40" w:line="245" w:lineRule="auto"/>
            </w:pPr>
            <w:r>
              <w:rPr>
                <w:b/>
                <w:sz w:val="17"/>
              </w:rPr>
              <w:t>Meaning used by this draft</w:t>
            </w:r>
          </w:p>
        </w:tc>
        <w:tc>
          <w:tcPr>
            <w:tcW w:type="dxa" w:w="3370"/>
            <w:vAlign w:val="center"/>
            <w:shd w:fill="E7EEF2"/>
            <w:tcMar>
              <w:top w:w="70" w:type="dxa"/>
              <w:bottom w:w="70" w:type="dxa"/>
              <w:left w:w="70" w:type="dxa"/>
              <w:right w:w="70" w:type="dxa"/>
            </w:tcMar>
          </w:tcPr>
          <w:p>
            <w:pPr>
              <w:spacing w:after="60" w:before="40" w:line="245" w:lineRule="auto"/>
            </w:pPr>
            <w:r>
              <w:rPr>
                <w:b/>
                <w:sz w:val="17"/>
              </w:rPr>
              <w:t>Source / authored responsibility</w:t>
            </w:r>
          </w:p>
        </w:tc>
      </w:tr>
      <w:tr>
        <w:trPr>
          <w:cantSplit/>
        </w:trPr>
        <w:tc>
          <w:tcPr>
            <w:tcW w:type="dxa" w:w="2088"/>
            <w:vAlign w:val="center"/>
            <w:shd w:fill="FFFFFF"/>
            <w:tcMar>
              <w:top w:w="70" w:type="dxa"/>
              <w:bottom w:w="70" w:type="dxa"/>
              <w:left w:w="70" w:type="dxa"/>
              <w:right w:w="70" w:type="dxa"/>
            </w:tcMar>
          </w:tcPr>
          <w:p>
            <w:pPr>
              <w:spacing w:after="60" w:before="40" w:line="245" w:lineRule="auto"/>
            </w:pPr>
            <w:r>
              <w:rPr>
                <w:b w:val="0"/>
                <w:sz w:val="17"/>
              </w:rPr>
              <w:t>air-temperature</w:t>
              <w:br/>
              <w:t>Quantity Cel</w:t>
            </w:r>
          </w:p>
        </w:tc>
        <w:tc>
          <w:tcPr>
            <w:tcW w:type="dxa" w:w="4464"/>
            <w:vAlign w:val="center"/>
            <w:shd w:fill="FFFFFF"/>
            <w:tcMar>
              <w:top w:w="70" w:type="dxa"/>
              <w:bottom w:w="70" w:type="dxa"/>
              <w:left w:w="70" w:type="dxa"/>
              <w:right w:w="70" w:type="dxa"/>
            </w:tcMar>
          </w:tcPr>
          <w:p>
            <w:pPr>
              <w:spacing w:after="60" w:before="40" w:line="245" w:lineRule="auto"/>
            </w:pPr>
            <w:r>
              <w:rPr>
                <w:b w:val="0"/>
                <w:sz w:val="17"/>
              </w:rPr>
              <w:t>Air temperature at the identified observation subject; used only as a defined illustrative quantity in this package.</w:t>
            </w:r>
          </w:p>
        </w:tc>
        <w:tc>
          <w:tcPr>
            <w:tcW w:type="dxa" w:w="3370"/>
            <w:vAlign w:val="center"/>
            <w:shd w:fill="FFFFFF"/>
            <w:tcMar>
              <w:top w:w="70" w:type="dxa"/>
              <w:bottom w:w="70" w:type="dxa"/>
              <w:left w:w="70" w:type="dxa"/>
              <w:right w:w="70" w:type="dxa"/>
            </w:tcMar>
          </w:tcPr>
          <w:p>
            <w:pPr>
              <w:spacing w:after="60" w:before="40" w:line="245" w:lineRule="auto"/>
            </w:pPr>
            <w:r>
              <w:rPr>
                <w:b w:val="0"/>
                <w:sz w:val="17"/>
              </w:rPr>
              <w:t>illustrative — Illustrative property definition, not a selected replacement for a domain quantity vocabulary</w:t>
            </w:r>
          </w:p>
        </w:tc>
      </w:tr>
      <w:tr>
        <w:trPr>
          <w:cantSplit/>
        </w:trPr>
        <w:tc>
          <w:tcPr>
            <w:tcW w:type="dxa" w:w="2088"/>
            <w:vAlign w:val="center"/>
            <w:shd w:fill="F6F8FA"/>
            <w:tcMar>
              <w:top w:w="70" w:type="dxa"/>
              <w:bottom w:w="70" w:type="dxa"/>
              <w:left w:w="70" w:type="dxa"/>
              <w:right w:w="70" w:type="dxa"/>
            </w:tcMar>
          </w:tcPr>
          <w:p>
            <w:pPr>
              <w:spacing w:after="60" w:before="40" w:line="245" w:lineRule="auto"/>
            </w:pPr>
            <w:r>
              <w:rPr>
                <w:b w:val="0"/>
                <w:sz w:val="17"/>
              </w:rPr>
              <w:t>supply-terminal-voltage</w:t>
              <w:br/>
              <w:t>Quantity V</w:t>
            </w:r>
          </w:p>
        </w:tc>
        <w:tc>
          <w:tcPr>
            <w:tcW w:type="dxa" w:w="4464"/>
            <w:vAlign w:val="center"/>
            <w:shd w:fill="F6F8FA"/>
            <w:tcMar>
              <w:top w:w="70" w:type="dxa"/>
              <w:bottom w:w="70" w:type="dxa"/>
              <w:left w:w="70" w:type="dxa"/>
              <w:right w:w="70" w:type="dxa"/>
            </w:tcMar>
          </w:tcPr>
          <w:p>
            <w:pPr>
              <w:spacing w:after="60" w:before="40" w:line="245" w:lineRule="auto"/>
            </w:pPr>
            <w:r>
              <w:rPr>
                <w:b w:val="0"/>
                <w:sz w:val="17"/>
              </w:rPr>
              <w:t>Voltage across the output terminals of the identified external source. Illustrative only; not a finalized power-domain choice.</w:t>
            </w:r>
          </w:p>
        </w:tc>
        <w:tc>
          <w:tcPr>
            <w:tcW w:type="dxa" w:w="3370"/>
            <w:vAlign w:val="center"/>
            <w:shd w:fill="F6F8FA"/>
            <w:tcMar>
              <w:top w:w="70" w:type="dxa"/>
              <w:bottom w:w="70" w:type="dxa"/>
              <w:left w:w="70" w:type="dxa"/>
              <w:right w:w="70" w:type="dxa"/>
            </w:tcMar>
          </w:tcPr>
          <w:p>
            <w:pPr>
              <w:spacing w:after="60" w:before="40" w:line="245" w:lineRule="auto"/>
            </w:pPr>
            <w:r>
              <w:rPr>
                <w:b w:val="0"/>
                <w:sz w:val="17"/>
              </w:rPr>
              <w:t>illustrative-power — Electrical quantity illustration; Power Source owns final definition</w:t>
            </w:r>
          </w:p>
        </w:tc>
      </w:tr>
      <w:tr>
        <w:trPr>
          <w:cantSplit/>
        </w:trPr>
        <w:tc>
          <w:tcPr>
            <w:tcW w:type="dxa" w:w="2088"/>
            <w:vAlign w:val="center"/>
            <w:shd w:fill="FFFFFF"/>
            <w:tcMar>
              <w:top w:w="70" w:type="dxa"/>
              <w:bottom w:w="70" w:type="dxa"/>
              <w:left w:w="70" w:type="dxa"/>
              <w:right w:w="70" w:type="dxa"/>
            </w:tcMar>
          </w:tcPr>
          <w:p>
            <w:pPr>
              <w:spacing w:after="60" w:before="40" w:line="245" w:lineRule="auto"/>
            </w:pPr>
            <w:r>
              <w:rPr>
                <w:b w:val="0"/>
                <w:sz w:val="17"/>
              </w:rPr>
              <w:t>applied-value</w:t>
              <w:br/>
              <w:t>Quantity s</w:t>
            </w:r>
          </w:p>
        </w:tc>
        <w:tc>
          <w:tcPr>
            <w:tcW w:type="dxa" w:w="4464"/>
            <w:vAlign w:val="center"/>
            <w:shd w:fill="FFFFFF"/>
            <w:tcMar>
              <w:top w:w="70" w:type="dxa"/>
              <w:bottom w:w="70" w:type="dxa"/>
              <w:left w:w="70" w:type="dxa"/>
              <w:right w:w="70" w:type="dxa"/>
            </w:tcMar>
          </w:tcPr>
          <w:p>
            <w:pPr>
              <w:spacing w:after="60" w:before="40" w:line="245" w:lineRule="auto"/>
            </w:pPr>
            <w:r>
              <w:rPr>
                <w:b w:val="0"/>
                <w:sz w:val="17"/>
              </w:rPr>
              <w:t>Returned value of the sample interval in the illustrative command result.</w:t>
            </w:r>
          </w:p>
        </w:tc>
        <w:tc>
          <w:tcPr>
            <w:tcW w:type="dxa" w:w="3370"/>
            <w:vAlign w:val="center"/>
            <w:shd w:fill="FFFFFF"/>
            <w:tcMar>
              <w:top w:w="70" w:type="dxa"/>
              <w:bottom w:w="70" w:type="dxa"/>
              <w:left w:w="70" w:type="dxa"/>
              <w:right w:w="70" w:type="dxa"/>
            </w:tcMar>
          </w:tcPr>
          <w:p>
            <w:pPr>
              <w:spacing w:after="60" w:before="40" w:line="245" w:lineRule="auto"/>
            </w:pPr>
            <w:r>
              <w:rPr>
                <w:b w:val="0"/>
                <w:sz w:val="17"/>
              </w:rPr>
              <w:t>illustrative — Profile action-result binding; not a CSAPI top-level property</w:t>
            </w:r>
          </w:p>
        </w:tc>
      </w:tr>
      <w:tr>
        <w:trPr>
          <w:cantSplit/>
        </w:trPr>
        <w:tc>
          <w:tcPr>
            <w:tcW w:type="dxa" w:w="2088"/>
            <w:vAlign w:val="center"/>
            <w:shd w:fill="FFFFFF"/>
            <w:tcMar>
              <w:top w:w="70" w:type="dxa"/>
              <w:bottom w:w="70" w:type="dxa"/>
              <w:left w:w="70" w:type="dxa"/>
              <w:right w:w="70" w:type="dxa"/>
            </w:tcMar>
          </w:tcPr>
          <w:p>
            <w:pPr/>
            <w:r>
              <w:rPr>
                <w:sz w:val="18"/>
              </w:rPr>
              <w:t>rfc7577-battery-actual-voltage</w:t>
              <w:br/>
              <w:t>Quantity V</w:t>
            </w:r>
          </w:p>
        </w:tc>
        <w:tc>
          <w:tcPr>
            <w:tcW w:type="dxa" w:w="4464"/>
            <w:vAlign w:val="center"/>
            <w:shd w:fill="FFFFFF"/>
            <w:tcMar>
              <w:top w:w="70" w:type="dxa"/>
              <w:bottom w:w="70" w:type="dxa"/>
              <w:left w:w="70" w:type="dxa"/>
              <w:right w:w="70" w:type="dxa"/>
            </w:tcMar>
          </w:tcPr>
          <w:p>
            <w:pPr/>
            <w:r>
              <w:rPr>
                <w:sz w:val="18"/>
              </w:rPr>
              <w:t>Actual battery voltage represented by RFC 7577 batteryActualVoltage after millivolt-to-volt conversion. Example only; no new terminal, polarity or native-agent facts.</w:t>
            </w:r>
          </w:p>
        </w:tc>
        <w:tc>
          <w:tcPr>
            <w:tcW w:type="dxa" w:w="3370"/>
            <w:vAlign w:val="center"/>
            <w:shd w:fill="FFFFFF"/>
            <w:tcMar>
              <w:top w:w="70" w:type="dxa"/>
              <w:bottom w:w="70" w:type="dxa"/>
              <w:left w:w="70" w:type="dxa"/>
              <w:right w:w="70" w:type="dxa"/>
            </w:tcMar>
          </w:tcPr>
          <w:p>
            <w:pPr/>
            <w:r>
              <w:rPr>
                <w:sz w:val="18"/>
              </w:rPr>
              <w:t>illustrative-power / authored qualification — RFC source semantics; native DerivedProperty carrier. Not a published RFC or QUDT term.</w:t>
            </w:r>
          </w:p>
        </w:tc>
      </w:tr>
    </w:tbl>
    <w:p>
      <w:pPr>
        <w:pStyle w:val="Small"/>
        <w:widowControl/>
      </w:pPr>
      <w:r/>
    </w:p>
    <w:p>
      <w:pPr>
        <w:pStyle w:val="Heading3"/>
        <w:keepNext/>
        <w:widowControl/>
      </w:pPr>
      <w:r>
        <w:t>Selected code spaces, events and roles</w:t>
      </w:r>
    </w:p>
    <w:p>
      <w:pPr>
        <w:widowControl/>
      </w:pPr>
      <w:r>
        <w:t>The interface-oper-status code space retains the RFC 8343 tokens up, down, testing, unknown, dormant, not-present and lower-layer-down with their source meanings. The example interface-type space contains only ethernetCsmacd and other, with explicit IF-MIB/IANA correspondences; it is not presented as the whole registry. Function-kind, deployment-purpose and the provisional power code are locally authored selections. The catalogue records these boundaries so a short illustrative vocabulary does not silently become a universal device vocabulary (Bjorklund 2018, §5; McCloghrie and Kastenholz 2000, §6).</w:t>
      </w:r>
    </w:p>
    <w:tbl>
      <w:tblPr>
        <w:tblW w:type="auto" w:w="0"/>
        <w:jc w:val="center"/>
        <w:tblLayout w:type="fixed"/>
        <w:tblLook w:firstColumn="1" w:firstRow="1" w:lastColumn="0" w:lastRow="0" w:noHBand="0" w:noVBand="1" w:val="04A0"/>
      </w:tblPr>
      <w:tblGrid>
        <w:gridCol w:w="2563"/>
        <w:gridCol w:w="7358"/>
      </w:tblGrid>
      <w:tr>
        <w:trPr>
          <w:cantSplit/>
          <w:tblHeader/>
        </w:trPr>
        <w:tc>
          <w:tcPr>
            <w:tcW w:type="dxa" w:w="2563"/>
            <w:vAlign w:val="center"/>
            <w:shd w:fill="E7EEF2"/>
            <w:tcMar>
              <w:top w:w="70" w:type="dxa"/>
              <w:bottom w:w="70" w:type="dxa"/>
              <w:left w:w="70" w:type="dxa"/>
              <w:right w:w="70" w:type="dxa"/>
            </w:tcMar>
          </w:tcPr>
          <w:p>
            <w:pPr>
              <w:spacing w:after="60" w:before="40" w:line="245" w:lineRule="auto"/>
            </w:pPr>
            <w:r>
              <w:rPr>
                <w:b/>
                <w:sz w:val="18"/>
              </w:rPr>
              <w:t>Identifier family</w:t>
            </w:r>
          </w:p>
        </w:tc>
        <w:tc>
          <w:tcPr>
            <w:tcW w:type="dxa" w:w="7358"/>
            <w:vAlign w:val="center"/>
            <w:shd w:fill="E7EEF2"/>
            <w:tcMar>
              <w:top w:w="70" w:type="dxa"/>
              <w:bottom w:w="70" w:type="dxa"/>
              <w:left w:w="70" w:type="dxa"/>
              <w:right w:w="70" w:type="dxa"/>
            </w:tcMar>
          </w:tcPr>
          <w:p>
            <w:pPr>
              <w:spacing w:after="60" w:before="40" w:line="245" w:lineRule="auto"/>
            </w:pPr>
            <w:r>
              <w:rPr>
                <w:b/>
                <w:sz w:val="18"/>
              </w:rPr>
              <w:t>Selected definitions and use</w:t>
            </w:r>
          </w:p>
        </w:tc>
      </w:tr>
      <w:tr>
        <w:trPr>
          <w:cantSplit/>
        </w:trPr>
        <w:tc>
          <w:tcPr>
            <w:tcW w:type="dxa" w:w="2563"/>
            <w:vAlign w:val="center"/>
            <w:shd w:fill="FFFFFF"/>
            <w:tcMar>
              <w:top w:w="70" w:type="dxa"/>
              <w:bottom w:w="70" w:type="dxa"/>
              <w:left w:w="70" w:type="dxa"/>
              <w:right w:w="70" w:type="dxa"/>
            </w:tcMar>
          </w:tcPr>
          <w:p>
            <w:pPr>
              <w:spacing w:after="60" w:before="40" w:line="245" w:lineRule="auto"/>
            </w:pPr>
            <w:r>
              <w:rPr>
                <w:b w:val="0"/>
                <w:sz w:val="18"/>
              </w:rPr>
              <w:t>P/event/</w:t>
            </w:r>
          </w:p>
        </w:tc>
        <w:tc>
          <w:tcPr>
            <w:tcW w:type="dxa" w:w="7358"/>
            <w:vAlign w:val="center"/>
            <w:shd w:fill="FFFFFF"/>
            <w:tcMar>
              <w:top w:w="70" w:type="dxa"/>
              <w:bottom w:w="70" w:type="dxa"/>
              <w:left w:w="70" w:type="dxa"/>
              <w:right w:w="70" w:type="dxa"/>
            </w:tcMar>
          </w:tcPr>
          <w:p>
            <w:pPr>
              <w:spacing w:after="60" w:before="40" w:line="245" w:lineRule="auto"/>
            </w:pPr>
            <w:r>
              <w:rPr>
                <w:b w:val="0"/>
                <w:sz w:val="18"/>
              </w:rPr>
              <w:t>emplacement; service; power-source-replacement; recovery; reconfiguration. These are local event meanings used through native history Event, not CCOM type names.</w:t>
            </w:r>
          </w:p>
        </w:tc>
      </w:tr>
      <w:tr>
        <w:trPr>
          <w:cantSplit/>
        </w:trPr>
        <w:tc>
          <w:tcPr>
            <w:tcW w:type="dxa" w:w="2563"/>
            <w:vAlign w:val="center"/>
            <w:shd w:fill="F6F8FA"/>
            <w:tcMar>
              <w:top w:w="70" w:type="dxa"/>
              <w:bottom w:w="70" w:type="dxa"/>
              <w:left w:w="70" w:type="dxa"/>
              <w:right w:w="70" w:type="dxa"/>
            </w:tcMar>
          </w:tcPr>
          <w:p>
            <w:pPr>
              <w:spacing w:after="60" w:before="40" w:line="245" w:lineRule="auto"/>
            </w:pPr>
            <w:r>
              <w:rPr>
                <w:b w:val="0"/>
                <w:sz w:val="18"/>
              </w:rPr>
              <w:t>P/role/</w:t>
            </w:r>
          </w:p>
        </w:tc>
        <w:tc>
          <w:tcPr>
            <w:tcW w:type="dxa" w:w="7358"/>
            <w:vAlign w:val="center"/>
            <w:shd w:fill="F6F8FA"/>
            <w:tcMar>
              <w:top w:w="70" w:type="dxa"/>
              <w:bottom w:w="70" w:type="dxa"/>
              <w:left w:w="70" w:type="dxa"/>
              <w:right w:w="70" w:type="dxa"/>
            </w:tcMar>
          </w:tcPr>
          <w:p>
            <w:pPr>
              <w:spacing w:after="60" w:before="40" w:line="245" w:lineRule="auto"/>
            </w:pPr>
            <w:r>
              <w:rPr>
                <w:b w:val="0"/>
                <w:sz w:val="18"/>
              </w:rPr>
              <w:t>operator; maintainer; emplacer; recoverer; assessor. Each is scoped to its owning contact record, not a permission grant.</w:t>
            </w:r>
          </w:p>
        </w:tc>
      </w:tr>
      <w:tr>
        <w:trPr>
          <w:cantSplit/>
        </w:trPr>
        <w:tc>
          <w:tcPr>
            <w:tcW w:type="dxa" w:w="2563"/>
            <w:vAlign w:val="center"/>
            <w:shd w:fill="FFFFFF"/>
            <w:tcMar>
              <w:top w:w="70" w:type="dxa"/>
              <w:bottom w:w="70" w:type="dxa"/>
              <w:left w:w="70" w:type="dxa"/>
              <w:right w:w="70" w:type="dxa"/>
            </w:tcMar>
          </w:tcPr>
          <w:p>
            <w:pPr>
              <w:spacing w:after="60" w:before="40" w:line="245" w:lineRule="auto"/>
            </w:pPr>
            <w:r>
              <w:rPr>
                <w:b w:val="0"/>
                <w:sz w:val="18"/>
              </w:rPr>
              <w:t>P/action/set-sample-interval</w:t>
            </w:r>
          </w:p>
        </w:tc>
        <w:tc>
          <w:tcPr>
            <w:tcW w:type="dxa" w:w="7358"/>
            <w:vAlign w:val="center"/>
            <w:shd w:fill="FFFFFF"/>
            <w:tcMar>
              <w:top w:w="70" w:type="dxa"/>
              <w:bottom w:w="70" w:type="dxa"/>
              <w:left w:w="70" w:type="dxa"/>
              <w:right w:w="70" w:type="dxa"/>
            </w:tcMar>
          </w:tcPr>
          <w:p>
            <w:pPr>
              <w:spacing w:after="60" w:before="40" w:line="245" w:lineRule="auto"/>
            </w:pPr>
            <w:r>
              <w:rPr>
                <w:b w:val="0"/>
                <w:sz w:val="18"/>
              </w:rPr>
              <w:t>Illustrative action: accept a seconds value and set parameters/sampleInterval on the targeted station, retaining the source parameter constraints.</w:t>
            </w:r>
          </w:p>
        </w:tc>
      </w:tr>
      <w:tr>
        <w:trPr>
          <w:cantSplit/>
        </w:trPr>
        <w:tc>
          <w:tcPr>
            <w:tcW w:type="dxa" w:w="2563"/>
            <w:vAlign w:val="center"/>
            <w:shd w:fill="F6F8FA"/>
            <w:tcMar>
              <w:top w:w="70" w:type="dxa"/>
              <w:bottom w:w="70" w:type="dxa"/>
              <w:left w:w="70" w:type="dxa"/>
              <w:right w:w="70" w:type="dxa"/>
            </w:tcMar>
          </w:tcPr>
          <w:p>
            <w:pPr>
              <w:spacing w:after="60" w:before="40" w:line="245" w:lineRule="auto"/>
            </w:pPr>
            <w:r>
              <w:rPr>
                <w:b w:val="0"/>
                <w:sz w:val="18"/>
              </w:rPr>
              <w:t>P/document/condition-assessment</w:t>
            </w:r>
          </w:p>
        </w:tc>
        <w:tc>
          <w:tcPr>
            <w:tcW w:type="dxa" w:w="7358"/>
            <w:vAlign w:val="center"/>
            <w:shd w:fill="F6F8FA"/>
            <w:tcMar>
              <w:top w:w="70" w:type="dxa"/>
              <w:bottom w:w="70" w:type="dxa"/>
              <w:left w:w="70" w:type="dxa"/>
              <w:right w:w="70" w:type="dxa"/>
            </w:tcMar>
          </w:tcPr>
          <w:p>
            <w:r>
              <w:t>Optional document link to a genuine source-supported condition assessment; not proof that an administrative service review qualifies as an Observation.</w:t>
            </w:r>
          </w:p>
        </w:tc>
      </w:tr>
      <w:tr>
        <w:trPr>
          <w:cantSplit/>
        </w:trPr>
        <w:tc>
          <w:tcPr>
            <w:tcW w:type="dxa" w:w="2563"/>
            <w:vAlign w:val="center"/>
            <w:shd w:fill="FFFFFF"/>
            <w:tcMar>
              <w:top w:w="70" w:type="dxa"/>
              <w:bottom w:w="70" w:type="dxa"/>
              <w:left w:w="70" w:type="dxa"/>
              <w:right w:w="70" w:type="dxa"/>
            </w:tcMar>
          </w:tcPr>
          <w:p>
            <w:pPr>
              <w:spacing w:after="60" w:before="40" w:line="245" w:lineRule="auto"/>
            </w:pPr>
            <w:r>
              <w:rPr>
                <w:b w:val="0"/>
                <w:sz w:val="18"/>
              </w:rPr>
              <w:t>P/profile/</w:t>
            </w:r>
          </w:p>
        </w:tc>
        <w:tc>
          <w:tcPr>
            <w:tcW w:type="dxa" w:w="7358"/>
            <w:vAlign w:val="center"/>
            <w:shd w:fill="FFFFFF"/>
            <w:tcMar>
              <w:top w:w="70" w:type="dxa"/>
              <w:bottom w:w="70" w:type="dxa"/>
              <w:left w:w="70" w:type="dxa"/>
              <w:right w:w="70" w:type="dxa"/>
            </w:tcMar>
          </w:tcPr>
          <w:p>
            <w:pPr>
              <w:spacing w:after="60" w:before="40" w:line="245" w:lineRule="auto"/>
            </w:pPr>
            <w:r>
              <w:rPr>
                <w:b w:val="0"/>
                <w:sz w:val="18"/>
              </w:rPr>
              <w:t>system-description and dynamic-description identify the two draft scopes in §5.2; they are not approved OGC conformance classes.</w:t>
            </w:r>
          </w:p>
        </w:tc>
      </w:tr>
    </w:tbl>
    <w:p>
      <w:pPr>
        <w:pStyle w:val="Small"/>
        <w:widowControl/>
      </w:pPr>
      <w:r/>
    </w:p>
    <w:p>
      <w:pPr>
        <w:pStyle w:val="Heading2"/>
        <w:keepNext/>
        <w:pageBreakBefore/>
        <w:widowControl/>
      </w:pPr>
      <w:r>
        <w:t>5.13 What is now selected, and what remains conditional</w:t>
      </w:r>
    </w:p>
    <w:p>
      <w:pPr>
        <w:widowControl/>
      </w:pPr>
      <w:r>
        <w:t>The working draft retains profile-link declarations, explicit group definitions, owner-scoped references, native Settings paths and selected stream/function/command correspondences. R16 now uses RFC 7326-informed typed relationships rather than a generic association, while the R20 observation-based result remains optional and is not demonstrated by a non-observational record. R01–R20 have explicit descriptive rules, but not every optional relationship is necessarily populated in the fictional example or adopted as a production requirement.</w:t>
      </w:r>
    </w:p>
    <w:p>
      <w:pPr>
        <w:widowControl/>
      </w:pPr>
      <w:r>
        <w:t>Power Source still selects the exact source classes, quantities and Power Interface/supply/metering realization. Lifecycle still needs the final event vocabulary and any exact native MIMOSA edition chosen for normative implementation, rather than assuming the inspected CCOM release candidate is the mandated OSA-EAI package. Family-specific radio, performance and operating semantics remain additions within the specified extension points. A publication owner and namespace are also required before the draft profile can be advertised as a released interoperability target.</w:t>
      </w:r>
    </w:p>
    <w:p>
      <w:pPr>
        <w:widowControl/>
      </w:pPr>
      <w:r>
        <w:t>Some published Part 1/Part 2 link and endpoint spellings differ between overview tables, encoding tables and examples. This binding uses the inspected encoding members and follows advertised links; it does not silently claim to correct the base standard or declare a new canonical endpoint. In particular, example status/result members are associated with the collection endpoints printed in requirements 32 and 34, not with invented per-item routes. Formal implementation can resolve those existing publication issues without making the present drafting increment a standards-debugging campaign (Open Geospatial Consortium 2025a, §19.2; 2025b, §§10.12–10.14, 16.1).</w:t>
      </w:r>
    </w:p>
    <w:p>
      <w:pPr>
        <w:widowControl/>
      </w:pPr>
      <w:r>
        <w:t>The companion example is checked for JSON parsing, consistent local definitions, selected links/fragments, manifest inventory and matching named inputs/outputs. These are design-artifact consistency checks, not complete base-schema, live HTTP, native model conformance or cross-vendor interoperability tests. R20’s inappropriate fictional administrative assessment has been removed rather than passed off as a genuine condition measurement.</w:t>
      </w:r>
    </w:p>
    <w:p>
      <w:pPr>
        <w:pStyle w:val="Heading2"/>
        <w:pageBreakBefore/>
      </w:pPr>
      <w:bookmarkStart w:id="951" w:name="CustomContentExplanation"/>
      <w:r>
        <w:t>5.14 Custom content: explanation and review status</w:t>
      </w:r>
      <w:bookmarkEnd w:id="951"/>
    </w:p>
    <w:p>
      <w:pPr>
        <w:pStyle w:val="SourceNote"/>
      </w:pPr>
      <w:r>
        <w:t>Editorial continuity checkpoint • 14 October 2026. This section records the clarification given to Sam after the Power Source handoff. It is a record of explanation and recommended review, not a completed technical disposition or new standards research.</w:t>
      </w:r>
    </w:p>
    <w:p>
      <w:pPr>
        <w:pStyle w:val="Heading3"/>
      </w:pPr>
      <w:r>
        <w:t>The central clarification</w:t>
      </w:r>
    </w:p>
    <w:p>
      <w:pPr/>
      <w:r>
        <w:rPr>
          <w:b/>
        </w:rPr>
        <w:t>Custom content is not one category of work.</w:t>
      </w:r>
      <w:r>
        <w:t xml:space="preserve"> In this draft it includes our identifiers for translated information, proposed groupings and cross-resource bindings, locally authored domain definitions, and temporary example or Power Source placeholders. Some of those choices may be necessary to specify a reusable OGC profile, while others may be replaceable with existing content. The catalogue’s provenance labels identify origin; they do not establish necessity, correctness or final approval (this document, §§5.3–5.5, 5.10–5.12).</w:t>
      </w:r>
    </w:p>
    <w:p>
      <w:pPr>
        <w:pStyle w:val="Heading3"/>
      </w:pPr>
      <w:r>
        <w:t>Why it appeared</w:t>
      </w:r>
    </w:p>
    <w:p>
      <w:pPr/>
      <w:r>
        <w:t>The research led to a proposal for using established domain knowledge through the existing OGC foundation, rather than importing one complete external architecture. A connected binding draft must then identify how its selected meanings, resources and representations relate. Where the inspected sources had not supplied a selected correspondence, v0.3 introduced an explicit proposal so that the example could be reviewed. This does not demonstrate that no suitable correspondence exists elsewhere; it identifies work that the draft currently assigns to the profile (this document, §§2.1–2.4, 5.1 and 5.13).</w:t>
      </w:r>
    </w:p>
    <w:p>
      <w:pPr/>
      <w:r>
        <w:t>There was also provisional authorship beyond straightforward binding work. To complete the first connected example, the assistant supplied local classifications, event and role terms, reference conventions and illustrative quantities before the source-selection case for each had been completed. Labeling those items was useful, but the earlier explanation did not make their different purposes and maturity clear enough. An inspectable connection demonstrates what the draft proposes; it does not prove that the connection was previously missing or is the best one to maintain (MERLIN custom-content clarification 2026; this document, §5.12).</w:t>
      </w:r>
    </w:p>
    <w:p>
      <w:pPr>
        <w:pStyle w:val="Heading3"/>
      </w:pPr>
      <w:r>
        <w:t>The recommendation that remains stable</w:t>
      </w:r>
    </w:p>
    <w:p>
      <w:pPr/>
      <w:r>
        <w:t>Continue the whole-system profile while requiring local additions to earn their place. Preserve all eight subjects, operational lifecycle coverage and the broader system-family scope; TRSS and OmniSense remain reference cases, not the model ceiling. Seek coherent reuse of existing model content rather than quietly replacing it with a new MERLIN device vocabulary. Necessary authored bindings are legitimate proposals, but their benefit and maintenance responsibilities must be explained (MERLIN custom-content clarification 2026; “PITON” 2026, §§2–4).</w:t>
      </w:r>
    </w:p>
    <w:p>
      <w:pPr>
        <w:pStyle w:val="Heading3"/>
        <w:pageBreakBefore/>
      </w:pPr>
      <w:r>
        <w:t>5.14.1 Four different kinds of custom content</w:t>
      </w:r>
    </w:p>
    <w:p>
      <w:pPr>
        <w:pStyle w:val="Heading3"/>
      </w:pPr>
      <w:r>
        <w:t>Established meanings with local identifiers or representations</w:t>
      </w:r>
    </w:p>
    <w:p>
      <w:pPr/>
      <w:r>
        <w:t>Manufacturer, model designation and hardware or firmware revision are recorded as translated entries in §5.12. Their cited source concepts are not new, but the draft assigns local identifiers and an OGC placement to them. Reuse a suitable authoritative identifier and preserve its meaning when that serves the binding; use an explicit mapped identifier where the source representation requires it. Do not treat a new URI as a reason to broaden the source definition or claim that a YANG module has been implemented (this document, §5.12, technical-description entries).</w:t>
      </w:r>
    </w:p>
    <w:p>
      <w:pPr>
        <w:pStyle w:val="Heading3"/>
      </w:pPr>
      <w:r>
        <w:t>Groupings, connections and processing conventions</w:t>
      </w:r>
    </w:p>
    <w:p>
      <w:pPr/>
      <w:r>
        <w:t>The communications-interface group assembles selected interface information into a recognizable SensorML description. Function-binding and action-binding connect useful functions with named products, parameters and actions; owner-plus-#id specifies how a consumer locates an embedded subject. These are proposals for coordination and software behavior, not just alternative display labels. Their review must explain whether native OGC structure or an applicable published model already supplies the relationship, and what the custom choice adds if retained (this document, §§5.3, 5.5, R09–R15).</w:t>
      </w:r>
    </w:p>
    <w:p>
      <w:pPr/>
      <w:r>
        <w:t>The v0.3.4 mode-aware increment uses native Mode.capabilities, Mode.characteristics and Mode.configuration, but the rule that a nested MERLIN group is scoped to its enclosing Mode and resolves named paths against its containing process is project-authored. R10 likewise preserves a declared product independently of stream exposure and observations. No new group or term identifiers are added; the existing group contracts acquire explicit placement and interpretation rules.</w:t>
      </w:r>
    </w:p>
    <w:p>
      <w:pPr/>
      <w:r>
        <w:t>The new optional representation-source group is likewise MERLIN-authored: its CharacteristicList carrier is native SensorML, but the selected fields and client interpretation are not a published ISA, SAPIENT, SOSA or OGC crosswalk. It addresses source provenance only when the producer can document a distinct native sender and translation adapter. Recording a native sender ID does not establish a one-to-one correspondence to a physical System or modify the equipment composition model.</w:t>
      </w:r>
    </w:p>
    <w:p>
      <w:pPr>
        <w:pStyle w:val="Heading3"/>
      </w:pPr>
      <w:r>
        <w:t>Locally authored domain definitions</w:t>
      </w:r>
    </w:p>
    <w:p>
      <w:pPr/>
      <w:r>
        <w:t>Equipment classification, function classification, deployment purpose, and several event and responsibility terms are local domain choices in the draft. Examples include emplacement, recovery and power-source replacement, together with operator, maintainer and assessor roles. Familiar words do not by themselves establish that the exact definitions or relationships are inherited from an industry model. These entries need a stronger source-selection rationale than a formatting convention: identify the existing alternatives and explain whether the final definition is reuse, specialization or genuinely new work (this document, §§5.11–5.12).</w:t>
      </w:r>
    </w:p>
    <w:p>
      <w:pPr>
        <w:pStyle w:val="Heading3"/>
      </w:pPr>
      <w:r>
        <w:t>Example material and provisional module boundaries</w:t>
      </w:r>
    </w:p>
    <w:p>
      <w:pPr/>
      <w:r>
        <w:t>Air-temperature, supply-terminal-voltage and applied-value remain explicitly illustrative quantities. The prior provisional power-association group was replaced in v0.3.2 by an RFC 7326-informed but MERLIN-authored energy-relationship binding with directed powers, meters and aggregates meanings; the example contains only two powers links. This accepted direction does not by itself finalize detailed battery, charging, Power Interface or measurement definitions. Source-inspired semantics and profile-authored carrier choices remain separately documented (§§5.10, 5.12 and 6.6).</w:t>
      </w:r>
    </w:p>
    <w:p>
      <w:pPr>
        <w:pStyle w:val="Heading3"/>
        <w:pageBreakBefore/>
      </w:pPr>
      <w:r>
        <w:t>5.14.2 What needs justification before technical acceptance</w:t>
      </w:r>
    </w:p>
    <w:p>
      <w:pPr>
        <w:pStyle w:val="Heading3"/>
      </w:pPr>
      <w:r>
        <w:t>A source citation is not a complete justification</w:t>
      </w:r>
    </w:p>
    <w:p>
      <w:pPr/>
      <w:r>
        <w:t>For each retained local item, record the operator or integration need, the authoritative source and inspected locator, and the exact meaning proposed. Compare the closest native OGC mechanism or applicable external-model alternative, and state whether the draft preserves, adapts or replaces it. Record the recommended disposition and reason, the affected relationships and examples, and who would maintain any remaining custom content. This is a focused review of the existing draft; it is not permission to restart the broad survey or make conformance testing the center of the project (MERLIN custom-content clarification 2026).</w:t>
      </w:r>
    </w:p>
    <w:p>
      <w:pPr>
        <w:pStyle w:val="Heading3"/>
      </w:pPr>
      <w:r>
        <w:t>Open issues inherited from the clarification</w:t>
      </w:r>
    </w:p>
    <w:p>
      <w:pPr/>
      <w:r>
        <w:t>The manufacturer example needs an explicit scope check. The previous explanation identified that the draft’s wording about the organization responsible for equipment or a product model is broader than the cited RFC property’s manufacturer-name scope. That observation is preserved as a review issue, not silently resolved in this editorial revision. The eventual decision must state whether to preserve the source meaning or document a justified adaptation (this document, §5.12; MERLIN custom-content clarification 2026).</w:t>
      </w:r>
    </w:p>
    <w:p>
      <w:pPr/>
      <w:r>
        <w:t>Function-binding, action-binding and the embedded-subject references need to be compared with existing process and association mechanisms. A useful relationship may be needed even when the current custom group is unnecessary, or the custom group may clarify something not otherwise specified. The review must distinguish those outcomes instead of assuming either that every local relationship is required or that all local relationships should be deleted. Any replacement should preserve the useful sensor-centered connection and explain its consumer implications (this document, §§5.3, 5.5 and R09–R15).</w:t>
      </w:r>
    </w:p>
    <w:p>
      <w:pPr/>
      <w:r>
        <w:t>The earlier technical review also identified CSAPI Part 2’s SystemEvent capability as an alternative omitted from the lifecycle design. Compare that resource access with embedded SensorML history and decide their respective roles before finalizing event references. This is an open carrier-selection task, not a completed decision to remove history or a newly reported audit of Part 2. It may reduce custom event-reference work while leaving event meanings and affected-equipment relationships to be specified (MERLIN custom-content clarification 2026; Open Geospatial Consortium 2025b, §12; this document, R18–R20).</w:t>
      </w:r>
    </w:p>
    <w:p>
      <w:pPr>
        <w:pStyle w:val="Heading3"/>
      </w:pPr>
      <w:r>
        <w:t>Judge coherent reuse, not the smallest field count</w:t>
      </w:r>
    </w:p>
    <w:p>
      <w:pPr/>
      <w:r>
        <w:t>Prefer exact reuse where it fits, and justify new identifiers or altered meanings when needed. Retain a binding when it provides useful, reusable integration that the selected alternatives do not adequately supply; replace duplicate mechanisms where the evidence supports replacement. An unresolved source choice should remain visibly open rather than becoming permanent local terminology by default. Reducing unnecessary invention must not narrow the profile back to the incomplete manual excerpts or turn the work into an identifier-only exercise (MERLIN custom-content clarification 2026).</w:t>
      </w:r>
    </w:p>
    <w:p>
      <w:pPr>
        <w:pStyle w:val="Heading3"/>
        <w:pageBreakBefore/>
      </w:pPr>
      <w:r>
        <w:t>5.14.3 Continuity, Power Source and the next decision</w:t>
      </w:r>
    </w:p>
    <w:p>
      <w:pPr>
        <w:pStyle w:val="Heading3"/>
      </w:pPr>
      <w:r>
        <w:t>Disposition and approval must remain separate</w:t>
      </w:r>
    </w:p>
    <w:p>
      <w:pPr/>
      <w:r>
        <w:t>Item dispositions remain retain, refine, replace, defer or reject, with documented reasons and affected references. The owner accepted the first bounded recommendations and their exact changes: R08 unchanged; R12 command/physical-effect clarification; R16 typed energy relationships; and R20 semantic restriction and service Event example correction. These are incorporated into v0.3.2; this does not constitute blanket approval for every other research recommendation. Subsequent accepted changes may be implemented directly after the substantive decision, with verification and a change log, without an unnecessary second approval layer.</w:t>
      </w:r>
    </w:p>
    <w:p>
      <w:pPr>
        <w:pStyle w:val="Heading3"/>
      </w:pPr>
      <w:r>
        <w:t>Power Source continues; the placeholders do not become its constraint</w:t>
      </w:r>
    </w:p>
    <w:p>
      <w:pPr/>
      <w:r>
        <w:t>The Power Source v0.1 report supplied RFC 7326 and RFC 7577 as the preferred source basis. The owner-approved first technical increment replaced the provisional R16 group with a scoped typed energy relationship, while retaining common equipment, deployment, observation and event identities. Detailed battery and interface specialization is still a separate evidence-and-value decision; the chosen relationship carrier does not claim a native RFC 7461 implementation or approve every recommendation in that Power report.</w:t>
      </w:r>
    </w:p>
    <w:p>
      <w:pPr>
        <w:pStyle w:val="Heading3"/>
      </w:pPr>
      <w:r>
        <w:t>Status of this document and its companion package</w:t>
      </w:r>
    </w:p>
    <w:p>
      <w:pPr/>
      <w:r>
        <w:t>The first technical increment, v0.3.2, revised R12, R16 and R20 while retaining R08. Subsequent approved increments added identity/mediation clarification and native-mode/product scoping. Working v0.3.5 now applies the bounded R11/R17 subject, lineage-preservation and quantity-mapping guidance described in §§5.8, 5.10 and 6.10. All 26 parent resource bodies remain unchanged; the new battery mapping is separate auxiliary material. The master bibliography/register v0.8 and sibling research remain historical evidence, not automatically rewritten sources.</w:t>
      </w:r>
    </w:p>
    <w:p>
      <w:pPr>
        <w:pStyle w:val="Heading3"/>
      </w:pPr>
      <w:r>
        <w:t>What the next increment should produce</w:t>
      </w:r>
    </w:p>
    <w:p>
      <w:pPr/>
      <w:r>
        <w:t>Consolidate the completed research and donor-lineage evidence into the master source record, then identify the finite residual donor-coverage choices against U-INT-01. Accepted R01/R02/R04/R08–R12/R15–R17/R20 increments are not reopened without new evidence. Cross-donor lineage navigation, broader deployment-qualified prospective capability and detailed specialist semantics remain bounded questions, not automatic requirements. Update the profile, examples and rationale together only for a supported, owner-approved substantive change.</w:t>
      </w:r>
    </w:p>
    <w:p>
      <w:pPr>
        <w:pStyle w:val="SourceNote"/>
      </w:pPr>
      <w:r>
        <w:t>Carry-forward rule: an authored label records provenance, not approval. A populated example records a proposal, not necessity. Model breadth follows the established whole-system scope, not the sparsity of the first two cases.</w:t>
      </w:r>
    </w:p>
    <w:p>
      <w:pPr>
        <w:pStyle w:val="Heading1"/>
        <w:keepNext/>
        <w:pageBreakBefore/>
        <w:widowControl/>
      </w:pPr>
      <w:r>
        <w:t>6. Connected illustrative deployed-system description</w:t>
      </w:r>
    </w:p>
    <w:p>
      <w:pPr>
        <w:pStyle w:val="Heading2"/>
        <w:keepNext/>
        <w:widowControl/>
      </w:pPr>
      <w:r>
        <w:t>6.1 One fictional station, one connected lifecycle</w:t>
      </w:r>
    </w:p>
    <w:p>
      <w:pPr>
        <w:widowControl/>
      </w:pPr>
      <w:r>
        <w:t>The connected example is a fictional field-monitoring station with an integrated environmental probe, a mast, a communications gateway and two external power sources used successively. It is deliberately not labeled TRSS or OmniSense and does not claim that either vendor exposes these JSON bodies. All names, identifiers, coordinates, times, commands, observations and service actions are synthetic. The point is to show the complete profile structure in use, with a system family broad enough to include UGS, environmental stations and other comparable sensing systems.</w:t>
      </w:r>
    </w:p>
    <w:p>
      <w:pPr>
        <w:widowControl/>
      </w:pPr>
      <w:r>
        <w:t>The package uses a single illustrative API root, https://demo.example/csapi/, and the P namespace defined in §5.2. Start with 02_station.sml.json and 08_site_deployment.sml.json, then use 00_manifest.json to locate the linked example bodies. The package is a set of read-side design examples and selected collection-member bodies, not a running API or a set of ready-to-POST payloads. Where the base standard imposes different insert/update link conventions, those remain applicable and are not replaced by these read-side examples.</w:t>
      </w:r>
    </w:p>
    <w:p>
      <w:pPr>
        <w:pStyle w:val="Heading2"/>
        <w:keepNext/>
        <w:pageBreakBefore/>
        <w:widowControl/>
      </w:pPr>
      <w:r>
        <w:t>6.2 Model, equipment and functions stay connected</w:t>
      </w:r>
    </w:p>
    <w:p>
      <w:pPr>
        <w:widowControl/>
      </w:pPr>
      <w:r>
        <w:t>The Procedure station-model-1 describes the fictional DEMO-FIELD-1 product family and a sampling interval constrained to 10–3,600 seconds. The System station-01 points to that model, contains an embedded environmental probe and attaches to mast-01. Its technical description adds the unit-specific revisions, while fn-environment identifies the meaningful sensing function. These facts exercise R01–R04 without turning every function into another hardware resource.</w:t>
      </w:r>
    </w:p>
    <w:p>
      <w:pPr>
        <w:widowControl/>
      </w:pPr>
      <w:r>
        <w:t>The function-binding identifies outputs/airTemperature and parameters/sampleInterval as the product and setup associated with that function. This is the actual reusable correspondence the client needs: it can move from “Environmental measurement” to the stream and the appropriate setting without supplier-specific label matching. The sample interval is defined locally as a scheduled sampling interval, not assumed to mean communication latency or reporting cadence. A different family can add image, acoustic or other technical content using the same binding responsibilities.</w:t>
      </w:r>
    </w:p>
    <w:p>
      <w:pPr>
        <w:pStyle w:val="Small"/>
        <w:widowControl/>
      </w:pPr>
      <w:r>
        <w:t>Example 1. One actual group from 02_station.sml.json. It sits inside characteristics[].</w:t>
      </w:r>
    </w:p>
    <w:p>
      <w:pPr>
        <w:pStyle w:val="Code"/>
        <w:widowControl/>
        <w:shd w:fill="F3F6F8"/>
      </w:pPr>
      <w:r>
        <w:rPr>
          <w:rFonts w:ascii="Liberation Mono" w:hAnsi="Liberation Mono"/>
        </w:rPr>
        <w:t>{</w:t>
      </w:r>
    </w:p>
    <w:p>
      <w:pPr>
        <w:pStyle w:val="Code"/>
        <w:widowControl/>
        <w:shd w:fill="F3F6F8"/>
      </w:pPr>
      <w:r>
        <w:rPr>
          <w:rFonts w:ascii="Liberation Mono" w:hAnsi="Liberation Mono"/>
        </w:rPr>
        <w:t xml:space="preserve">  "id": "environment-binding",</w:t>
      </w:r>
    </w:p>
    <w:p>
      <w:pPr>
        <w:pStyle w:val="Code"/>
        <w:widowControl/>
        <w:shd w:fill="F3F6F8"/>
      </w:pPr>
      <w:r>
        <w:rPr>
          <w:rFonts w:ascii="Liberation Mono" w:hAnsi="Liberation Mono"/>
        </w:rPr>
        <w:t xml:space="preserve">  "definition": "https://schemas.example/merlin/mpss/0.3/group/function-binding",</w:t>
      </w:r>
    </w:p>
    <w:p>
      <w:pPr>
        <w:pStyle w:val="Code"/>
        <w:widowControl/>
        <w:shd w:fill="F3F6F8"/>
      </w:pPr>
      <w:r>
        <w:rPr>
          <w:rFonts w:ascii="Liberation Mono" w:hAnsi="Liberation Mono"/>
        </w:rPr>
        <w:t xml:space="preserve">  "label": "Environmental products and setup",</w:t>
      </w:r>
    </w:p>
    <w:p>
      <w:pPr>
        <w:pStyle w:val="Code"/>
        <w:widowControl/>
        <w:shd w:fill="F3F6F8"/>
      </w:pPr>
      <w:r>
        <w:rPr>
          <w:rFonts w:ascii="Liberation Mono" w:hAnsi="Liberation Mono"/>
        </w:rPr>
        <w:t xml:space="preserve">  "characteristics": [</w:t>
      </w:r>
    </w:p>
    <w:p>
      <w:pPr>
        <w:pStyle w:val="Code"/>
        <w:widowControl/>
        <w:shd w:fill="F3F6F8"/>
      </w:pPr>
      <w:r>
        <w:rPr>
          <w:rFonts w:ascii="Liberation Mono" w:hAnsi="Liberation Mono"/>
        </w:rPr>
        <w:t xml:space="preserve">    {</w:t>
      </w:r>
    </w:p>
    <w:p>
      <w:pPr>
        <w:pStyle w:val="Code"/>
        <w:widowControl/>
        <w:shd w:fill="F3F6F8"/>
      </w:pPr>
      <w:r>
        <w:rPr>
          <w:rFonts w:ascii="Liberation Mono" w:hAnsi="Liberation Mono"/>
        </w:rPr>
        <w:t xml:space="preserve">      "type": "Text",</w:t>
      </w:r>
    </w:p>
    <w:p>
      <w:pPr>
        <w:pStyle w:val="Code"/>
        <w:widowControl/>
        <w:shd w:fill="F3F6F8"/>
      </w:pPr>
      <w:r>
        <w:rPr>
          <w:rFonts w:ascii="Liberation Mono" w:hAnsi="Liberation Mono"/>
        </w:rPr>
        <w:t xml:space="preserve">      "definition": "https://schemas.example/merlin/mpss/0.3/term/function-ref",</w:t>
      </w:r>
    </w:p>
    <w:p>
      <w:pPr>
        <w:pStyle w:val="Code"/>
        <w:widowControl/>
        <w:shd w:fill="F3F6F8"/>
      </w:pPr>
      <w:r>
        <w:rPr>
          <w:rFonts w:ascii="Liberation Mono" w:hAnsi="Liberation Mono"/>
        </w:rPr>
        <w:t xml:space="preserve">      "label": "Function ref",</w:t>
      </w:r>
    </w:p>
    <w:p>
      <w:pPr>
        <w:pStyle w:val="Code"/>
        <w:widowControl/>
        <w:shd w:fill="F3F6F8"/>
      </w:pPr>
      <w:r>
        <w:rPr>
          <w:rFonts w:ascii="Liberation Mono" w:hAnsi="Liberation Mono"/>
        </w:rPr>
        <w:t xml:space="preserve">      "value": "https://demo.example/csapi/systems/station-01#fn-environment"</w:t>
      </w:r>
    </w:p>
    <w:p>
      <w:pPr>
        <w:pStyle w:val="Code"/>
        <w:widowControl/>
        <w:shd w:fill="F3F6F8"/>
      </w:pPr>
      <w:r>
        <w:rPr>
          <w:rFonts w:ascii="Liberation Mono" w:hAnsi="Liberation Mono"/>
        </w:rPr>
        <w:t xml:space="preserve">    },</w:t>
      </w:r>
    </w:p>
    <w:p>
      <w:pPr>
        <w:pStyle w:val="Code"/>
        <w:widowControl/>
        <w:shd w:fill="F3F6F8"/>
      </w:pPr>
      <w:r>
        <w:rPr>
          <w:rFonts w:ascii="Liberation Mono" w:hAnsi="Liberation Mono"/>
        </w:rPr>
        <w:t xml:space="preserve">    {</w:t>
      </w:r>
    </w:p>
    <w:p>
      <w:pPr>
        <w:pStyle w:val="Code"/>
        <w:widowControl/>
        <w:shd w:fill="F3F6F8"/>
      </w:pPr>
      <w:r>
        <w:rPr>
          <w:rFonts w:ascii="Liberation Mono" w:hAnsi="Liberation Mono"/>
        </w:rPr>
        <w:t xml:space="preserve">      "type": "Text",</w:t>
      </w:r>
    </w:p>
    <w:p>
      <w:pPr>
        <w:pStyle w:val="Code"/>
        <w:widowControl/>
        <w:shd w:fill="F3F6F8"/>
      </w:pPr>
      <w:r>
        <w:rPr>
          <w:rFonts w:ascii="Liberation Mono" w:hAnsi="Liberation Mono"/>
        </w:rPr>
        <w:t xml:space="preserve">      "definition": "https://schemas.example/merlin/mpss/0.3/term/output-path",</w:t>
      </w:r>
    </w:p>
    <w:p>
      <w:pPr>
        <w:pStyle w:val="Code"/>
        <w:widowControl/>
        <w:shd w:fill="F3F6F8"/>
      </w:pPr>
      <w:r>
        <w:rPr>
          <w:rFonts w:ascii="Liberation Mono" w:hAnsi="Liberation Mono"/>
        </w:rPr>
        <w:t xml:space="preserve">      "label": "Output path",</w:t>
      </w:r>
    </w:p>
    <w:p>
      <w:pPr>
        <w:pStyle w:val="Code"/>
        <w:widowControl/>
        <w:shd w:fill="F3F6F8"/>
      </w:pPr>
      <w:r>
        <w:rPr>
          <w:rFonts w:ascii="Liberation Mono" w:hAnsi="Liberation Mono"/>
        </w:rPr>
        <w:t xml:space="preserve">      "value": "outputs/airTemperature"</w:t>
      </w:r>
    </w:p>
    <w:p>
      <w:pPr>
        <w:pStyle w:val="Code"/>
        <w:widowControl/>
        <w:shd w:fill="F3F6F8"/>
      </w:pPr>
      <w:r>
        <w:rPr>
          <w:rFonts w:ascii="Liberation Mono" w:hAnsi="Liberation Mono"/>
        </w:rPr>
        <w:t xml:space="preserve">    },</w:t>
      </w:r>
    </w:p>
    <w:p>
      <w:pPr>
        <w:pStyle w:val="Code"/>
        <w:widowControl/>
        <w:shd w:fill="F3F6F8"/>
      </w:pPr>
      <w:r>
        <w:rPr>
          <w:rFonts w:ascii="Liberation Mono" w:hAnsi="Liberation Mono"/>
        </w:rPr>
        <w:t xml:space="preserve">    {</w:t>
      </w:r>
    </w:p>
    <w:p>
      <w:pPr>
        <w:pStyle w:val="Code"/>
        <w:widowControl/>
        <w:shd w:fill="F3F6F8"/>
      </w:pPr>
      <w:r>
        <w:rPr>
          <w:rFonts w:ascii="Liberation Mono" w:hAnsi="Liberation Mono"/>
        </w:rPr>
        <w:t xml:space="preserve">      "type": "Text",</w:t>
      </w:r>
    </w:p>
    <w:p>
      <w:pPr>
        <w:pStyle w:val="Code"/>
        <w:widowControl/>
        <w:shd w:fill="F3F6F8"/>
      </w:pPr>
      <w:r>
        <w:rPr>
          <w:rFonts w:ascii="Liberation Mono" w:hAnsi="Liberation Mono"/>
        </w:rPr>
        <w:t xml:space="preserve">      "definition": "https://schemas.example/merlin/mpss/0.3/term/parameter-path",</w:t>
      </w:r>
    </w:p>
    <w:p>
      <w:pPr>
        <w:pStyle w:val="Code"/>
        <w:widowControl/>
        <w:shd w:fill="F3F6F8"/>
      </w:pPr>
      <w:r>
        <w:rPr>
          <w:rFonts w:ascii="Liberation Mono" w:hAnsi="Liberation Mono"/>
        </w:rPr>
        <w:t xml:space="preserve">      "label": "Parameter path",</w:t>
      </w:r>
    </w:p>
    <w:p>
      <w:pPr>
        <w:pStyle w:val="Code"/>
        <w:widowControl/>
        <w:shd w:fill="F3F6F8"/>
      </w:pPr>
      <w:r>
        <w:rPr>
          <w:rFonts w:ascii="Liberation Mono" w:hAnsi="Liberation Mono"/>
        </w:rPr>
        <w:t xml:space="preserve">      "value": "parameters/sampleInterval"</w:t>
      </w:r>
    </w:p>
    <w:p>
      <w:pPr>
        <w:pStyle w:val="Code"/>
        <w:widowControl/>
        <w:shd w:fill="F3F6F8"/>
      </w:pPr>
      <w:r>
        <w:rPr>
          <w:rFonts w:ascii="Liberation Mono" w:hAnsi="Liberation Mono"/>
        </w:rPr>
        <w:t xml:space="preserve">    }</w:t>
      </w:r>
    </w:p>
    <w:p>
      <w:pPr>
        <w:pStyle w:val="Code"/>
        <w:widowControl/>
        <w:shd w:fill="F3F6F8"/>
      </w:pPr>
      <w:r>
        <w:rPr>
          <w:rFonts w:ascii="Liberation Mono" w:hAnsi="Liberation Mono"/>
        </w:rPr>
        <w:t xml:space="preserve">  ]</w:t>
      </w:r>
    </w:p>
    <w:p>
      <w:pPr>
        <w:pStyle w:val="Code"/>
        <w:widowControl/>
        <w:shd w:fill="F3F6F8"/>
      </w:pPr>
      <w:r>
        <w:rPr>
          <w:rFonts w:ascii="Liberation Mono" w:hAnsi="Liberation Mono"/>
        </w:rPr>
        <w:t>}</w:t>
      </w:r>
    </w:p>
    <w:p>
      <w:pPr>
        <w:pStyle w:val="Small"/>
        <w:widowControl/>
      </w:pPr>
      <w:r/>
    </w:p>
    <w:p>
      <w:pPr>
        <w:pStyle w:val="Heading2"/>
        <w:keepNext/>
        <w:pageBreakBefore/>
        <w:widowControl/>
      </w:pPr>
      <w:r>
        <w:t>6.3 Deployment and operating setup explain this employment</w:t>
      </w:r>
    </w:p>
    <w:p>
      <w:pPr>
        <w:widowControl/>
      </w:pPr>
      <w:r>
        <w:t>campaign-01 contains the site-01 deployment, which identifies the station and gateway and uses mast-01 as its platform. It supplies a purpose, a place, a period and responsibility contacts, with the selected station settings in the native DeployedSystem.configuration. The System retains a 60-second baseline setup, while the selected deployment description records a 120-second interval and a corresponding reconfiguration Event. The records are intended for a historical view after that change; they are not a complete versioned representation of the settings before it.</w:t>
      </w:r>
    </w:p>
    <w:p>
      <w:pPr>
        <w:widowControl/>
      </w:pPr>
      <w:r>
        <w:t>This organization gives the client an explicit employment rather than a collection of detached mission labels. R05–R08 use existing OGC participation and deployment structures, and R09 identifies the affected configurable element. A new employment can reference the same equipment later without duplicating its identity. The profile does not assume one simultaneous deployment or add an arbitrary participation resource to make this example work.</w:t>
      </w:r>
    </w:p>
    <w:p>
      <w:pPr>
        <w:pStyle w:val="Small"/>
        <w:widowControl/>
      </w:pPr>
      <w:r>
        <w:t>Example 2. Native participation and Settings excerpt from the fictional Deployment.</w:t>
      </w:r>
    </w:p>
    <w:p>
      <w:pPr>
        <w:pStyle w:val="Code"/>
        <w:widowControl/>
        <w:shd w:fill="F3F6F8"/>
      </w:pPr>
      <w:r>
        <w:rPr>
          <w:rFonts w:ascii="Liberation Mono" w:hAnsi="Liberation Mono"/>
        </w:rPr>
        <w:t>{</w:t>
      </w:r>
    </w:p>
    <w:p>
      <w:pPr>
        <w:pStyle w:val="Code"/>
        <w:widowControl/>
        <w:shd w:fill="F3F6F8"/>
      </w:pPr>
      <w:r>
        <w:rPr>
          <w:rFonts w:ascii="Liberation Mono" w:hAnsi="Liberation Mono"/>
        </w:rPr>
        <w:t xml:space="preserve">  "deployedSystems": [</w:t>
      </w:r>
    </w:p>
    <w:p>
      <w:pPr>
        <w:pStyle w:val="Code"/>
        <w:widowControl/>
        <w:shd w:fill="F3F6F8"/>
      </w:pPr>
      <w:r>
        <w:rPr>
          <w:rFonts w:ascii="Liberation Mono" w:hAnsi="Liberation Mono"/>
        </w:rPr>
        <w:t xml:space="preserve">    {</w:t>
      </w:r>
    </w:p>
    <w:p>
      <w:pPr>
        <w:pStyle w:val="Code"/>
        <w:widowControl/>
        <w:shd w:fill="F3F6F8"/>
      </w:pPr>
      <w:r>
        <w:rPr>
          <w:rFonts w:ascii="Liberation Mono" w:hAnsi="Liberation Mono"/>
        </w:rPr>
        <w:t xml:space="preserve">      "name": "station",</w:t>
      </w:r>
    </w:p>
    <w:p>
      <w:pPr>
        <w:pStyle w:val="Code"/>
        <w:widowControl/>
        <w:shd w:fill="F3F6F8"/>
      </w:pPr>
      <w:r>
        <w:rPr>
          <w:rFonts w:ascii="Liberation Mono" w:hAnsi="Liberation Mono"/>
        </w:rPr>
        <w:t xml:space="preserve">      "system": {</w:t>
      </w:r>
    </w:p>
    <w:p>
      <w:pPr>
        <w:pStyle w:val="Code"/>
        <w:widowControl/>
        <w:shd w:fill="F3F6F8"/>
      </w:pPr>
      <w:r>
        <w:rPr>
          <w:rFonts w:ascii="Liberation Mono" w:hAnsi="Liberation Mono"/>
        </w:rPr>
        <w:t xml:space="preserve">        "href": "https://demo.example/csapi/systems/station-01",</w:t>
      </w:r>
    </w:p>
    <w:p>
      <w:pPr>
        <w:pStyle w:val="Code"/>
        <w:widowControl/>
        <w:shd w:fill="F3F6F8"/>
      </w:pPr>
      <w:r>
        <w:rPr>
          <w:rFonts w:ascii="Liberation Mono" w:hAnsi="Liberation Mono"/>
        </w:rPr>
        <w:t xml:space="preserve">        "uid": "urn:uuid:7ce32c75-1d5c-5490-8224-1c1d7a0ece6e",</w:t>
      </w:r>
    </w:p>
    <w:p>
      <w:pPr>
        <w:pStyle w:val="Code"/>
        <w:widowControl/>
        <w:shd w:fill="F3F6F8"/>
      </w:pPr>
      <w:r>
        <w:rPr>
          <w:rFonts w:ascii="Liberation Mono" w:hAnsi="Liberation Mono"/>
        </w:rPr>
        <w:t xml:space="preserve">        "type": "application/sml+json"</w:t>
      </w:r>
    </w:p>
    <w:p>
      <w:pPr>
        <w:pStyle w:val="Code"/>
        <w:widowControl/>
        <w:shd w:fill="F3F6F8"/>
      </w:pPr>
      <w:r>
        <w:rPr>
          <w:rFonts w:ascii="Liberation Mono" w:hAnsi="Liberation Mono"/>
        </w:rPr>
        <w:t xml:space="preserve">      },</w:t>
      </w:r>
    </w:p>
    <w:p>
      <w:pPr>
        <w:pStyle w:val="Code"/>
        <w:widowControl/>
        <w:shd w:fill="F3F6F8"/>
      </w:pPr>
      <w:r>
        <w:rPr>
          <w:rFonts w:ascii="Liberation Mono" w:hAnsi="Liberation Mono"/>
        </w:rPr>
        <w:t xml:space="preserve">      "configuration": {</w:t>
      </w:r>
    </w:p>
    <w:p>
      <w:pPr>
        <w:pStyle w:val="Code"/>
        <w:widowControl/>
        <w:shd w:fill="F3F6F8"/>
      </w:pPr>
      <w:r>
        <w:rPr>
          <w:rFonts w:ascii="Liberation Mono" w:hAnsi="Liberation Mono"/>
        </w:rPr>
        <w:t xml:space="preserve">        "setValues": [</w:t>
      </w:r>
    </w:p>
    <w:p>
      <w:pPr>
        <w:pStyle w:val="Code"/>
        <w:widowControl/>
        <w:shd w:fill="F3F6F8"/>
      </w:pPr>
      <w:r>
        <w:rPr>
          <w:rFonts w:ascii="Liberation Mono" w:hAnsi="Liberation Mono"/>
        </w:rPr>
        <w:t xml:space="preserve">          {</w:t>
      </w:r>
    </w:p>
    <w:p>
      <w:pPr>
        <w:pStyle w:val="Code"/>
        <w:widowControl/>
        <w:shd w:fill="F3F6F8"/>
      </w:pPr>
      <w:r>
        <w:rPr>
          <w:rFonts w:ascii="Liberation Mono" w:hAnsi="Liberation Mono"/>
        </w:rPr>
        <w:t xml:space="preserve">            "ref": "parameters/sampleInterval",</w:t>
      </w:r>
    </w:p>
    <w:p>
      <w:pPr>
        <w:pStyle w:val="Code"/>
        <w:widowControl/>
        <w:shd w:fill="F3F6F8"/>
      </w:pPr>
      <w:r>
        <w:rPr>
          <w:rFonts w:ascii="Liberation Mono" w:hAnsi="Liberation Mono"/>
        </w:rPr>
        <w:t xml:space="preserve">            "value": 120</w:t>
      </w:r>
    </w:p>
    <w:p>
      <w:pPr>
        <w:pStyle w:val="Code"/>
        <w:widowControl/>
        <w:shd w:fill="F3F6F8"/>
      </w:pPr>
      <w:r>
        <w:rPr>
          <w:rFonts w:ascii="Liberation Mono" w:hAnsi="Liberation Mono"/>
        </w:rPr>
        <w:t xml:space="preserve">          }</w:t>
      </w:r>
    </w:p>
    <w:p>
      <w:pPr>
        <w:pStyle w:val="Code"/>
        <w:widowControl/>
        <w:shd w:fill="F3F6F8"/>
      </w:pPr>
      <w:r>
        <w:rPr>
          <w:rFonts w:ascii="Liberation Mono" w:hAnsi="Liberation Mono"/>
        </w:rPr>
        <w:t xml:space="preserve">        ]</w:t>
      </w:r>
    </w:p>
    <w:p>
      <w:pPr>
        <w:pStyle w:val="Code"/>
        <w:widowControl/>
        <w:shd w:fill="F3F6F8"/>
      </w:pPr>
      <w:r>
        <w:rPr>
          <w:rFonts w:ascii="Liberation Mono" w:hAnsi="Liberation Mono"/>
        </w:rPr>
        <w:t xml:space="preserve">      }</w:t>
      </w:r>
    </w:p>
    <w:p>
      <w:pPr>
        <w:pStyle w:val="Code"/>
        <w:widowControl/>
        <w:shd w:fill="F3F6F8"/>
      </w:pPr>
      <w:r>
        <w:rPr>
          <w:rFonts w:ascii="Liberation Mono" w:hAnsi="Liberation Mono"/>
        </w:rPr>
        <w:t xml:space="preserve">    }</w:t>
      </w:r>
    </w:p>
    <w:p>
      <w:pPr>
        <w:pStyle w:val="Code"/>
        <w:widowControl/>
        <w:shd w:fill="F3F6F8"/>
      </w:pPr>
      <w:r>
        <w:rPr>
          <w:rFonts w:ascii="Liberation Mono" w:hAnsi="Liberation Mono"/>
        </w:rPr>
        <w:t xml:space="preserve">  ]</w:t>
      </w:r>
    </w:p>
    <w:p>
      <w:pPr>
        <w:pStyle w:val="Code"/>
        <w:widowControl/>
        <w:shd w:fill="F3F6F8"/>
      </w:pPr>
      <w:r>
        <w:rPr>
          <w:rFonts w:ascii="Liberation Mono" w:hAnsi="Liberation Mono"/>
        </w:rPr>
        <w:t>}</w:t>
      </w:r>
    </w:p>
    <w:p>
      <w:pPr>
        <w:pStyle w:val="Small"/>
        <w:widowControl/>
      </w:pPr>
      <w:r/>
    </w:p>
    <w:p>
      <w:pPr>
        <w:pStyle w:val="Heading2"/>
        <w:keepNext/>
        <w:pageBreakBefore/>
        <w:widowControl/>
      </w:pPr>
      <w:r>
        <w:t>6.4 Products and interface condition use declared schemas</w:t>
      </w:r>
    </w:p>
    <w:p>
      <w:pPr>
        <w:widowControl/>
      </w:pPr>
      <w:r>
        <w:t>The station’s airTemperature output is matched to the temperature DataStream, whose schema declares a scalar quantity in Cel. The supplied Observation gives the fictional value 18.4 at 10:10 UTC on 2 September 2026, with an explicit deploymentRef declared in parametersSchema. The feature of interest is the fictional sampled environment, not the station merely because the station produced the value. This exercises R10–R11 through the ordinary Part 2 resource distinction.</w:t>
      </w:r>
    </w:p>
    <w:p>
      <w:pPr>
        <w:widowControl/>
      </w:pPr>
      <w:r>
        <w:t>The communication condition stream uses a DataRecord with a Category field named state and the declared interface-oper-status code space. Its observation has result {"state":"up"} and parameters.subjectRef pointing to station-01#if-uplink. The stream’s native observed subject is the station; the profile refinement identifies the embedded interface. The record form deliberately uses the published resultType “record” rather than inventing a “category” resultType outside Part 2’s listed values (Open Geospatial Consortium 2025b, §9.2.2, table 4).</w:t>
      </w:r>
    </w:p>
    <w:p>
      <w:pPr>
        <w:pStyle w:val="Small"/>
        <w:widowControl/>
      </w:pPr>
      <w:r>
        <w:t>Example 3. Observation parameters are declared by 14_comms_schema.json; they are not extra top-level fields.</w:t>
      </w:r>
    </w:p>
    <w:p>
      <w:pPr>
        <w:pStyle w:val="Code"/>
        <w:widowControl/>
        <w:shd w:fill="F3F6F8"/>
      </w:pPr>
      <w:r>
        <w:rPr>
          <w:rFonts w:ascii="Liberation Mono" w:hAnsi="Liberation Mono"/>
        </w:rPr>
        <w:t>{</w:t>
      </w:r>
    </w:p>
    <w:p>
      <w:pPr>
        <w:pStyle w:val="Code"/>
        <w:widowControl/>
        <w:shd w:fill="F3F6F8"/>
      </w:pPr>
      <w:r>
        <w:rPr>
          <w:rFonts w:ascii="Liberation Mono" w:hAnsi="Liberation Mono"/>
        </w:rPr>
        <w:t xml:space="preserve">  "id": "comms-01",</w:t>
      </w:r>
    </w:p>
    <w:p>
      <w:pPr>
        <w:pStyle w:val="Code"/>
        <w:widowControl/>
        <w:shd w:fill="F3F6F8"/>
      </w:pPr>
      <w:r>
        <w:rPr>
          <w:rFonts w:ascii="Liberation Mono" w:hAnsi="Liberation Mono"/>
        </w:rPr>
        <w:t xml:space="preserve">  "datastream@id": "comms",</w:t>
      </w:r>
    </w:p>
    <w:p>
      <w:pPr>
        <w:pStyle w:val="Code"/>
        <w:widowControl/>
        <w:shd w:fill="F3F6F8"/>
      </w:pPr>
      <w:r>
        <w:rPr>
          <w:rFonts w:ascii="Liberation Mono" w:hAnsi="Liberation Mono"/>
        </w:rPr>
        <w:t xml:space="preserve">  "phenomenonTime": "2026-09-02T10:10:00Z",</w:t>
      </w:r>
    </w:p>
    <w:p>
      <w:pPr>
        <w:pStyle w:val="Code"/>
        <w:widowControl/>
        <w:shd w:fill="F3F6F8"/>
      </w:pPr>
      <w:r>
        <w:rPr>
          <w:rFonts w:ascii="Liberation Mono" w:hAnsi="Liberation Mono"/>
        </w:rPr>
        <w:t xml:space="preserve">  "resultTime": "2026-09-02T10:10:00Z",</w:t>
      </w:r>
    </w:p>
    <w:p>
      <w:pPr>
        <w:pStyle w:val="Code"/>
        <w:widowControl/>
        <w:shd w:fill="F3F6F8"/>
      </w:pPr>
      <w:r>
        <w:rPr>
          <w:rFonts w:ascii="Liberation Mono" w:hAnsi="Liberation Mono"/>
        </w:rPr>
        <w:t xml:space="preserve">  "result": {</w:t>
      </w:r>
    </w:p>
    <w:p>
      <w:pPr>
        <w:pStyle w:val="Code"/>
        <w:widowControl/>
        <w:shd w:fill="F3F6F8"/>
      </w:pPr>
      <w:r>
        <w:rPr>
          <w:rFonts w:ascii="Liberation Mono" w:hAnsi="Liberation Mono"/>
        </w:rPr>
        <w:t xml:space="preserve">    "state": "up"</w:t>
      </w:r>
    </w:p>
    <w:p>
      <w:pPr>
        <w:pStyle w:val="Code"/>
        <w:widowControl/>
        <w:shd w:fill="F3F6F8"/>
      </w:pPr>
      <w:r>
        <w:rPr>
          <w:rFonts w:ascii="Liberation Mono" w:hAnsi="Liberation Mono"/>
        </w:rPr>
        <w:t xml:space="preserve">  },</w:t>
      </w:r>
    </w:p>
    <w:p>
      <w:pPr>
        <w:pStyle w:val="Code"/>
        <w:widowControl/>
        <w:shd w:fill="F3F6F8"/>
      </w:pPr>
      <w:r>
        <w:rPr>
          <w:rFonts w:ascii="Liberation Mono" w:hAnsi="Liberation Mono"/>
        </w:rPr>
        <w:t xml:space="preserve">  "parameters": {</w:t>
      </w:r>
    </w:p>
    <w:p>
      <w:pPr>
        <w:pStyle w:val="Code"/>
        <w:widowControl/>
        <w:shd w:fill="F3F6F8"/>
      </w:pPr>
      <w:r>
        <w:rPr>
          <w:rFonts w:ascii="Liberation Mono" w:hAnsi="Liberation Mono"/>
        </w:rPr>
        <w:t xml:space="preserve">    "deploymentRef": "https://demo.example/csapi/deployments/site-01",</w:t>
      </w:r>
    </w:p>
    <w:p>
      <w:pPr>
        <w:pStyle w:val="Code"/>
        <w:widowControl/>
        <w:shd w:fill="F3F6F8"/>
      </w:pPr>
      <w:r>
        <w:rPr>
          <w:rFonts w:ascii="Liberation Mono" w:hAnsi="Liberation Mono"/>
        </w:rPr>
        <w:t xml:space="preserve">    "subjectRef": "https://demo.example/csapi/systems/station-01#if-uplink"</w:t>
      </w:r>
    </w:p>
    <w:p>
      <w:pPr>
        <w:pStyle w:val="Code"/>
        <w:widowControl/>
        <w:shd w:fill="F3F6F8"/>
      </w:pPr>
      <w:r>
        <w:rPr>
          <w:rFonts w:ascii="Liberation Mono" w:hAnsi="Liberation Mono"/>
        </w:rPr>
        <w:t xml:space="preserve">  }</w:t>
      </w:r>
    </w:p>
    <w:p>
      <w:pPr>
        <w:pStyle w:val="Code"/>
        <w:widowControl/>
        <w:shd w:fill="F3F6F8"/>
      </w:pPr>
      <w:r>
        <w:rPr>
          <w:rFonts w:ascii="Liberation Mono" w:hAnsi="Liberation Mono"/>
        </w:rPr>
        <w:t>}</w:t>
      </w:r>
    </w:p>
    <w:p>
      <w:pPr>
        <w:pStyle w:val="Small"/>
        <w:widowControl/>
      </w:pPr>
      <w:r/>
    </w:p>
    <w:p>
      <w:pPr>
        <w:pStyle w:val="Heading2"/>
        <w:keepNext/>
        <w:pageBreakBefore/>
        <w:widowControl/>
      </w:pPr>
      <w:r>
        <w:t>6.5 The communications arrangement is more than a service URL</w:t>
      </w:r>
    </w:p>
    <w:p>
      <w:pPr>
        <w:widowControl/>
      </w:pPr>
      <w:r>
        <w:t>The station owns if-uplink, and gateway-01 owns sensor-side and onward interfaces. site-01 contains two explicitly directed link descriptions connecting the station and the gateway, together with a gateway-access group for the served station. The example uses the common interface model and its new OGC binding; it does not claim that these descriptions constitute a complete native RFC 8345 topology. The onward interface is described without inventing a remote destination for it.</w:t>
      </w:r>
    </w:p>
    <w:p>
      <w:pPr>
        <w:widowControl/>
      </w:pPr>
      <w:r>
        <w:t>This is sufficient to show how R13–R15 support a meaningful communication path in the station’s working view. The user can understand that the gateway mediates access and inspect the relevant link or interface details. A radio-specific family can add its own channel, waveform or shared-medium meaning without losing the common subject references. Credentials, secret key material and actual network operations are not part of the example.</w:t>
      </w:r>
    </w:p>
    <w:p>
      <w:pPr/>
      <w:r>
        <w:t>A separate hypothetical software adapter would normalize messages from a SAPIENT v2 registered sender into the station’s OGC description. The optional representation-source entry in station-01 identifies the illustrative native sender, its exact source specification, the fact that it is a message sender, and an adapter URN; the existing site-01 gateway-access entry still describes physical operating access. These two authored descriptions must never be interpreted as equivalent, and the synthetic source declaration is neither a native SAPIENT payload nor evidence of interoperability.</w:t>
      </w:r>
    </w:p>
    <w:p>
      <w:pPr>
        <w:pStyle w:val="Small"/>
      </w:pPr>
      <w:r>
        <w:t>Illustrative R15 source-provenance entry on station-01 (abbreviated, not a new resource or complete native SAPIENT message):</w:t>
      </w:r>
    </w:p>
    <w:p>
      <w:pPr>
        <w:pStyle w:val="Code"/>
      </w:pPr>
      <w:r>
        <w:t>"id": "native-sender-provenance",  "definition": "https://schemas.example/merlin/mpss/0.3/group/representation-source"</w:t>
      </w:r>
    </w:p>
    <w:p>
      <w:pPr>
        <w:pStyle w:val="Small"/>
        <w:widowControl/>
      </w:pPr>
      <w:r>
        <w:t>Example 4. Selected properties from the gateway-access group; the full group also names its links and time conditions.</w:t>
      </w:r>
    </w:p>
    <w:p>
      <w:pPr>
        <w:pStyle w:val="Code"/>
        <w:widowControl/>
        <w:shd w:fill="F3F6F8"/>
      </w:pPr>
      <w:r>
        <w:rPr>
          <w:rFonts w:ascii="Liberation Mono" w:hAnsi="Liberation Mono"/>
        </w:rPr>
        <w:t>{</w:t>
      </w:r>
    </w:p>
    <w:p>
      <w:pPr>
        <w:pStyle w:val="Code"/>
        <w:widowControl/>
        <w:shd w:fill="F3F6F8"/>
      </w:pPr>
      <w:r>
        <w:rPr>
          <w:rFonts w:ascii="Liberation Mono" w:hAnsi="Liberation Mono"/>
        </w:rPr>
        <w:t xml:space="preserve">  "id": "gateway-path",</w:t>
      </w:r>
    </w:p>
    <w:p>
      <w:pPr>
        <w:pStyle w:val="Code"/>
        <w:widowControl/>
        <w:shd w:fill="F3F6F8"/>
      </w:pPr>
      <w:r>
        <w:rPr>
          <w:rFonts w:ascii="Liberation Mono" w:hAnsi="Liberation Mono"/>
        </w:rPr>
        <w:t xml:space="preserve">  "definition": "https://schemas.example/merlin/mpss/0.3/group/gateway-access",</w:t>
      </w:r>
    </w:p>
    <w:p>
      <w:pPr>
        <w:pStyle w:val="Code"/>
        <w:widowControl/>
        <w:shd w:fill="F3F6F8"/>
      </w:pPr>
      <w:r>
        <w:rPr>
          <w:rFonts w:ascii="Liberation Mono" w:hAnsi="Liberation Mono"/>
        </w:rPr>
        <w:t xml:space="preserve">  "label": "Gateway access arrangement",</w:t>
      </w:r>
    </w:p>
    <w:p>
      <w:pPr>
        <w:pStyle w:val="Code"/>
        <w:widowControl/>
        <w:shd w:fill="F3F6F8"/>
      </w:pPr>
      <w:r>
        <w:rPr>
          <w:rFonts w:ascii="Liberation Mono" w:hAnsi="Liberation Mono"/>
        </w:rPr>
        <w:t xml:space="preserve">  "characteristics": [</w:t>
      </w:r>
    </w:p>
    <w:p>
      <w:pPr>
        <w:pStyle w:val="Code"/>
        <w:widowControl/>
        <w:shd w:fill="F3F6F8"/>
      </w:pPr>
      <w:r>
        <w:rPr>
          <w:rFonts w:ascii="Liberation Mono" w:hAnsi="Liberation Mono"/>
        </w:rPr>
        <w:t xml:space="preserve">    {</w:t>
      </w:r>
    </w:p>
    <w:p>
      <w:pPr>
        <w:pStyle w:val="Code"/>
        <w:widowControl/>
        <w:shd w:fill="F3F6F8"/>
      </w:pPr>
      <w:r>
        <w:rPr>
          <w:rFonts w:ascii="Liberation Mono" w:hAnsi="Liberation Mono"/>
        </w:rPr>
        <w:t xml:space="preserve">      "type": "Text",</w:t>
      </w:r>
    </w:p>
    <w:p>
      <w:pPr>
        <w:pStyle w:val="Code"/>
        <w:widowControl/>
        <w:shd w:fill="F3F6F8"/>
      </w:pPr>
      <w:r>
        <w:rPr>
          <w:rFonts w:ascii="Liberation Mono" w:hAnsi="Liberation Mono"/>
        </w:rPr>
        <w:t xml:space="preserve">      "definition": "https://schemas.example/merlin/mpss/0.3/term/served-system-ref",</w:t>
      </w:r>
    </w:p>
    <w:p>
      <w:pPr>
        <w:pStyle w:val="Code"/>
        <w:widowControl/>
        <w:shd w:fill="F3F6F8"/>
      </w:pPr>
      <w:r>
        <w:rPr>
          <w:rFonts w:ascii="Liberation Mono" w:hAnsi="Liberation Mono"/>
        </w:rPr>
        <w:t xml:space="preserve">      "label": "Served system ref",</w:t>
      </w:r>
    </w:p>
    <w:p>
      <w:pPr>
        <w:pStyle w:val="Code"/>
        <w:widowControl/>
        <w:shd w:fill="F3F6F8"/>
      </w:pPr>
      <w:r>
        <w:rPr>
          <w:rFonts w:ascii="Liberation Mono" w:hAnsi="Liberation Mono"/>
        </w:rPr>
        <w:t xml:space="preserve">      "value": "https://demo.example/csapi/systems/station-01"</w:t>
      </w:r>
    </w:p>
    <w:p>
      <w:pPr>
        <w:pStyle w:val="Code"/>
        <w:widowControl/>
        <w:shd w:fill="F3F6F8"/>
      </w:pPr>
      <w:r>
        <w:rPr>
          <w:rFonts w:ascii="Liberation Mono" w:hAnsi="Liberation Mono"/>
        </w:rPr>
        <w:t xml:space="preserve">    },</w:t>
      </w:r>
    </w:p>
    <w:p>
      <w:pPr>
        <w:pStyle w:val="Code"/>
        <w:widowControl/>
        <w:shd w:fill="F3F6F8"/>
      </w:pPr>
      <w:r>
        <w:rPr>
          <w:rFonts w:ascii="Liberation Mono" w:hAnsi="Liberation Mono"/>
        </w:rPr>
        <w:t xml:space="preserve">    {</w:t>
      </w:r>
    </w:p>
    <w:p>
      <w:pPr>
        <w:pStyle w:val="Code"/>
        <w:widowControl/>
        <w:shd w:fill="F3F6F8"/>
      </w:pPr>
      <w:r>
        <w:rPr>
          <w:rFonts w:ascii="Liberation Mono" w:hAnsi="Liberation Mono"/>
        </w:rPr>
        <w:t xml:space="preserve">      "type": "Text",</w:t>
      </w:r>
    </w:p>
    <w:p>
      <w:pPr>
        <w:pStyle w:val="Code"/>
        <w:widowControl/>
        <w:shd w:fill="F3F6F8"/>
      </w:pPr>
      <w:r>
        <w:rPr>
          <w:rFonts w:ascii="Liberation Mono" w:hAnsi="Liberation Mono"/>
        </w:rPr>
        <w:t xml:space="preserve">      "definition": "https://schemas.example/merlin/mpss/0.3/term/via-system-ref",</w:t>
      </w:r>
    </w:p>
    <w:p>
      <w:pPr>
        <w:pStyle w:val="Code"/>
        <w:widowControl/>
        <w:shd w:fill="F3F6F8"/>
      </w:pPr>
      <w:r>
        <w:rPr>
          <w:rFonts w:ascii="Liberation Mono" w:hAnsi="Liberation Mono"/>
        </w:rPr>
        <w:t xml:space="preserve">      "label": "Via system ref",</w:t>
      </w:r>
    </w:p>
    <w:p>
      <w:pPr>
        <w:pStyle w:val="Code"/>
        <w:widowControl/>
        <w:shd w:fill="F3F6F8"/>
      </w:pPr>
      <w:r>
        <w:rPr>
          <w:rFonts w:ascii="Liberation Mono" w:hAnsi="Liberation Mono"/>
        </w:rPr>
        <w:t xml:space="preserve">      "value": "https://demo.example/csapi/systems/gateway-01"</w:t>
      </w:r>
    </w:p>
    <w:p>
      <w:pPr>
        <w:pStyle w:val="Code"/>
        <w:widowControl/>
        <w:shd w:fill="F3F6F8"/>
      </w:pPr>
      <w:r>
        <w:rPr>
          <w:rFonts w:ascii="Liberation Mono" w:hAnsi="Liberation Mono"/>
        </w:rPr>
        <w:t xml:space="preserve">    }</w:t>
      </w:r>
    </w:p>
    <w:p>
      <w:pPr>
        <w:pStyle w:val="Code"/>
        <w:widowControl/>
        <w:shd w:fill="F3F6F8"/>
      </w:pPr>
      <w:r>
        <w:rPr>
          <w:rFonts w:ascii="Liberation Mono" w:hAnsi="Liberation Mono"/>
        </w:rPr>
        <w:t xml:space="preserve">  ]</w:t>
      </w:r>
    </w:p>
    <w:p>
      <w:pPr>
        <w:pStyle w:val="Code"/>
        <w:widowControl/>
        <w:shd w:fill="F3F6F8"/>
      </w:pPr>
      <w:r>
        <w:rPr>
          <w:rFonts w:ascii="Liberation Mono" w:hAnsi="Liberation Mono"/>
        </w:rPr>
        <w:t>}</w:t>
      </w:r>
    </w:p>
    <w:p>
      <w:pPr>
        <w:pStyle w:val="Small"/>
        <w:widowControl/>
      </w:pPr>
      <w:r/>
    </w:p>
    <w:p>
      <w:pPr>
        <w:pStyle w:val="Heading2"/>
        <w:keepNext/>
        <w:pageBreakBefore/>
        <w:widowControl/>
      </w:pPr>
      <w:r>
        <w:t>6.6 Power and service use the same equipment and event references</w:t>
      </w:r>
    </w:p>
    <w:p>
      <w:pPr>
        <w:widowControl/>
      </w:pPr>
      <w:r>
        <w:t>The deployment describes power-a supplying station-01 from emplacement until the replacement time, then power-b supplying it afterward. The replacement is recorded as event-swap, identifying the affected station and both the removed and installed source subjects. A subsequent power stream identifies station-01 as the reporting system and power-b as the observed subject, returning the fictional terminal value 12.6 V. This connects R16–R18 instead of producing an anonymous voltage unrelated to the operating arrangement.</w:t>
      </w:r>
    </w:p>
    <w:p>
      <w:pPr>
        <w:widowControl/>
      </w:pPr>
      <w:r>
        <w:t>The deployment now represents the two directed powers relations in P/group/energy-relationship, with power-a supplying station-01 before replacement and power-b afterward. Their RFC 7326-inspired meaning is embedded in a MERLIN-authored SensorML group and code space; no meter, aggregator, connector behavior or physical current flow is fabricated. The fictional 12.6 V remains an independent measurement with its own producer, subject and time, not an inferred condition or universal battery-health result.</w:t>
      </w:r>
    </w:p>
    <w:p>
      <w:pPr>
        <w:pStyle w:val="Small"/>
        <w:widowControl/>
      </w:pPr>
      <w:r>
        <w:t>Example 5. Selected replacement-event fields; the full Event also identifies affected station, deployment and responsible party.</w:t>
      </w:r>
    </w:p>
    <w:p>
      <w:pPr>
        <w:pStyle w:val="Code"/>
        <w:widowControl/>
        <w:shd w:fill="F3F6F8"/>
      </w:pPr>
      <w:r>
        <w:rPr>
          <w:rFonts w:ascii="Liberation Mono" w:hAnsi="Liberation Mono"/>
        </w:rPr>
        <w:t>{</w:t>
      </w:r>
    </w:p>
    <w:p>
      <w:pPr>
        <w:pStyle w:val="Code"/>
        <w:widowControl/>
        <w:shd w:fill="F3F6F8"/>
      </w:pPr>
      <w:r>
        <w:rPr>
          <w:rFonts w:ascii="Liberation Mono" w:hAnsi="Liberation Mono"/>
        </w:rPr>
        <w:t xml:space="preserve">  "id": "event-swap",</w:t>
      </w:r>
    </w:p>
    <w:p>
      <w:pPr>
        <w:pStyle w:val="Code"/>
        <w:widowControl/>
        <w:shd w:fill="F3F6F8"/>
      </w:pPr>
      <w:r>
        <w:rPr>
          <w:rFonts w:ascii="Liberation Mono" w:hAnsi="Liberation Mono"/>
        </w:rPr>
        <w:t xml:space="preserve">  "definition": "https://schemas.example/merlin/mpss/0.3/event/power-source-replacement",</w:t>
      </w:r>
    </w:p>
    <w:p>
      <w:pPr>
        <w:pStyle w:val="Code"/>
        <w:widowControl/>
        <w:shd w:fill="F3F6F8"/>
      </w:pPr>
      <w:r>
        <w:rPr>
          <w:rFonts w:ascii="Liberation Mono" w:hAnsi="Liberation Mono"/>
        </w:rPr>
        <w:t xml:space="preserve">  "label": "Demonstration supply replacement",</w:t>
      </w:r>
    </w:p>
    <w:p>
      <w:pPr>
        <w:pStyle w:val="Code"/>
        <w:widowControl/>
        <w:shd w:fill="F3F6F8"/>
      </w:pPr>
      <w:r>
        <w:rPr>
          <w:rFonts w:ascii="Liberation Mono" w:hAnsi="Liberation Mono"/>
        </w:rPr>
        <w:t xml:space="preserve">  "time": "2026-09-02T10:00:00Z",</w:t>
      </w:r>
    </w:p>
    <w:p>
      <w:pPr>
        <w:pStyle w:val="Code"/>
        <w:widowControl/>
        <w:shd w:fill="F3F6F8"/>
      </w:pPr>
      <w:r>
        <w:rPr>
          <w:rFonts w:ascii="Liberation Mono" w:hAnsi="Liberation Mono"/>
        </w:rPr>
        <w:t xml:space="preserve">  "properties": [</w:t>
      </w:r>
    </w:p>
    <w:p>
      <w:pPr>
        <w:pStyle w:val="Code"/>
        <w:widowControl/>
        <w:shd w:fill="F3F6F8"/>
      </w:pPr>
      <w:r>
        <w:rPr>
          <w:rFonts w:ascii="Liberation Mono" w:hAnsi="Liberation Mono"/>
        </w:rPr>
        <w:t xml:space="preserve">    {</w:t>
      </w:r>
    </w:p>
    <w:p>
      <w:pPr>
        <w:pStyle w:val="Code"/>
        <w:widowControl/>
        <w:shd w:fill="F3F6F8"/>
      </w:pPr>
      <w:r>
        <w:rPr>
          <w:rFonts w:ascii="Liberation Mono" w:hAnsi="Liberation Mono"/>
        </w:rPr>
        <w:t xml:space="preserve">      "type": "Text",</w:t>
      </w:r>
    </w:p>
    <w:p>
      <w:pPr>
        <w:pStyle w:val="Code"/>
        <w:widowControl/>
        <w:shd w:fill="F3F6F8"/>
      </w:pPr>
      <w:r>
        <w:rPr>
          <w:rFonts w:ascii="Liberation Mono" w:hAnsi="Liberation Mono"/>
        </w:rPr>
        <w:t xml:space="preserve">      "definition": "https://schemas.example/merlin/mpss/0.3/term/replaced-subject-ref",</w:t>
      </w:r>
    </w:p>
    <w:p>
      <w:pPr>
        <w:pStyle w:val="Code"/>
        <w:widowControl/>
        <w:shd w:fill="F3F6F8"/>
      </w:pPr>
      <w:r>
        <w:rPr>
          <w:rFonts w:ascii="Liberation Mono" w:hAnsi="Liberation Mono"/>
        </w:rPr>
        <w:t xml:space="preserve">      "label": "Replaced subject ref",</w:t>
      </w:r>
    </w:p>
    <w:p>
      <w:pPr>
        <w:pStyle w:val="Code"/>
        <w:widowControl/>
        <w:shd w:fill="F3F6F8"/>
      </w:pPr>
      <w:r>
        <w:rPr>
          <w:rFonts w:ascii="Liberation Mono" w:hAnsi="Liberation Mono"/>
        </w:rPr>
        <w:t xml:space="preserve">      "value": "https://demo.example/csapi/systems/power-a"</w:t>
      </w:r>
    </w:p>
    <w:p>
      <w:pPr>
        <w:pStyle w:val="Code"/>
        <w:widowControl/>
        <w:shd w:fill="F3F6F8"/>
      </w:pPr>
      <w:r>
        <w:rPr>
          <w:rFonts w:ascii="Liberation Mono" w:hAnsi="Liberation Mono"/>
        </w:rPr>
        <w:t xml:space="preserve">    },</w:t>
      </w:r>
    </w:p>
    <w:p>
      <w:pPr>
        <w:pStyle w:val="Code"/>
        <w:widowControl/>
        <w:shd w:fill="F3F6F8"/>
      </w:pPr>
      <w:r>
        <w:rPr>
          <w:rFonts w:ascii="Liberation Mono" w:hAnsi="Liberation Mono"/>
        </w:rPr>
        <w:t xml:space="preserve">    {</w:t>
      </w:r>
    </w:p>
    <w:p>
      <w:pPr>
        <w:pStyle w:val="Code"/>
        <w:widowControl/>
        <w:shd w:fill="F3F6F8"/>
      </w:pPr>
      <w:r>
        <w:rPr>
          <w:rFonts w:ascii="Liberation Mono" w:hAnsi="Liberation Mono"/>
        </w:rPr>
        <w:t xml:space="preserve">      "type": "Text",</w:t>
      </w:r>
    </w:p>
    <w:p>
      <w:pPr>
        <w:pStyle w:val="Code"/>
        <w:widowControl/>
        <w:shd w:fill="F3F6F8"/>
      </w:pPr>
      <w:r>
        <w:rPr>
          <w:rFonts w:ascii="Liberation Mono" w:hAnsi="Liberation Mono"/>
        </w:rPr>
        <w:t xml:space="preserve">      "definition": "https://schemas.example/merlin/mpss/0.3/term/replacement-subject-ref",</w:t>
      </w:r>
    </w:p>
    <w:p>
      <w:pPr>
        <w:pStyle w:val="Code"/>
        <w:widowControl/>
        <w:shd w:fill="F3F6F8"/>
      </w:pPr>
      <w:r>
        <w:rPr>
          <w:rFonts w:ascii="Liberation Mono" w:hAnsi="Liberation Mono"/>
        </w:rPr>
        <w:t xml:space="preserve">      "label": "Replacement subject ref",</w:t>
      </w:r>
    </w:p>
    <w:p>
      <w:pPr>
        <w:pStyle w:val="Code"/>
        <w:widowControl/>
        <w:shd w:fill="F3F6F8"/>
      </w:pPr>
      <w:r>
        <w:rPr>
          <w:rFonts w:ascii="Liberation Mono" w:hAnsi="Liberation Mono"/>
        </w:rPr>
        <w:t xml:space="preserve">      "value": "https://demo.example/csapi/systems/power-b"</w:t>
      </w:r>
    </w:p>
    <w:p>
      <w:pPr>
        <w:pStyle w:val="Code"/>
        <w:widowControl/>
        <w:shd w:fill="F3F6F8"/>
      </w:pPr>
      <w:r>
        <w:rPr>
          <w:rFonts w:ascii="Liberation Mono" w:hAnsi="Liberation Mono"/>
        </w:rPr>
        <w:t xml:space="preserve">    }</w:t>
      </w:r>
    </w:p>
    <w:p>
      <w:pPr>
        <w:pStyle w:val="Code"/>
        <w:widowControl/>
        <w:shd w:fill="F3F6F8"/>
      </w:pPr>
      <w:r>
        <w:rPr>
          <w:rFonts w:ascii="Liberation Mono" w:hAnsi="Liberation Mono"/>
        </w:rPr>
        <w:t xml:space="preserve">  ]</w:t>
      </w:r>
    </w:p>
    <w:p>
      <w:pPr>
        <w:pStyle w:val="Code"/>
        <w:widowControl/>
        <w:shd w:fill="F3F6F8"/>
      </w:pPr>
      <w:r>
        <w:rPr>
          <w:rFonts w:ascii="Liberation Mono" w:hAnsi="Liberation Mono"/>
        </w:rPr>
        <w:t>}</w:t>
      </w:r>
    </w:p>
    <w:p>
      <w:pPr>
        <w:pStyle w:val="Small"/>
        <w:widowControl/>
      </w:pPr>
      <w:r/>
    </w:p>
    <w:p>
      <w:pPr>
        <w:pStyle w:val="Heading2"/>
        <w:keepNext/>
        <w:pageBreakBefore/>
        <w:widowControl/>
      </w:pPr>
      <w:r>
        <w:t>6.7 Action, assessment, recovery and the user’s working picture</w:t>
      </w:r>
    </w:p>
    <w:p>
      <w:pPr>
        <w:widowControl/>
      </w:pPr>
      <w:r>
        <w:t>The setSampleInterval input and ControlStream accept seconds, while action-binding relates the input to the sensing function and sampleInterval parameter. The fictional CommandStatus and CommandResult return 120 seconds as the command service’s reported outcome; that is not independent evidence that the physical sampling rate actually changed. Separately, SensorML history Event event-service-review records that the service team reviewed the power-source replacement and its existing 12.6 V observation. That record is administrative service history, not an equipment-condition Observation or readiness determination.</w:t>
      </w:r>
    </w:p>
    <w:p>
      <w:pPr>
        <w:widowControl/>
      </w:pPr>
      <w:r>
        <w:t>At the illustrative view time of 2 September 2026 at 10:20 UTC, the assembled description includes the model, equipment, employment, monitoring function, current configuration, gateway, current power supply and recent replacement/service review. The later recovery Event is part of the same historical record but is not presented as completed in that earlier time slice. R20 retains an optional Observation route for genuine source-supported measured or method-derived condition assessments, while this example properly avoids fabricating one. The scenario is synthetic and does not demonstrate a live client.</w:t>
      </w:r>
    </w:p>
    <w:p>
      <w:pPr>
        <w:pStyle w:val="Small"/>
        <w:widowControl/>
      </w:pPr>
      <w:r>
        <w:t>Example 6. Inline CommandResult uses data, interpreted by the resultSchema in 20_command_schema.json.</w:t>
      </w:r>
    </w:p>
    <w:p>
      <w:pPr>
        <w:pStyle w:val="Code"/>
        <w:widowControl/>
        <w:shd w:fill="F3F6F8"/>
      </w:pPr>
      <w:r>
        <w:rPr>
          <w:rFonts w:ascii="Liberation Mono" w:hAnsi="Liberation Mono"/>
        </w:rPr>
        <w:t>{</w:t>
      </w:r>
    </w:p>
    <w:p>
      <w:pPr>
        <w:pStyle w:val="Code"/>
        <w:widowControl/>
        <w:shd w:fill="F3F6F8"/>
      </w:pPr>
      <w:r>
        <w:rPr>
          <w:rFonts w:ascii="Liberation Mono" w:hAnsi="Liberation Mono"/>
        </w:rPr>
        <w:t xml:space="preserve">  "data": {</w:t>
      </w:r>
    </w:p>
    <w:p>
      <w:pPr>
        <w:pStyle w:val="Code"/>
        <w:widowControl/>
        <w:shd w:fill="F3F6F8"/>
      </w:pPr>
      <w:r>
        <w:rPr>
          <w:rFonts w:ascii="Liberation Mono" w:hAnsi="Liberation Mono"/>
        </w:rPr>
        <w:t xml:space="preserve">    "seconds": 120</w:t>
      </w:r>
    </w:p>
    <w:p>
      <w:pPr>
        <w:pStyle w:val="Code"/>
        <w:widowControl/>
        <w:shd w:fill="F3F6F8"/>
      </w:pPr>
      <w:r>
        <w:rPr>
          <w:rFonts w:ascii="Liberation Mono" w:hAnsi="Liberation Mono"/>
        </w:rPr>
        <w:t xml:space="preserve">  }</w:t>
      </w:r>
    </w:p>
    <w:p>
      <w:pPr>
        <w:pStyle w:val="Code"/>
        <w:widowControl/>
        <w:shd w:fill="F3F6F8"/>
      </w:pPr>
      <w:r>
        <w:rPr>
          <w:rFonts w:ascii="Liberation Mono" w:hAnsi="Liberation Mono"/>
        </w:rPr>
        <w:t>}</w:t>
      </w:r>
    </w:p>
    <w:p>
      <w:pPr>
        <w:pStyle w:val="Small"/>
        <w:widowControl/>
      </w:pPr>
      <w:r/>
    </w:p>
    <w:tbl>
      <w:tblPr>
        <w:tblW w:type="auto" w:w="0"/>
        <w:jc w:val="center"/>
        <w:tblLayout w:type="fixed"/>
        <w:tblLook w:firstColumn="1" w:firstRow="1" w:lastColumn="0" w:lastRow="0" w:noHBand="0" w:noVBand="1" w:val="04A0"/>
      </w:tblPr>
      <w:tblGrid>
        <w:gridCol w:w="2650"/>
        <w:gridCol w:w="7272"/>
      </w:tblGrid>
      <w:tr>
        <w:trPr>
          <w:cantSplit/>
          <w:tblHeader/>
        </w:trPr>
        <w:tc>
          <w:tcPr>
            <w:tcW w:type="dxa" w:w="2650"/>
            <w:vAlign w:val="center"/>
            <w:shd w:fill="E7EEF2"/>
            <w:tcMar>
              <w:top w:w="70" w:type="dxa"/>
              <w:bottom w:w="70" w:type="dxa"/>
              <w:left w:w="70" w:type="dxa"/>
              <w:right w:w="70" w:type="dxa"/>
            </w:tcMar>
          </w:tcPr>
          <w:p>
            <w:pPr>
              <w:spacing w:after="60" w:before="40" w:line="245" w:lineRule="auto"/>
            </w:pPr>
            <w:r>
              <w:rPr>
                <w:b/>
                <w:sz w:val="18"/>
              </w:rPr>
              <w:t>Operator question</w:t>
            </w:r>
          </w:p>
        </w:tc>
        <w:tc>
          <w:tcPr>
            <w:tcW w:type="dxa" w:w="7272"/>
            <w:vAlign w:val="center"/>
            <w:shd w:fill="E7EEF2"/>
            <w:tcMar>
              <w:top w:w="70" w:type="dxa"/>
              <w:bottom w:w="70" w:type="dxa"/>
              <w:left w:w="70" w:type="dxa"/>
              <w:right w:w="70" w:type="dxa"/>
            </w:tcMar>
          </w:tcPr>
          <w:p>
            <w:pPr>
              <w:spacing w:after="60" w:before="40" w:line="245" w:lineRule="auto"/>
            </w:pPr>
            <w:r>
              <w:rPr>
                <w:b/>
                <w:sz w:val="18"/>
              </w:rPr>
              <w:t>Connected information in this example</w:t>
            </w:r>
          </w:p>
        </w:tc>
      </w:tr>
      <w:tr>
        <w:trPr>
          <w:cantSplit/>
        </w:trPr>
        <w:tc>
          <w:tcPr>
            <w:tcW w:type="dxa" w:w="2650"/>
            <w:vAlign w:val="center"/>
            <w:shd w:fill="FFFFFF"/>
            <w:tcMar>
              <w:top w:w="70" w:type="dxa"/>
              <w:bottom w:w="70" w:type="dxa"/>
              <w:left w:w="70" w:type="dxa"/>
              <w:right w:w="70" w:type="dxa"/>
            </w:tcMar>
          </w:tcPr>
          <w:p>
            <w:pPr>
              <w:spacing w:after="60" w:before="40" w:line="245" w:lineRule="auto"/>
            </w:pPr>
            <w:r>
              <w:rPr>
                <w:b w:val="0"/>
                <w:sz w:val="18"/>
              </w:rPr>
              <w:t>What is this equipment?</w:t>
            </w:r>
          </w:p>
        </w:tc>
        <w:tc>
          <w:tcPr>
            <w:tcW w:type="dxa" w:w="7272"/>
            <w:vAlign w:val="center"/>
            <w:shd w:fill="FFFFFF"/>
            <w:tcMar>
              <w:top w:w="70" w:type="dxa"/>
              <w:bottom w:w="70" w:type="dxa"/>
              <w:left w:w="70" w:type="dxa"/>
              <w:right w:w="70" w:type="dxa"/>
            </w:tcMar>
          </w:tcPr>
          <w:p>
            <w:r>
              <w:t>Station 01 retains its persistent physical identity and model, integrated environmental probe, mast and revisions; the optional native SAPIENT sender ID remains distinct.</w:t>
            </w:r>
          </w:p>
        </w:tc>
      </w:tr>
      <w:tr>
        <w:trPr>
          <w:cantSplit/>
        </w:trPr>
        <w:tc>
          <w:tcPr>
            <w:tcW w:type="dxa" w:w="2650"/>
            <w:vAlign w:val="center"/>
            <w:shd w:fill="F6F8FA"/>
            <w:tcMar>
              <w:top w:w="70" w:type="dxa"/>
              <w:bottom w:w="70" w:type="dxa"/>
              <w:left w:w="70" w:type="dxa"/>
              <w:right w:w="70" w:type="dxa"/>
            </w:tcMar>
          </w:tcPr>
          <w:p>
            <w:pPr>
              <w:spacing w:after="60" w:before="40" w:line="245" w:lineRule="auto"/>
            </w:pPr>
            <w:r>
              <w:rPr>
                <w:b w:val="0"/>
                <w:sz w:val="18"/>
              </w:rPr>
              <w:t>Why and where is it employed?</w:t>
            </w:r>
          </w:p>
        </w:tc>
        <w:tc>
          <w:tcPr>
            <w:tcW w:type="dxa" w:w="7272"/>
            <w:vAlign w:val="center"/>
            <w:shd w:fill="F6F8FA"/>
            <w:tcMar>
              <w:top w:w="70" w:type="dxa"/>
              <w:bottom w:w="70" w:type="dxa"/>
              <w:left w:w="70" w:type="dxa"/>
              <w:right w:w="70" w:type="dxa"/>
            </w:tcMar>
          </w:tcPr>
          <w:p>
            <w:pPr>
              <w:spacing w:after="60" w:before="40" w:line="245" w:lineRule="auto"/>
            </w:pPr>
            <w:r>
              <w:rPr>
                <w:b w:val="0"/>
                <w:sz w:val="18"/>
              </w:rPr>
              <w:t>site-01 monitoring deployment, parent campaign, purpose, location and responsible teams.</w:t>
            </w:r>
          </w:p>
        </w:tc>
      </w:tr>
      <w:tr>
        <w:trPr>
          <w:cantSplit/>
        </w:trPr>
        <w:tc>
          <w:tcPr>
            <w:tcW w:type="dxa" w:w="2650"/>
            <w:vAlign w:val="center"/>
            <w:shd w:fill="FFFFFF"/>
            <w:tcMar>
              <w:top w:w="70" w:type="dxa"/>
              <w:bottom w:w="70" w:type="dxa"/>
              <w:left w:w="70" w:type="dxa"/>
              <w:right w:w="70" w:type="dxa"/>
            </w:tcMar>
          </w:tcPr>
          <w:p>
            <w:pPr>
              <w:spacing w:after="60" w:before="40" w:line="245" w:lineRule="auto"/>
            </w:pPr>
            <w:r>
              <w:rPr>
                <w:b w:val="0"/>
                <w:sz w:val="18"/>
              </w:rPr>
              <w:t>How is it operating?</w:t>
            </w:r>
          </w:p>
        </w:tc>
        <w:tc>
          <w:tcPr>
            <w:tcW w:type="dxa" w:w="7272"/>
            <w:vAlign w:val="center"/>
            <w:shd w:fill="FFFFFF"/>
            <w:tcMar>
              <w:top w:w="70" w:type="dxa"/>
              <w:bottom w:w="70" w:type="dxa"/>
              <w:left w:w="70" w:type="dxa"/>
              <w:right w:w="70" w:type="dxa"/>
            </w:tcMar>
          </w:tcPr>
          <w:p>
            <w:r>
              <w:t>Named sensing function, 120-second deployment setting, physical gateway path, and a separate hypothetical adapter/source-provenance record.</w:t>
            </w:r>
          </w:p>
        </w:tc>
      </w:tr>
      <w:tr>
        <w:trPr>
          <w:cantSplit/>
        </w:trPr>
        <w:tc>
          <w:tcPr>
            <w:tcW w:type="dxa" w:w="2650"/>
            <w:vAlign w:val="center"/>
            <w:shd w:fill="F6F8FA"/>
            <w:tcMar>
              <w:top w:w="70" w:type="dxa"/>
              <w:bottom w:w="70" w:type="dxa"/>
              <w:left w:w="70" w:type="dxa"/>
              <w:right w:w="70" w:type="dxa"/>
            </w:tcMar>
          </w:tcPr>
          <w:p>
            <w:pPr>
              <w:spacing w:after="60" w:before="40" w:line="245" w:lineRule="auto"/>
            </w:pPr>
            <w:r>
              <w:rPr>
                <w:b w:val="0"/>
                <w:sz w:val="18"/>
              </w:rPr>
              <w:t>What powers it and what changed?</w:t>
            </w:r>
          </w:p>
        </w:tc>
        <w:tc>
          <w:tcPr>
            <w:tcW w:type="dxa" w:w="7272"/>
            <w:vAlign w:val="center"/>
            <w:shd w:fill="F6F8FA"/>
            <w:tcMar>
              <w:top w:w="70" w:type="dxa"/>
              <w:bottom w:w="70" w:type="dxa"/>
              <w:left w:w="70" w:type="dxa"/>
              <w:right w:w="70" w:type="dxa"/>
            </w:tcMar>
          </w:tcPr>
          <w:p>
            <w:r>
              <w:t>Source B after replacement, typed powers relationship, separate terminal reading, and linked service-review Event.</w:t>
            </w:r>
          </w:p>
        </w:tc>
      </w:tr>
      <w:tr>
        <w:trPr>
          <w:cantSplit/>
        </w:trPr>
        <w:tc>
          <w:tcPr>
            <w:tcW w:type="dxa" w:w="2650"/>
            <w:vAlign w:val="center"/>
            <w:shd w:fill="FFFFFF"/>
            <w:tcMar>
              <w:top w:w="70" w:type="dxa"/>
              <w:bottom w:w="70" w:type="dxa"/>
              <w:left w:w="70" w:type="dxa"/>
              <w:right w:w="70" w:type="dxa"/>
            </w:tcMar>
          </w:tcPr>
          <w:p>
            <w:pPr>
              <w:spacing w:after="60" w:before="40" w:line="245" w:lineRule="auto"/>
            </w:pPr>
            <w:r>
              <w:rPr>
                <w:b w:val="0"/>
                <w:sz w:val="18"/>
              </w:rPr>
              <w:t>What can I do or inspect next?</w:t>
            </w:r>
          </w:p>
        </w:tc>
        <w:tc>
          <w:tcPr>
            <w:tcW w:type="dxa" w:w="7272"/>
            <w:vAlign w:val="center"/>
            <w:shd w:fill="FFFFFF"/>
            <w:tcMar>
              <w:top w:w="70" w:type="dxa"/>
              <w:bottom w:w="70" w:type="dxa"/>
              <w:left w:w="70" w:type="dxa"/>
              <w:right w:w="70" w:type="dxa"/>
            </w:tcMar>
          </w:tcPr>
          <w:p>
            <w:pPr>
              <w:spacing w:after="60" w:before="40" w:line="245" w:lineRule="auto"/>
            </w:pPr>
            <w:r>
              <w:rPr>
                <w:b w:val="0"/>
                <w:sz w:val="18"/>
              </w:rPr>
              <w:t>Follow the sensing products or supported sample-interval action; review service and later recovery in the same history.</w:t>
            </w:r>
          </w:p>
        </w:tc>
      </w:tr>
    </w:tbl>
    <w:p>
      <w:pPr>
        <w:pStyle w:val="Small"/>
        <w:widowControl/>
      </w:pPr>
      <w:r/>
    </w:p>
    <w:p>
      <w:pPr>
        <w:pStyle w:val="Heading2"/>
        <w:keepNext/>
        <w:pageBreakBefore/>
        <w:widowControl/>
      </w:pPr>
      <w:r>
        <w:t>6.8 Example coverage and reproducibility</w:t>
      </w:r>
    </w:p>
    <w:p>
      <w:pPr>
        <w:widowControl/>
      </w:pPr>
      <w:r>
        <w:t>The coverage index records the accepted examples through v0.3.5. All 26 resource bodies from v0.3.4 (01–23 and 28–30) remain byte-for-byte unchanged; 24–27 remain withdrawn. New files 31–33 are auxiliary battery mapping cases, a property-definition example and a result-schema fragment, not additional observations from the original station. The manifest separates resource bodies from auxiliary material and records which checks were performed.</w:t>
      </w:r>
    </w:p>
    <w:tbl>
      <w:tblPr>
        <w:tblW w:type="auto" w:w="0"/>
        <w:jc w:val="center"/>
        <w:tblLayout w:type="fixed"/>
        <w:tblLook w:firstColumn="1" w:firstRow="1" w:lastColumn="0" w:lastRow="0" w:noHBand="0" w:noVBand="1" w:val="04A0"/>
      </w:tblPr>
      <w:tblGrid>
        <w:gridCol w:w="922"/>
        <w:gridCol w:w="1627"/>
        <w:gridCol w:w="7373"/>
      </w:tblGrid>
      <w:tr>
        <w:trPr>
          <w:cantSplit/>
          <w:tblHeader/>
        </w:trPr>
        <w:tc>
          <w:tcPr>
            <w:tcW w:type="dxa" w:w="922"/>
            <w:vAlign w:val="center"/>
            <w:shd w:fill="E7EEF2"/>
            <w:tcMar>
              <w:top w:w="70" w:type="dxa"/>
              <w:bottom w:w="70" w:type="dxa"/>
              <w:left w:w="70" w:type="dxa"/>
              <w:right w:w="70" w:type="dxa"/>
            </w:tcMar>
          </w:tcPr>
          <w:p>
            <w:pPr>
              <w:spacing w:after="60" w:before="40" w:line="245" w:lineRule="auto"/>
            </w:pPr>
            <w:r>
              <w:rPr>
                <w:b/>
                <w:sz w:val="18"/>
              </w:rPr>
              <w:t>R ID</w:t>
            </w:r>
          </w:p>
        </w:tc>
        <w:tc>
          <w:tcPr>
            <w:tcW w:type="dxa" w:w="1627"/>
            <w:vAlign w:val="center"/>
            <w:shd w:fill="E7EEF2"/>
            <w:tcMar>
              <w:top w:w="70" w:type="dxa"/>
              <w:bottom w:w="70" w:type="dxa"/>
              <w:left w:w="70" w:type="dxa"/>
              <w:right w:w="70" w:type="dxa"/>
            </w:tcMar>
          </w:tcPr>
          <w:p>
            <w:pPr>
              <w:spacing w:after="60" w:before="40" w:line="245" w:lineRule="auto"/>
            </w:pPr>
            <w:r>
              <w:rPr>
                <w:b/>
                <w:sz w:val="18"/>
              </w:rPr>
              <w:t>Example files</w:t>
            </w:r>
          </w:p>
        </w:tc>
        <w:tc>
          <w:tcPr>
            <w:tcW w:type="dxa" w:w="7373"/>
            <w:vAlign w:val="center"/>
            <w:shd w:fill="E7EEF2"/>
            <w:tcMar>
              <w:top w:w="70" w:type="dxa"/>
              <w:bottom w:w="70" w:type="dxa"/>
              <w:left w:w="70" w:type="dxa"/>
              <w:right w:w="70" w:type="dxa"/>
            </w:tcMar>
          </w:tcPr>
          <w:p>
            <w:pPr>
              <w:spacing w:after="60" w:before="40" w:line="245" w:lineRule="auto"/>
            </w:pPr>
            <w:r>
              <w:rPr>
                <w:b/>
                <w:sz w:val="18"/>
              </w:rPr>
              <w:t>What to inspect</w:t>
            </w:r>
          </w:p>
        </w:tc>
      </w:tr>
      <w:tr>
        <w:trPr>
          <w:cantSplit/>
        </w:trPr>
        <w:tc>
          <w:tcPr>
            <w:tcW w:type="dxa" w:w="922"/>
            <w:vAlign w:val="center"/>
            <w:shd w:fill="FFFFFF"/>
            <w:tcMar>
              <w:top w:w="70" w:type="dxa"/>
              <w:bottom w:w="70" w:type="dxa"/>
              <w:left w:w="70" w:type="dxa"/>
              <w:right w:w="70" w:type="dxa"/>
            </w:tcMar>
          </w:tcPr>
          <w:p>
            <w:pPr>
              <w:spacing w:after="60" w:before="40" w:line="245" w:lineRule="auto"/>
            </w:pPr>
            <w:r>
              <w:rPr>
                <w:b w:val="0"/>
                <w:sz w:val="18"/>
              </w:rPr>
              <w:t>R01</w:t>
            </w:r>
          </w:p>
        </w:tc>
        <w:tc>
          <w:tcPr>
            <w:tcW w:type="dxa" w:w="1627"/>
            <w:vAlign w:val="center"/>
            <w:shd w:fill="FFFFFF"/>
            <w:tcMar>
              <w:top w:w="70" w:type="dxa"/>
              <w:bottom w:w="70" w:type="dxa"/>
              <w:left w:w="70" w:type="dxa"/>
              <w:right w:w="70" w:type="dxa"/>
            </w:tcMar>
          </w:tcPr>
          <w:p>
            <w:r>
              <w:t>01, 02</w:t>
            </w:r>
          </w:p>
        </w:tc>
        <w:tc>
          <w:tcPr>
            <w:tcW w:type="dxa" w:w="7373"/>
            <w:vAlign w:val="center"/>
            <w:shd w:fill="FFFFFF"/>
            <w:tcMar>
              <w:top w:w="70" w:type="dxa"/>
              <w:bottom w:w="70" w:type="dxa"/>
              <w:left w:w="70" w:type="dxa"/>
              <w:right w:w="70" w:type="dxa"/>
            </w:tcMar>
          </w:tcPr>
          <w:p>
            <w:pPr>
              <w:spacing w:after="60" w:before="40" w:line="245" w:lineRule="auto"/>
            </w:pPr>
            <w:r>
              <w:rPr>
                <w:b w:val="0"/>
                <w:sz w:val="18"/>
              </w:rPr>
              <w:t>typeOf and model technical description</w:t>
            </w:r>
          </w:p>
        </w:tc>
      </w:tr>
      <w:tr>
        <w:trPr>
          <w:cantSplit/>
        </w:trPr>
        <w:tc>
          <w:tcPr>
            <w:tcW w:type="dxa" w:w="922"/>
            <w:vAlign w:val="center"/>
            <w:shd w:fill="F6F8FA"/>
            <w:tcMar>
              <w:top w:w="70" w:type="dxa"/>
              <w:bottom w:w="70" w:type="dxa"/>
              <w:left w:w="70" w:type="dxa"/>
              <w:right w:w="70" w:type="dxa"/>
            </w:tcMar>
          </w:tcPr>
          <w:p>
            <w:pPr>
              <w:spacing w:after="60" w:before="40" w:line="245" w:lineRule="auto"/>
            </w:pPr>
            <w:r>
              <w:rPr>
                <w:b w:val="0"/>
                <w:sz w:val="18"/>
              </w:rPr>
              <w:t>R02</w:t>
            </w:r>
          </w:p>
        </w:tc>
        <w:tc>
          <w:tcPr>
            <w:tcW w:type="dxa" w:w="1627"/>
            <w:vAlign w:val="center"/>
            <w:shd w:fill="F6F8FA"/>
            <w:tcMar>
              <w:top w:w="70" w:type="dxa"/>
              <w:bottom w:w="70" w:type="dxa"/>
              <w:left w:w="70" w:type="dxa"/>
              <w:right w:w="70" w:type="dxa"/>
            </w:tcMar>
          </w:tcPr>
          <w:p>
            <w:r>
              <w:t>02</w:t>
            </w:r>
          </w:p>
        </w:tc>
        <w:tc>
          <w:tcPr>
            <w:tcW w:type="dxa" w:w="7373"/>
            <w:vAlign w:val="center"/>
            <w:shd w:fill="F6F8FA"/>
            <w:tcMar>
              <w:top w:w="70" w:type="dxa"/>
              <w:bottom w:w="70" w:type="dxa"/>
              <w:left w:w="70" w:type="dxa"/>
              <w:right w:w="70" w:type="dxa"/>
            </w:tcMar>
          </w:tcPr>
          <w:p>
            <w:pPr>
              <w:spacing w:after="60" w:before="40" w:line="245" w:lineRule="auto"/>
            </w:pPr>
            <w:r>
              <w:rPr>
                <w:b w:val="0"/>
                <w:sz w:val="18"/>
              </w:rPr>
              <w:t>components/environmentProbe and equipment-role</w:t>
            </w:r>
          </w:p>
        </w:tc>
      </w:tr>
      <w:tr>
        <w:trPr>
          <w:cantSplit/>
        </w:trPr>
        <w:tc>
          <w:tcPr>
            <w:tcW w:type="dxa" w:w="922"/>
            <w:vAlign w:val="center"/>
            <w:shd w:fill="FFFFFF"/>
            <w:tcMar>
              <w:top w:w="70" w:type="dxa"/>
              <w:bottom w:w="70" w:type="dxa"/>
              <w:left w:w="70" w:type="dxa"/>
              <w:right w:w="70" w:type="dxa"/>
            </w:tcMar>
          </w:tcPr>
          <w:p>
            <w:pPr>
              <w:spacing w:after="60" w:before="40" w:line="245" w:lineRule="auto"/>
            </w:pPr>
            <w:r>
              <w:rPr>
                <w:b w:val="0"/>
                <w:sz w:val="18"/>
              </w:rPr>
              <w:t>R03</w:t>
            </w:r>
          </w:p>
        </w:tc>
        <w:tc>
          <w:tcPr>
            <w:tcW w:type="dxa" w:w="1627"/>
            <w:vAlign w:val="center"/>
            <w:shd w:fill="FFFFFF"/>
            <w:tcMar>
              <w:top w:w="70" w:type="dxa"/>
              <w:bottom w:w="70" w:type="dxa"/>
              <w:left w:w="70" w:type="dxa"/>
              <w:right w:w="70" w:type="dxa"/>
            </w:tcMar>
          </w:tcPr>
          <w:p>
            <w:pPr>
              <w:spacing w:after="60" w:before="40" w:line="245" w:lineRule="auto"/>
            </w:pPr>
            <w:r>
              <w:rPr>
                <w:b w:val="0"/>
                <w:sz w:val="18"/>
              </w:rPr>
              <w:t>02, 04, 08</w:t>
            </w:r>
          </w:p>
        </w:tc>
        <w:tc>
          <w:tcPr>
            <w:tcW w:type="dxa" w:w="7373"/>
            <w:vAlign w:val="center"/>
            <w:shd w:fill="FFFFFF"/>
            <w:tcMar>
              <w:top w:w="70" w:type="dxa"/>
              <w:bottom w:w="70" w:type="dxa"/>
              <w:left w:w="70" w:type="dxa"/>
              <w:right w:w="70" w:type="dxa"/>
            </w:tcMar>
          </w:tcPr>
          <w:p>
            <w:pPr>
              <w:spacing w:after="60" w:before="40" w:line="245" w:lineRule="auto"/>
            </w:pPr>
            <w:r>
              <w:rPr>
                <w:b w:val="0"/>
                <w:sz w:val="18"/>
              </w:rPr>
              <w:t>attachedTo and Deployment.platform</w:t>
            </w:r>
          </w:p>
        </w:tc>
      </w:tr>
      <w:tr>
        <w:trPr>
          <w:cantSplit/>
        </w:trPr>
        <w:tc>
          <w:tcPr>
            <w:tcW w:type="dxa" w:w="922"/>
            <w:vAlign w:val="center"/>
            <w:shd w:fill="F6F8FA"/>
            <w:tcMar>
              <w:top w:w="70" w:type="dxa"/>
              <w:bottom w:w="70" w:type="dxa"/>
              <w:left w:w="70" w:type="dxa"/>
              <w:right w:w="70" w:type="dxa"/>
            </w:tcMar>
          </w:tcPr>
          <w:p>
            <w:pPr>
              <w:spacing w:after="60" w:before="40" w:line="245" w:lineRule="auto"/>
            </w:pPr>
            <w:r>
              <w:rPr>
                <w:b w:val="0"/>
                <w:sz w:val="18"/>
              </w:rPr>
              <w:t>R04</w:t>
            </w:r>
          </w:p>
        </w:tc>
        <w:tc>
          <w:tcPr>
            <w:tcW w:type="dxa" w:w="1627"/>
            <w:vAlign w:val="center"/>
            <w:shd w:fill="F6F8FA"/>
            <w:tcMar>
              <w:top w:w="70" w:type="dxa"/>
              <w:bottom w:w="70" w:type="dxa"/>
              <w:left w:w="70" w:type="dxa"/>
              <w:right w:w="70" w:type="dxa"/>
            </w:tcMar>
          </w:tcPr>
          <w:p>
            <w:pPr>
              <w:spacing w:after="60" w:before="40" w:line="245" w:lineRule="auto"/>
            </w:pPr>
            <w:r>
              <w:rPr>
                <w:b w:val="0"/>
                <w:sz w:val="18"/>
              </w:rPr>
              <w:t>01, 02; 28</w:t>
            </w:r>
          </w:p>
        </w:tc>
        <w:tc>
          <w:tcPr>
            <w:tcW w:type="dxa" w:w="7373"/>
            <w:vAlign w:val="center"/>
            <w:shd w:fill="F6F8FA"/>
            <w:tcMar>
              <w:top w:w="70" w:type="dxa"/>
              <w:bottom w:w="70" w:type="dxa"/>
              <w:left w:w="70" w:type="dxa"/>
              <w:right w:w="70" w:type="dxa"/>
            </w:tcMar>
          </w:tcPr>
          <w:p>
            <w:pPr>
              <w:spacing w:after="60" w:before="40" w:line="245" w:lineRule="auto"/>
            </w:pPr>
            <w:r>
              <w:rPr>
                <w:b w:val="0"/>
                <w:sz w:val="18"/>
              </w:rPr>
              <w:t>Existing functions plus mode-scoped capability groups in separate synthetic case</w:t>
            </w:r>
          </w:p>
        </w:tc>
      </w:tr>
      <w:tr>
        <w:trPr>
          <w:cantSplit/>
        </w:trPr>
        <w:tc>
          <w:tcPr>
            <w:tcW w:type="dxa" w:w="922"/>
            <w:vAlign w:val="center"/>
            <w:shd w:fill="FFFFFF"/>
            <w:tcMar>
              <w:top w:w="70" w:type="dxa"/>
              <w:bottom w:w="70" w:type="dxa"/>
              <w:left w:w="70" w:type="dxa"/>
              <w:right w:w="70" w:type="dxa"/>
            </w:tcMar>
          </w:tcPr>
          <w:p>
            <w:pPr>
              <w:spacing w:after="60" w:before="40" w:line="245" w:lineRule="auto"/>
            </w:pPr>
            <w:r>
              <w:rPr>
                <w:b w:val="0"/>
                <w:sz w:val="18"/>
              </w:rPr>
              <w:t>R05</w:t>
            </w:r>
          </w:p>
        </w:tc>
        <w:tc>
          <w:tcPr>
            <w:tcW w:type="dxa" w:w="1627"/>
            <w:vAlign w:val="center"/>
            <w:shd w:fill="FFFFFF"/>
            <w:tcMar>
              <w:top w:w="70" w:type="dxa"/>
              <w:bottom w:w="70" w:type="dxa"/>
              <w:left w:w="70" w:type="dxa"/>
              <w:right w:w="70" w:type="dxa"/>
            </w:tcMar>
          </w:tcPr>
          <w:p>
            <w:pPr>
              <w:spacing w:after="60" w:before="40" w:line="245" w:lineRule="auto"/>
            </w:pPr>
            <w:r>
              <w:rPr>
                <w:b w:val="0"/>
                <w:sz w:val="18"/>
              </w:rPr>
              <w:t>08</w:t>
            </w:r>
          </w:p>
        </w:tc>
        <w:tc>
          <w:tcPr>
            <w:tcW w:type="dxa" w:w="7373"/>
            <w:vAlign w:val="center"/>
            <w:shd w:fill="FFFFFF"/>
            <w:tcMar>
              <w:top w:w="70" w:type="dxa"/>
              <w:bottom w:w="70" w:type="dxa"/>
              <w:left w:w="70" w:type="dxa"/>
              <w:right w:w="70" w:type="dxa"/>
            </w:tcMar>
          </w:tcPr>
          <w:p>
            <w:pPr>
              <w:spacing w:after="60" w:before="40" w:line="245" w:lineRule="auto"/>
            </w:pPr>
            <w:r>
              <w:rPr>
                <w:b w:val="0"/>
                <w:sz w:val="18"/>
              </w:rPr>
              <w:t>named DeployedSystem entries</w:t>
            </w:r>
          </w:p>
        </w:tc>
      </w:tr>
      <w:tr>
        <w:trPr>
          <w:cantSplit/>
        </w:trPr>
        <w:tc>
          <w:tcPr>
            <w:tcW w:type="dxa" w:w="922"/>
            <w:vAlign w:val="center"/>
            <w:shd w:fill="F6F8FA"/>
            <w:tcMar>
              <w:top w:w="70" w:type="dxa"/>
              <w:bottom w:w="70" w:type="dxa"/>
              <w:left w:w="70" w:type="dxa"/>
              <w:right w:w="70" w:type="dxa"/>
            </w:tcMar>
          </w:tcPr>
          <w:p>
            <w:pPr>
              <w:spacing w:after="60" w:before="40" w:line="245" w:lineRule="auto"/>
            </w:pPr>
            <w:r>
              <w:rPr>
                <w:b w:val="0"/>
                <w:sz w:val="18"/>
              </w:rPr>
              <w:t>R06</w:t>
            </w:r>
          </w:p>
        </w:tc>
        <w:tc>
          <w:tcPr>
            <w:tcW w:type="dxa" w:w="1627"/>
            <w:vAlign w:val="center"/>
            <w:shd w:fill="F6F8FA"/>
            <w:tcMar>
              <w:top w:w="70" w:type="dxa"/>
              <w:bottom w:w="70" w:type="dxa"/>
              <w:left w:w="70" w:type="dxa"/>
              <w:right w:w="70" w:type="dxa"/>
            </w:tcMar>
          </w:tcPr>
          <w:p>
            <w:pPr>
              <w:spacing w:after="60" w:before="40" w:line="245" w:lineRule="auto"/>
            </w:pPr>
            <w:r>
              <w:rPr>
                <w:b w:val="0"/>
                <w:sz w:val="18"/>
              </w:rPr>
              <w:t>07, 08</w:t>
            </w:r>
          </w:p>
        </w:tc>
        <w:tc>
          <w:tcPr>
            <w:tcW w:type="dxa" w:w="7373"/>
            <w:vAlign w:val="center"/>
            <w:shd w:fill="F6F8FA"/>
            <w:tcMar>
              <w:top w:w="70" w:type="dxa"/>
              <w:bottom w:w="70" w:type="dxa"/>
              <w:left w:w="70" w:type="dxa"/>
              <w:right w:w="70" w:type="dxa"/>
            </w:tcMar>
          </w:tcPr>
          <w:p>
            <w:pPr>
              <w:spacing w:after="60" w:before="40" w:line="245" w:lineRule="auto"/>
            </w:pPr>
            <w:r>
              <w:rPr>
                <w:b w:val="0"/>
                <w:sz w:val="18"/>
              </w:rPr>
              <w:t>subdeployments and parentDeployment links</w:t>
            </w:r>
          </w:p>
        </w:tc>
      </w:tr>
      <w:tr>
        <w:trPr>
          <w:cantSplit/>
        </w:trPr>
        <w:tc>
          <w:tcPr>
            <w:tcW w:type="dxa" w:w="922"/>
            <w:vAlign w:val="center"/>
            <w:shd w:fill="FFFFFF"/>
            <w:tcMar>
              <w:top w:w="70" w:type="dxa"/>
              <w:bottom w:w="70" w:type="dxa"/>
              <w:left w:w="70" w:type="dxa"/>
              <w:right w:w="70" w:type="dxa"/>
            </w:tcMar>
          </w:tcPr>
          <w:p>
            <w:pPr>
              <w:spacing w:after="60" w:before="40" w:line="245" w:lineRule="auto"/>
            </w:pPr>
            <w:r>
              <w:rPr>
                <w:b w:val="0"/>
                <w:sz w:val="18"/>
              </w:rPr>
              <w:t>R07</w:t>
            </w:r>
          </w:p>
        </w:tc>
        <w:tc>
          <w:tcPr>
            <w:tcW w:type="dxa" w:w="1627"/>
            <w:vAlign w:val="center"/>
            <w:shd w:fill="FFFFFF"/>
            <w:tcMar>
              <w:top w:w="70" w:type="dxa"/>
              <w:bottom w:w="70" w:type="dxa"/>
              <w:left w:w="70" w:type="dxa"/>
              <w:right w:w="70" w:type="dxa"/>
            </w:tcMar>
          </w:tcPr>
          <w:p>
            <w:pPr>
              <w:spacing w:after="60" w:before="40" w:line="245" w:lineRule="auto"/>
            </w:pPr>
            <w:r>
              <w:rPr>
                <w:b w:val="0"/>
                <w:sz w:val="18"/>
              </w:rPr>
              <w:t>08</w:t>
            </w:r>
          </w:p>
        </w:tc>
        <w:tc>
          <w:tcPr>
            <w:tcW w:type="dxa" w:w="7373"/>
            <w:vAlign w:val="center"/>
            <w:shd w:fill="FFFFFF"/>
            <w:tcMar>
              <w:top w:w="70" w:type="dxa"/>
              <w:bottom w:w="70" w:type="dxa"/>
              <w:left w:w="70" w:type="dxa"/>
              <w:right w:w="70" w:type="dxa"/>
            </w:tcMar>
          </w:tcPr>
          <w:p>
            <w:pPr>
              <w:spacing w:after="60" w:before="40" w:line="245" w:lineRule="auto"/>
            </w:pPr>
            <w:r>
              <w:rPr>
                <w:b w:val="0"/>
                <w:sz w:val="18"/>
              </w:rPr>
              <w:t>purpose, location, validTime and contacts</w:t>
            </w:r>
          </w:p>
        </w:tc>
      </w:tr>
      <w:tr>
        <w:trPr>
          <w:cantSplit/>
        </w:trPr>
        <w:tc>
          <w:tcPr>
            <w:tcW w:type="dxa" w:w="922"/>
            <w:vAlign w:val="center"/>
            <w:shd w:fill="F6F8FA"/>
            <w:tcMar>
              <w:top w:w="70" w:type="dxa"/>
              <w:bottom w:w="70" w:type="dxa"/>
              <w:left w:w="70" w:type="dxa"/>
              <w:right w:w="70" w:type="dxa"/>
            </w:tcMar>
          </w:tcPr>
          <w:p>
            <w:pPr>
              <w:spacing w:after="60" w:before="40" w:line="245" w:lineRule="auto"/>
            </w:pPr>
            <w:r>
              <w:rPr>
                <w:b w:val="0"/>
                <w:sz w:val="18"/>
              </w:rPr>
              <w:t>R08</w:t>
            </w:r>
          </w:p>
        </w:tc>
        <w:tc>
          <w:tcPr>
            <w:tcW w:type="dxa" w:w="1627"/>
            <w:vAlign w:val="center"/>
            <w:shd w:fill="F6F8FA"/>
            <w:tcMar>
              <w:top w:w="70" w:type="dxa"/>
              <w:bottom w:w="70" w:type="dxa"/>
              <w:left w:w="70" w:type="dxa"/>
              <w:right w:w="70" w:type="dxa"/>
            </w:tcMar>
          </w:tcPr>
          <w:p>
            <w:pPr>
              <w:spacing w:after="60" w:before="40" w:line="245" w:lineRule="auto"/>
            </w:pPr>
            <w:r>
              <w:rPr>
                <w:b w:val="0"/>
                <w:sz w:val="18"/>
              </w:rPr>
              <w:t>08</w:t>
            </w:r>
          </w:p>
        </w:tc>
        <w:tc>
          <w:tcPr>
            <w:tcW w:type="dxa" w:w="7373"/>
            <w:vAlign w:val="center"/>
            <w:shd w:fill="F6F8FA"/>
            <w:tcMar>
              <w:top w:w="70" w:type="dxa"/>
              <w:bottom w:w="70" w:type="dxa"/>
              <w:left w:w="70" w:type="dxa"/>
              <w:right w:w="70" w:type="dxa"/>
            </w:tcMar>
          </w:tcPr>
          <w:p>
            <w:pPr>
              <w:spacing w:after="60" w:before="40" w:line="245" w:lineRule="auto"/>
            </w:pPr>
            <w:r>
              <w:rPr>
                <w:b w:val="0"/>
                <w:sz w:val="18"/>
              </w:rPr>
              <w:t>DeployedSystem.configuration</w:t>
            </w:r>
          </w:p>
        </w:tc>
      </w:tr>
      <w:tr>
        <w:trPr>
          <w:cantSplit/>
        </w:trPr>
        <w:tc>
          <w:tcPr>
            <w:tcW w:type="dxa" w:w="922"/>
            <w:vAlign w:val="center"/>
            <w:shd w:fill="FFFFFF"/>
            <w:tcMar>
              <w:top w:w="70" w:type="dxa"/>
              <w:bottom w:w="70" w:type="dxa"/>
              <w:left w:w="70" w:type="dxa"/>
              <w:right w:w="70" w:type="dxa"/>
            </w:tcMar>
          </w:tcPr>
          <w:p>
            <w:pPr>
              <w:spacing w:after="60" w:before="40" w:line="245" w:lineRule="auto"/>
            </w:pPr>
            <w:r>
              <w:rPr>
                <w:b w:val="0"/>
                <w:sz w:val="18"/>
              </w:rPr>
              <w:t>R09</w:t>
            </w:r>
          </w:p>
        </w:tc>
        <w:tc>
          <w:tcPr>
            <w:tcW w:type="dxa" w:w="1627"/>
            <w:vAlign w:val="center"/>
            <w:shd w:fill="FFFFFF"/>
            <w:tcMar>
              <w:top w:w="70" w:type="dxa"/>
              <w:bottom w:w="70" w:type="dxa"/>
              <w:left w:w="70" w:type="dxa"/>
              <w:right w:w="70" w:type="dxa"/>
            </w:tcMar>
          </w:tcPr>
          <w:p>
            <w:pPr>
              <w:spacing w:after="60" w:before="40" w:line="245" w:lineRule="auto"/>
            </w:pPr>
            <w:r>
              <w:rPr>
                <w:b w:val="0"/>
                <w:sz w:val="18"/>
              </w:rPr>
              <w:t>01, 02, 08; 28</w:t>
            </w:r>
          </w:p>
        </w:tc>
        <w:tc>
          <w:tcPr>
            <w:tcW w:type="dxa" w:w="7373"/>
            <w:vAlign w:val="center"/>
            <w:shd w:fill="FFFFFF"/>
            <w:tcMar>
              <w:top w:w="70" w:type="dxa"/>
              <w:bottom w:w="70" w:type="dxa"/>
              <w:left w:w="70" w:type="dxa"/>
              <w:right w:w="70" w:type="dxa"/>
            </w:tcMar>
          </w:tcPr>
          <w:p>
            <w:pPr>
              <w:spacing w:after="60" w:before="40" w:line="245" w:lineRule="auto"/>
            </w:pPr>
            <w:r>
              <w:rPr>
                <w:b w:val="0"/>
                <w:sz w:val="18"/>
              </w:rPr>
              <w:t>Shared named parameter; mode-specific bindings and native Settings</w:t>
            </w:r>
          </w:p>
        </w:tc>
      </w:tr>
      <w:tr>
        <w:trPr>
          <w:cantSplit/>
        </w:trPr>
        <w:tc>
          <w:tcPr>
            <w:tcW w:type="dxa" w:w="922"/>
            <w:vAlign w:val="center"/>
            <w:shd w:fill="F6F8FA"/>
            <w:tcMar>
              <w:top w:w="70" w:type="dxa"/>
              <w:bottom w:w="70" w:type="dxa"/>
              <w:left w:w="70" w:type="dxa"/>
              <w:right w:w="70" w:type="dxa"/>
            </w:tcMar>
          </w:tcPr>
          <w:p>
            <w:pPr>
              <w:spacing w:after="60" w:before="40" w:line="245" w:lineRule="auto"/>
            </w:pPr>
            <w:r>
              <w:rPr>
                <w:b w:val="0"/>
                <w:sz w:val="18"/>
              </w:rPr>
              <w:t>R10</w:t>
            </w:r>
          </w:p>
        </w:tc>
        <w:tc>
          <w:tcPr>
            <w:tcW w:type="dxa" w:w="1627"/>
            <w:vAlign w:val="center"/>
            <w:shd w:fill="F6F8FA"/>
            <w:tcMar>
              <w:top w:w="70" w:type="dxa"/>
              <w:bottom w:w="70" w:type="dxa"/>
              <w:left w:w="70" w:type="dxa"/>
              <w:right w:w="70" w:type="dxa"/>
            </w:tcMar>
          </w:tcPr>
          <w:p>
            <w:pPr>
              <w:spacing w:after="60" w:before="40" w:line="245" w:lineRule="auto"/>
            </w:pPr>
            <w:r>
              <w:rPr>
                <w:b w:val="0"/>
                <w:sz w:val="18"/>
              </w:rPr>
              <w:t>02, 10–12; 28–30</w:t>
            </w:r>
          </w:p>
        </w:tc>
        <w:tc>
          <w:tcPr>
            <w:tcW w:type="dxa" w:w="7373"/>
            <w:vAlign w:val="center"/>
            <w:shd w:fill="F6F8FA"/>
            <w:tcMar>
              <w:top w:w="70" w:type="dxa"/>
              <w:bottom w:w="70" w:type="dxa"/>
              <w:left w:w="70" w:type="dxa"/>
              <w:right w:w="70" w:type="dxa"/>
            </w:tcMar>
          </w:tcPr>
          <w:p>
            <w:pPr>
              <w:spacing w:after="60" w:before="40" w:line="245" w:lineRule="auto"/>
            </w:pPr>
            <w:r>
              <w:rPr>
                <w:b w:val="0"/>
                <w:sz w:val="18"/>
              </w:rPr>
              <w:t>Declared outputs distinct from empty/unexposed streams and recorded non-live data</w:t>
            </w:r>
          </w:p>
        </w:tc>
      </w:tr>
      <w:tr>
        <w:trPr>
          <w:cantSplit/>
        </w:trPr>
        <w:tc>
          <w:tcPr>
            <w:tcW w:type="dxa" w:w="922"/>
            <w:vAlign w:val="center"/>
            <w:shd w:fill="FFFFFF"/>
            <w:tcMar>
              <w:top w:w="70" w:type="dxa"/>
              <w:bottom w:w="70" w:type="dxa"/>
              <w:left w:w="70" w:type="dxa"/>
              <w:right w:w="70" w:type="dxa"/>
            </w:tcMar>
          </w:tcPr>
          <w:p>
            <w:pPr>
              <w:spacing w:after="60" w:before="40" w:line="245" w:lineRule="auto"/>
            </w:pPr>
            <w:r>
              <w:rPr>
                <w:b w:val="0"/>
                <w:sz w:val="18"/>
              </w:rPr>
              <w:t>R11</w:t>
            </w:r>
          </w:p>
        </w:tc>
        <w:tc>
          <w:tcPr>
            <w:tcW w:type="dxa" w:w="1627"/>
            <w:vAlign w:val="center"/>
            <w:shd w:fill="FFFFFF"/>
            <w:tcMar>
              <w:top w:w="70" w:type="dxa"/>
              <w:bottom w:w="70" w:type="dxa"/>
              <w:left w:w="70" w:type="dxa"/>
              <w:right w:w="70" w:type="dxa"/>
            </w:tcMar>
          </w:tcPr>
          <w:p>
            <w:r>
              <w:t>11–18</w:t>
            </w:r>
          </w:p>
        </w:tc>
        <w:tc>
          <w:tcPr>
            <w:tcW w:type="dxa" w:w="7373"/>
            <w:vAlign w:val="center"/>
            <w:shd w:fill="FFFFFF"/>
            <w:tcMar>
              <w:top w:w="70" w:type="dxa"/>
              <w:bottom w:w="70" w:type="dxa"/>
              <w:left w:w="70" w:type="dxa"/>
              <w:right w:w="70" w:type="dxa"/>
            </w:tcMar>
          </w:tcPr>
          <w:p>
            <w:pPr>
              <w:spacing w:after="60" w:before="40" w:line="245" w:lineRule="auto"/>
            </w:pPr>
            <w:r>
              <w:rPr>
                <w:b w:val="0"/>
                <w:sz w:val="18"/>
              </w:rPr>
              <w:t>Existing declared context retained; native sampling-subject selection, fixed-subject history and donor-lineage guidance added. No new universal lineage fields.</w:t>
            </w:r>
          </w:p>
        </w:tc>
      </w:tr>
      <w:tr>
        <w:trPr>
          <w:cantSplit/>
        </w:trPr>
        <w:tc>
          <w:tcPr>
            <w:tcW w:type="dxa" w:w="922"/>
            <w:vAlign w:val="center"/>
            <w:shd w:fill="F6F8FA"/>
            <w:tcMar>
              <w:top w:w="70" w:type="dxa"/>
              <w:bottom w:w="70" w:type="dxa"/>
              <w:left w:w="70" w:type="dxa"/>
              <w:right w:w="70" w:type="dxa"/>
            </w:tcMar>
          </w:tcPr>
          <w:p>
            <w:pPr>
              <w:spacing w:after="60" w:before="40" w:line="245" w:lineRule="auto"/>
            </w:pPr>
            <w:r>
              <w:rPr>
                <w:b w:val="0"/>
                <w:sz w:val="18"/>
              </w:rPr>
              <w:t>R12</w:t>
            </w:r>
          </w:p>
        </w:tc>
        <w:tc>
          <w:tcPr>
            <w:tcW w:type="dxa" w:w="1627"/>
            <w:vAlign w:val="center"/>
            <w:shd w:fill="F6F8FA"/>
            <w:tcMar>
              <w:top w:w="70" w:type="dxa"/>
              <w:bottom w:w="70" w:type="dxa"/>
              <w:left w:w="70" w:type="dxa"/>
              <w:right w:w="70" w:type="dxa"/>
            </w:tcMar>
          </w:tcPr>
          <w:p>
            <w:pPr>
              <w:spacing w:after="60" w:before="40" w:line="245" w:lineRule="auto"/>
            </w:pPr>
            <w:r>
              <w:rPr>
                <w:b w:val="0"/>
                <w:sz w:val="18"/>
              </w:rPr>
              <w:t>02, 19–23</w:t>
            </w:r>
          </w:p>
        </w:tc>
        <w:tc>
          <w:tcPr>
            <w:tcW w:type="dxa" w:w="7373"/>
            <w:vAlign w:val="center"/>
            <w:shd w:fill="F6F8FA"/>
            <w:tcMar>
              <w:top w:w="70" w:type="dxa"/>
              <w:bottom w:w="70" w:type="dxa"/>
              <w:left w:w="70" w:type="dxa"/>
              <w:right w:w="70" w:type="dxa"/>
            </w:tcMar>
          </w:tcPr>
          <w:p>
            <w:pPr>
              <w:spacing w:after="60" w:before="40" w:line="245" w:lineRule="auto"/>
            </w:pPr>
            <w:r>
              <w:rPr>
                <w:b w:val="0"/>
                <w:sz w:val="18"/>
              </w:rPr>
              <w:t>action-binding, control and command/result</w:t>
            </w:r>
          </w:p>
        </w:tc>
      </w:tr>
      <w:tr>
        <w:trPr>
          <w:cantSplit/>
        </w:trPr>
        <w:tc>
          <w:tcPr>
            <w:tcW w:type="dxa" w:w="922"/>
            <w:vAlign w:val="center"/>
            <w:shd w:fill="FFFFFF"/>
            <w:tcMar>
              <w:top w:w="70" w:type="dxa"/>
              <w:bottom w:w="70" w:type="dxa"/>
              <w:left w:w="70" w:type="dxa"/>
              <w:right w:w="70" w:type="dxa"/>
            </w:tcMar>
          </w:tcPr>
          <w:p>
            <w:pPr>
              <w:spacing w:after="60" w:before="40" w:line="245" w:lineRule="auto"/>
            </w:pPr>
            <w:r>
              <w:rPr>
                <w:b w:val="0"/>
                <w:sz w:val="18"/>
              </w:rPr>
              <w:t>R13</w:t>
            </w:r>
          </w:p>
        </w:tc>
        <w:tc>
          <w:tcPr>
            <w:tcW w:type="dxa" w:w="1627"/>
            <w:vAlign w:val="center"/>
            <w:shd w:fill="FFFFFF"/>
            <w:tcMar>
              <w:top w:w="70" w:type="dxa"/>
              <w:bottom w:w="70" w:type="dxa"/>
              <w:left w:w="70" w:type="dxa"/>
              <w:right w:w="70" w:type="dxa"/>
            </w:tcMar>
          </w:tcPr>
          <w:p>
            <w:pPr>
              <w:spacing w:after="60" w:before="40" w:line="245" w:lineRule="auto"/>
            </w:pPr>
            <w:r>
              <w:rPr>
                <w:b w:val="0"/>
                <w:sz w:val="18"/>
              </w:rPr>
              <w:t>02, 03, 13–15</w:t>
            </w:r>
          </w:p>
        </w:tc>
        <w:tc>
          <w:tcPr>
            <w:tcW w:type="dxa" w:w="7373"/>
            <w:vAlign w:val="center"/>
            <w:shd w:fill="FFFFFF"/>
            <w:tcMar>
              <w:top w:w="70" w:type="dxa"/>
              <w:bottom w:w="70" w:type="dxa"/>
              <w:left w:w="70" w:type="dxa"/>
              <w:right w:w="70" w:type="dxa"/>
            </w:tcMar>
          </w:tcPr>
          <w:p>
            <w:pPr>
              <w:spacing w:after="60" w:before="40" w:line="245" w:lineRule="auto"/>
            </w:pPr>
            <w:r>
              <w:rPr>
                <w:b w:val="0"/>
                <w:sz w:val="18"/>
              </w:rPr>
              <w:t>interface groups and interface observation</w:t>
            </w:r>
          </w:p>
        </w:tc>
      </w:tr>
      <w:tr>
        <w:trPr>
          <w:cantSplit/>
        </w:trPr>
        <w:tc>
          <w:tcPr>
            <w:tcW w:type="dxa" w:w="922"/>
            <w:vAlign w:val="center"/>
            <w:shd w:fill="F6F8FA"/>
            <w:tcMar>
              <w:top w:w="70" w:type="dxa"/>
              <w:bottom w:w="70" w:type="dxa"/>
              <w:left w:w="70" w:type="dxa"/>
              <w:right w:w="70" w:type="dxa"/>
            </w:tcMar>
          </w:tcPr>
          <w:p>
            <w:pPr>
              <w:spacing w:after="60" w:before="40" w:line="245" w:lineRule="auto"/>
            </w:pPr>
            <w:r>
              <w:rPr>
                <w:b w:val="0"/>
                <w:sz w:val="18"/>
              </w:rPr>
              <w:t>R14</w:t>
            </w:r>
          </w:p>
        </w:tc>
        <w:tc>
          <w:tcPr>
            <w:tcW w:type="dxa" w:w="1627"/>
            <w:vAlign w:val="center"/>
            <w:shd w:fill="F6F8FA"/>
            <w:tcMar>
              <w:top w:w="70" w:type="dxa"/>
              <w:bottom w:w="70" w:type="dxa"/>
              <w:left w:w="70" w:type="dxa"/>
              <w:right w:w="70" w:type="dxa"/>
            </w:tcMar>
          </w:tcPr>
          <w:p>
            <w:pPr>
              <w:spacing w:after="60" w:before="40" w:line="245" w:lineRule="auto"/>
            </w:pPr>
            <w:r>
              <w:rPr>
                <w:b w:val="0"/>
                <w:sz w:val="18"/>
              </w:rPr>
              <w:t>08</w:t>
            </w:r>
          </w:p>
        </w:tc>
        <w:tc>
          <w:tcPr>
            <w:tcW w:type="dxa" w:w="7373"/>
            <w:vAlign w:val="center"/>
            <w:shd w:fill="F6F8FA"/>
            <w:tcMar>
              <w:top w:w="70" w:type="dxa"/>
              <w:bottom w:w="70" w:type="dxa"/>
              <w:left w:w="70" w:type="dxa"/>
              <w:right w:w="70" w:type="dxa"/>
            </w:tcMar>
          </w:tcPr>
          <w:p>
            <w:pPr>
              <w:spacing w:after="60" w:before="40" w:line="245" w:lineRule="auto"/>
            </w:pPr>
            <w:r>
              <w:rPr>
                <w:b w:val="0"/>
                <w:sz w:val="18"/>
              </w:rPr>
              <w:t>two directed communication-link groups</w:t>
            </w:r>
          </w:p>
        </w:tc>
      </w:tr>
      <w:tr>
        <w:trPr>
          <w:cantSplit/>
        </w:trPr>
        <w:tc>
          <w:tcPr>
            <w:tcW w:type="dxa" w:w="922"/>
            <w:vAlign w:val="center"/>
            <w:shd w:fill="FFFFFF"/>
            <w:tcMar>
              <w:top w:w="70" w:type="dxa"/>
              <w:bottom w:w="70" w:type="dxa"/>
              <w:left w:w="70" w:type="dxa"/>
              <w:right w:w="70" w:type="dxa"/>
            </w:tcMar>
          </w:tcPr>
          <w:p>
            <w:pPr>
              <w:spacing w:after="60" w:before="40" w:line="245" w:lineRule="auto"/>
            </w:pPr>
            <w:r>
              <w:rPr>
                <w:b w:val="0"/>
                <w:sz w:val="18"/>
              </w:rPr>
              <w:t>R15</w:t>
            </w:r>
          </w:p>
        </w:tc>
        <w:tc>
          <w:tcPr>
            <w:tcW w:type="dxa" w:w="1627"/>
            <w:vAlign w:val="center"/>
            <w:shd w:fill="FFFFFF"/>
            <w:tcMar>
              <w:top w:w="70" w:type="dxa"/>
              <w:bottom w:w="70" w:type="dxa"/>
              <w:left w:w="70" w:type="dxa"/>
              <w:right w:w="70" w:type="dxa"/>
            </w:tcMar>
          </w:tcPr>
          <w:p>
            <w:r>
              <w:t>02, 08</w:t>
            </w:r>
          </w:p>
        </w:tc>
        <w:tc>
          <w:tcPr>
            <w:tcW w:type="dxa" w:w="7373"/>
            <w:vAlign w:val="center"/>
            <w:shd w:fill="FFFFFF"/>
            <w:tcMar>
              <w:top w:w="70" w:type="dxa"/>
              <w:bottom w:w="70" w:type="dxa"/>
              <w:left w:w="70" w:type="dxa"/>
              <w:right w:w="70" w:type="dxa"/>
            </w:tcMar>
          </w:tcPr>
          <w:p>
            <w:r>
              <w:t>Separate software representation-source on 02 and physical gateway-access path on 08; no source-native conformance claim.</w:t>
            </w:r>
          </w:p>
        </w:tc>
      </w:tr>
      <w:tr>
        <w:trPr>
          <w:cantSplit/>
        </w:trPr>
        <w:tc>
          <w:tcPr>
            <w:tcW w:type="dxa" w:w="922"/>
            <w:vAlign w:val="center"/>
            <w:shd w:fill="F6F8FA"/>
            <w:tcMar>
              <w:top w:w="70" w:type="dxa"/>
              <w:bottom w:w="70" w:type="dxa"/>
              <w:left w:w="70" w:type="dxa"/>
              <w:right w:w="70" w:type="dxa"/>
            </w:tcMar>
          </w:tcPr>
          <w:p>
            <w:pPr>
              <w:spacing w:after="60" w:before="40" w:line="245" w:lineRule="auto"/>
            </w:pPr>
            <w:r>
              <w:rPr>
                <w:b w:val="0"/>
                <w:sz w:val="18"/>
              </w:rPr>
              <w:t>R16</w:t>
            </w:r>
          </w:p>
        </w:tc>
        <w:tc>
          <w:tcPr>
            <w:tcW w:type="dxa" w:w="1627"/>
            <w:vAlign w:val="center"/>
            <w:shd w:fill="F6F8FA"/>
            <w:tcMar>
              <w:top w:w="70" w:type="dxa"/>
              <w:bottom w:w="70" w:type="dxa"/>
              <w:left w:w="70" w:type="dxa"/>
              <w:right w:w="70" w:type="dxa"/>
            </w:tcMar>
          </w:tcPr>
          <w:p>
            <w:pPr>
              <w:spacing w:after="60" w:before="40" w:line="245" w:lineRule="auto"/>
            </w:pPr>
            <w:r>
              <w:rPr>
                <w:b w:val="0"/>
                <w:sz w:val="18"/>
              </w:rPr>
              <w:t>05, 06, 08</w:t>
            </w:r>
          </w:p>
        </w:tc>
        <w:tc>
          <w:tcPr>
            <w:tcW w:type="dxa" w:w="7373"/>
            <w:vAlign w:val="center"/>
            <w:shd w:fill="F6F8FA"/>
            <w:tcMar>
              <w:top w:w="70" w:type="dxa"/>
              <w:bottom w:w="70" w:type="dxa"/>
              <w:left w:w="70" w:type="dxa"/>
              <w:right w:w="70" w:type="dxa"/>
            </w:tcMar>
          </w:tcPr>
          <w:p>
            <w:r>
              <w:t>two time-scoped powers links via typed energy-relationship; no metering invented</w:t>
            </w:r>
          </w:p>
        </w:tc>
      </w:tr>
      <w:tr>
        <w:trPr>
          <w:cantSplit/>
        </w:trPr>
        <w:tc>
          <w:tcPr>
            <w:tcW w:type="dxa" w:w="922"/>
            <w:vAlign w:val="center"/>
            <w:shd w:fill="FFFFFF"/>
            <w:tcMar>
              <w:top w:w="70" w:type="dxa"/>
              <w:bottom w:w="70" w:type="dxa"/>
              <w:left w:w="70" w:type="dxa"/>
              <w:right w:w="70" w:type="dxa"/>
            </w:tcMar>
          </w:tcPr>
          <w:p>
            <w:pPr>
              <w:spacing w:after="60" w:before="40" w:line="245" w:lineRule="auto"/>
            </w:pPr>
            <w:r>
              <w:rPr>
                <w:b w:val="0"/>
                <w:sz w:val="18"/>
              </w:rPr>
              <w:t>R17</w:t>
            </w:r>
          </w:p>
        </w:tc>
        <w:tc>
          <w:tcPr>
            <w:tcW w:type="dxa" w:w="1627"/>
            <w:vAlign w:val="center"/>
            <w:shd w:fill="FFFFFF"/>
            <w:tcMar>
              <w:top w:w="70" w:type="dxa"/>
              <w:bottom w:w="70" w:type="dxa"/>
              <w:left w:w="70" w:type="dxa"/>
              <w:right w:w="70" w:type="dxa"/>
            </w:tcMar>
          </w:tcPr>
          <w:p>
            <w:pPr>
              <w:spacing w:after="60" w:before="40" w:line="245" w:lineRule="auto"/>
            </w:pPr>
            <w:r>
              <w:rPr>
                <w:b w:val="0"/>
                <w:sz w:val="18"/>
              </w:rPr>
              <w:t>16–18</w:t>
            </w:r>
          </w:p>
        </w:tc>
        <w:tc>
          <w:tcPr>
            <w:tcW w:type="dxa" w:w="7373"/>
            <w:vAlign w:val="center"/>
            <w:shd w:fill="FFFFFF"/>
            <w:tcMar>
              <w:top w:w="70" w:type="dxa"/>
              <w:bottom w:w="70" w:type="dxa"/>
              <w:left w:w="70" w:type="dxa"/>
              <w:right w:w="70" w:type="dxa"/>
            </w:tcMar>
          </w:tcPr>
          <w:p>
            <w:pPr>
              <w:spacing w:after="60" w:before="40" w:line="245" w:lineRule="auto"/>
            </w:pPr>
            <w:r>
              <w:rPr>
                <w:b w:val="0"/>
                <w:sz w:val="18"/>
              </w:rPr>
              <w:t>Original power-b producer/subject example retained; separate 31–33 battery-voltage unit/nil mapping.</w:t>
            </w:r>
          </w:p>
        </w:tc>
      </w:tr>
      <w:tr>
        <w:trPr>
          <w:cantSplit/>
        </w:trPr>
        <w:tc>
          <w:tcPr>
            <w:tcW w:type="dxa" w:w="922"/>
            <w:vAlign w:val="center"/>
            <w:shd w:fill="F6F8FA"/>
            <w:tcMar>
              <w:top w:w="70" w:type="dxa"/>
              <w:bottom w:w="70" w:type="dxa"/>
              <w:left w:w="70" w:type="dxa"/>
              <w:right w:w="70" w:type="dxa"/>
            </w:tcMar>
          </w:tcPr>
          <w:p>
            <w:pPr>
              <w:spacing w:after="60" w:before="40" w:line="245" w:lineRule="auto"/>
            </w:pPr>
            <w:r>
              <w:rPr>
                <w:b w:val="0"/>
                <w:sz w:val="18"/>
              </w:rPr>
              <w:t>R18</w:t>
            </w:r>
          </w:p>
        </w:tc>
        <w:tc>
          <w:tcPr>
            <w:tcW w:type="dxa" w:w="1627"/>
            <w:vAlign w:val="center"/>
            <w:shd w:fill="F6F8FA"/>
            <w:tcMar>
              <w:top w:w="70" w:type="dxa"/>
              <w:bottom w:w="70" w:type="dxa"/>
              <w:left w:w="70" w:type="dxa"/>
              <w:right w:w="70" w:type="dxa"/>
            </w:tcMar>
          </w:tcPr>
          <w:p>
            <w:pPr>
              <w:spacing w:after="60" w:before="40" w:line="245" w:lineRule="auto"/>
            </w:pPr>
            <w:r>
              <w:rPr>
                <w:b w:val="0"/>
                <w:sz w:val="18"/>
              </w:rPr>
              <w:t>02, 08</w:t>
            </w:r>
          </w:p>
        </w:tc>
        <w:tc>
          <w:tcPr>
            <w:tcW w:type="dxa" w:w="7373"/>
            <w:vAlign w:val="center"/>
            <w:shd w:fill="F6F8FA"/>
            <w:tcMar>
              <w:top w:w="70" w:type="dxa"/>
              <w:bottom w:w="70" w:type="dxa"/>
              <w:left w:w="70" w:type="dxa"/>
              <w:right w:w="70" w:type="dxa"/>
            </w:tcMar>
          </w:tcPr>
          <w:p>
            <w:pPr>
              <w:spacing w:after="60" w:before="40" w:line="245" w:lineRule="auto"/>
            </w:pPr>
            <w:r>
              <w:rPr>
                <w:b w:val="0"/>
                <w:sz w:val="18"/>
              </w:rPr>
              <w:t>reconfiguration, emplacement, replacement, recovery Events</w:t>
            </w:r>
          </w:p>
        </w:tc>
      </w:tr>
      <w:tr>
        <w:trPr>
          <w:cantSplit/>
        </w:trPr>
        <w:tc>
          <w:tcPr>
            <w:tcW w:type="dxa" w:w="922"/>
            <w:vAlign w:val="center"/>
            <w:shd w:fill="FFFFFF"/>
            <w:tcMar>
              <w:top w:w="70" w:type="dxa"/>
              <w:bottom w:w="70" w:type="dxa"/>
              <w:left w:w="70" w:type="dxa"/>
              <w:right w:w="70" w:type="dxa"/>
            </w:tcMar>
          </w:tcPr>
          <w:p>
            <w:pPr>
              <w:spacing w:after="60" w:before="40" w:line="245" w:lineRule="auto"/>
            </w:pPr>
            <w:r>
              <w:rPr>
                <w:b w:val="0"/>
                <w:sz w:val="18"/>
              </w:rPr>
              <w:t>R19</w:t>
            </w:r>
          </w:p>
        </w:tc>
        <w:tc>
          <w:tcPr>
            <w:tcW w:type="dxa" w:w="1627"/>
            <w:vAlign w:val="center"/>
            <w:shd w:fill="FFFFFF"/>
            <w:tcMar>
              <w:top w:w="70" w:type="dxa"/>
              <w:bottom w:w="70" w:type="dxa"/>
              <w:left w:w="70" w:type="dxa"/>
              <w:right w:w="70" w:type="dxa"/>
            </w:tcMar>
          </w:tcPr>
          <w:p>
            <w:r>
              <w:t>02, 08</w:t>
            </w:r>
          </w:p>
        </w:tc>
        <w:tc>
          <w:tcPr>
            <w:tcW w:type="dxa" w:w="7373"/>
            <w:vAlign w:val="center"/>
            <w:shd w:fill="FFFFFF"/>
            <w:tcMar>
              <w:top w:w="70" w:type="dxa"/>
              <w:bottom w:w="70" w:type="dxa"/>
              <w:left w:w="70" w:type="dxa"/>
              <w:right w:w="70" w:type="dxa"/>
            </w:tcMar>
          </w:tcPr>
          <w:p>
            <w:pPr>
              <w:spacing w:after="60" w:before="40" w:line="245" w:lineRule="auto"/>
            </w:pPr>
            <w:r>
              <w:rPr>
                <w:b w:val="0"/>
                <w:sz w:val="18"/>
              </w:rPr>
              <w:t>scoped contacts and roles</w:t>
            </w:r>
          </w:p>
        </w:tc>
      </w:tr>
      <w:tr>
        <w:trPr>
          <w:cantSplit/>
        </w:trPr>
        <w:tc>
          <w:tcPr>
            <w:tcW w:type="dxa" w:w="922"/>
            <w:vAlign w:val="center"/>
            <w:shd w:fill="F6F8FA"/>
            <w:tcMar>
              <w:top w:w="70" w:type="dxa"/>
              <w:bottom w:w="70" w:type="dxa"/>
              <w:left w:w="70" w:type="dxa"/>
              <w:right w:w="70" w:type="dxa"/>
            </w:tcMar>
          </w:tcPr>
          <w:p>
            <w:pPr>
              <w:spacing w:after="60" w:before="40" w:line="245" w:lineRule="auto"/>
            </w:pPr>
            <w:r>
              <w:rPr>
                <w:b w:val="0"/>
                <w:sz w:val="18"/>
              </w:rPr>
              <w:t>R20</w:t>
            </w:r>
          </w:p>
        </w:tc>
        <w:tc>
          <w:tcPr>
            <w:tcW w:type="dxa" w:w="1627"/>
            <w:vAlign w:val="center"/>
            <w:shd w:fill="F6F8FA"/>
            <w:tcMar>
              <w:top w:w="70" w:type="dxa"/>
              <w:bottom w:w="70" w:type="dxa"/>
              <w:left w:w="70" w:type="dxa"/>
              <w:right w:w="70" w:type="dxa"/>
            </w:tcMar>
          </w:tcPr>
          <w:p>
            <w:r>
              <w:t>08, 16–18</w:t>
            </w:r>
          </w:p>
        </w:tc>
        <w:tc>
          <w:tcPr>
            <w:tcW w:type="dxa" w:w="7373"/>
            <w:vAlign w:val="center"/>
            <w:shd w:fill="F6F8FA"/>
            <w:tcMar>
              <w:top w:w="70" w:type="dxa"/>
              <w:bottom w:w="70" w:type="dxa"/>
              <w:left w:w="70" w:type="dxa"/>
              <w:right w:w="70" w:type="dxa"/>
            </w:tcMar>
          </w:tcPr>
          <w:p>
            <w:r>
              <w:t>optional qualified condition Observation; administrative review is Event linked to existing measurement (no fabricated assessment stream)</w:t>
            </w:r>
          </w:p>
        </w:tc>
      </w:tr>
    </w:tbl>
    <w:p>
      <w:pPr>
        <w:pStyle w:val="Small"/>
        <w:widowControl/>
      </w:pPr>
      <w:r/>
    </w:p>
    <w:p>
      <w:pPr>
        <w:widowControl/>
        <w:spacing w:after="80"/>
      </w:pPr>
      <w:r>
        <w:t>These bindings can organize a UGS node with its actual family vocabulary and supplier mapping in place of the fictional monitoring content. The example demonstrates the proposed reference structure, not recovered device data or deployed interoperability. The manuals remain operational evidence, not a ceiling on the information the family profile may support.</w:t>
      </w:r>
    </w:p>
    <w:p>
      <w:pPr>
        <w:pStyle w:val="Heading2"/>
      </w:pPr>
      <w:r>
        <w:t>6.9 Supplementary two-mode capability and product case</w:t>
      </w:r>
    </w:p>
    <w:p>
      <w:pPr/>
      <w:r>
        <w:t>Files 28–30 introduce a separate synthetic sensor solely to exercise the accepted mode/product rules. The original station, its model, deployments, gateway, power and service examples are unchanged. The new sensor shares one sampleInterval parameter and two air-temperature output definitions at process level; native routine and rapid Modes carry distinct sensing-function/function-binding groups and their own Settings. No active mode or native SAPIENT payload is asserted.</w:t>
      </w:r>
    </w:p>
    <w:p>
      <w:pPr/>
      <w:r>
        <w:t>Routine mode presets 120 seconds within 60–3,600 seconds and enables airTemperatureRoutine; rapid mode presets 10 seconds within 10–30 seconds and enables airTemperatureRapid. Those numbers are invented fixture values, not vendor performance or IEEE-derived limits. Each mode disables the alternative output in its descriptive Settings, while both supported outputs remain in the process inventory. The existing owner#id references resolve groups inside the Mode and parameter/output paths return to the containing process.</w:t>
      </w:r>
    </w:p>
    <w:p>
      <w:pPr/>
      <w:r>
        <w:t>The routine product has an exposed empty DataStream with the four observation-derived summaries set to null and live=false; its schema remains available. The rapid product has no corresponding exposed DataStream in this fixture, but its declaration is retained rather than deleted. The original temperature stream separately illustrates recorded historical data with live=false. Together these cases show why mode support, current state, stream discovery and observations must not be collapsed into a readiness flag (Open Geospatial Consortium 2025b, §9.2.2).</w:t>
      </w:r>
    </w:p>
    <w:p>
      <w:pPr>
        <w:pStyle w:val="BindingLocator"/>
      </w:pPr>
      <w:r>
        <w:t>Worked-example reading route: 28_mode_sensor.sml.json → 29_mode_routine_stream_empty.json → 30_mode_routine_schema.json. MODE_AWARE_MAPPING_CASE.md states the expected interpretations and non-inferences; it is explanatory material, not another API payload.</w:t>
      </w:r>
    </w:p>
    <w:p>
      <w:pPr>
        <w:pStyle w:val="Heading2"/>
        <w:pageBreakBefore/>
      </w:pPr>
      <w:r>
        <w:t>6.10 Supplementary subject and battery-voltage mapping guidance</w:t>
      </w:r>
    </w:p>
    <w:p>
      <w:pPr/>
      <w:r>
        <w:t>R11_SUBJECT_AND_LINEAGE_GUIDANCE.md contrasts a native sampling subject with the lightweight embedded reference and records the fixed-subject history rule. It preserves SAPIENT fusion/track distinctions and ISA correction/recall/resolution meanings without creating a universal lineage field or a fabricated multi-source detection. These are interpretation requirements; no existing resource body or source-standard requirement has been rewritten.</w:t>
      </w:r>
    </w:p>
    <w:p>
      <w:pPr/>
      <w:r>
        <w:t>Files 31–33 are an independent arithmetic/schema illustration. A hypothetical batteryActualVoltage value of 12,600 becomes 12.6 V; 0 stays 0 V. The Unsigned32 reserved value 4,294,967,295 is checked before scaling and yields the example schema’s nil token, -9999, with the standard Unknown reason. That token means no determined voltage and must not be displayed or aggregated as -9999 V. Other conforming encodings may select a different declared nil token; this is not a universal value or an adapter implementation.</w:t>
      </w:r>
    </w:p>
    <w:p>
      <w:pPr/>
      <w:r>
        <w:t>The illustrative DerivedProperty links a local battery-specific definition to the QUDT Voltage quantity kind. It does not assert an undocumented positive/negative terminal convention or replace the generic source-terminal definition. The schema and test expectations use the same property URI and V unit, while source millivolts and reserved-code meaning remain documented. Test inputs, result values and supplementary identities are synthetic; no native packet, sample time, equipment rating, calibration or battery-health estimate is invented (Quittek, Winter, and Dietz 2015, §5; Open Geospatial Consortium 2025d, §9.1.15).</w:t>
      </w:r>
    </w:p>
    <w:p>
      <w:pPr>
        <w:pStyle w:val="BindingLocator"/>
      </w:pPr>
      <w:r>
        <w:t>Reading route: 31_battery_voltage_mapping_cases.json → 32_battery_voltage_property.sml.json → 33_battery_voltage_result_schema.json; see R17_BATTERY_VOLTAGE_MAPPING_CASE.md. These fragments have no served-resource or complete-Observation claim.</w:t>
      </w:r>
    </w:p>
    <w:p>
      <w:pPr>
        <w:pStyle w:val="Heading1"/>
        <w:keepNext/>
        <w:keepLines/>
        <w:pageBreakBefore/>
      </w:pPr>
      <w:r>
        <w:t>7. Client compatibility and useful presentation</w:t>
      </w:r>
    </w:p>
    <w:p>
      <w:pPr>
        <w:pStyle w:val="Heading2"/>
        <w:keepNext/>
        <w:keepLines/>
      </w:pPr>
      <w:r>
        <w:t>7.1 Domain awareness adds meaning without replacing OGC</w:t>
      </w:r>
    </w:p>
    <w:p>
      <w:pPr>
        <w:widowControl/>
      </w:pPr>
      <w:r>
        <w:t>Preserve the applicable base OGC resources and behavior while adding the profile’s domain meaning. Section 6 explains how a profile-aware consumer assembles the employed sensor, and the relationship model leaves ordinary labels, typed content and supported links available to other consumers. A Features client and a full CSAPI/SensorML client have different implemented capabilities, so compatibility is stated for the relevant representation rather than for every possible client. No separate profile-aware service is required merely to read otherwise standard information (Open Geospatial Consortium 2025a, §§7, 19; 2025c, §9).</w:t>
      </w:r>
    </w:p>
    <w:p>
      <w:pPr>
        <w:pStyle w:val="Heading2"/>
        <w:keepNext/>
        <w:keepLines/>
      </w:pPr>
      <w:r>
        <w:t>7.2 Recognition is an implementation commitment</w:t>
      </w:r>
    </w:p>
    <w:p>
      <w:pPr>
        <w:widowControl/>
      </w:pPr>
      <w:r>
        <w:t>SWE Common permits definitions for both components and aggregates. This draft uses the profile relation, explicit group definition URIs and native ids with the reference conventions in Sections 5.2–5.3, rather than inventing a profile-discovery endpoint. A consumer recognizes only the semantics and binding edition it implements; a visible label alone is not such a declaration. The namespace in the example remains unpublished and must be replaced by an agreed publication namespace before production use (Open Geospatial Consortium 2025d, §§7.3, 8.3; Wilde 2013).</w:t>
      </w:r>
    </w:p>
    <w:p>
      <w:pPr>
        <w:pStyle w:val="Heading2"/>
        <w:keepNext/>
        <w:keepLines/>
      </w:pPr>
      <w:r>
        <w:t>7.3 The operator sees the deployed sensor</w:t>
      </w:r>
    </w:p>
    <w:p>
      <w:pPr>
        <w:widowControl/>
      </w:pPr>
      <w:r>
        <w:t>The intended user experience is a consistent resource-centered view that brings together the system’s equipment, capabilities, placement and purpose, communication, power, operating setup and relevant history. Domains in this outline are information responsibilities, not a mandatory sequence of tabs or a requirement to repeat the standard’s table of contents. Family-specific information and actions remain part of the view, with progressive detail and media-appropriate presentation. Necessary qualifications are prominent when they affect an operator’s decision or action and otherwise remain available as supporting detail (“PITON” 2026, §5.4; “Domain Information Models” 2026, §1.10).</w:t>
      </w:r>
    </w:p>
    <w:p>
      <w:pPr>
        <w:pStyle w:val="Heading2"/>
        <w:keepNext/>
        <w:keepLines/>
      </w:pPr>
      <w:r>
        <w:t>7.4 Reuse without hiding the remaining work</w:t>
      </w:r>
    </w:p>
    <w:p>
      <w:pPr>
        <w:widowControl/>
      </w:pPr>
      <w:r>
        <w:t>The same profile concepts should support more than one client view: an overview, a table, a map-linked inspection, an activity history or another appropriate module. Producer integrations still map their supplier interfaces and preserve the useful information outside the selected common content. The profile-aware part of the client should follow the domain semantics defined by the profile, not branch primarily on manufacturer names. This is the expected reuse benefit, while actual reductions in effort remain to be established from implementation experience rather than claimed in advance.</w:t>
      </w:r>
    </w:p>
    <w:p>
      <w:pPr>
        <w:widowControl/>
      </w:pPr>
      <w:r/>
    </w:p>
    <w:p>
      <w:pPr>
        <w:pStyle w:val="Heading1"/>
        <w:keepNext/>
        <w:keepLines/>
        <w:pageBreakBefore/>
      </w:pPr>
      <w:r>
        <w:t>8. From this outline to an implementable profile</w:t>
      </w:r>
    </w:p>
    <w:p>
      <w:pPr>
        <w:pStyle w:val="Heading2"/>
        <w:keepNext/>
        <w:keepLines/>
      </w:pPr>
      <w:r>
        <w:t>8.1 Proposed requirement organization</w:t>
      </w:r>
    </w:p>
    <w:p>
      <w:pPr>
        <w:widowControl/>
      </w:pPr>
      <w:r>
        <w:t>The future specification should distinguish common identity/association obligations from the content of applicable domain sections and any family specialization. It should also separate a data-producing integration’s obligations from those of a consumer claiming profile-aware behavior. Read-only description support and supported operational commands should have explicit scopes rather than one all-or-nothing claim. These are proposed ways to organize the profile; they are not yet registered OGC conformance classes or a finalized minimum-field list.</w:t>
      </w:r>
    </w:p>
    <w:p>
      <w:pPr>
        <w:pStyle w:val="Heading2"/>
        <w:keepNext/>
        <w:keepLines/>
      </w:pPr>
      <w:r>
        <w:t>8.2 Inherited obligations and authored requirements</w:t>
      </w:r>
    </w:p>
    <w:p>
      <w:pPr>
        <w:widowControl/>
      </w:pPr>
      <w:r>
        <w:t>The normative foundation proposed for the profile is CSAPI Parts 1 and 2 version 1.0, SensorML 3.0 and SWE Common 3.0, selecting the applicable classes and their dependencies. New domain-content rules would be marked as profile requirements rather than attributed to the base standards. Exact external model requirements would enter only where the chosen reuse and implementation form justify that claim; informative references would remain informative. OGC ModSpec and the base standards supply the applicable authoring/conformance framework, but their presence does not require making the current drafting task a compliance-testing campaign (Open Geospatial Consortium 2009b; 2025a, §2; 2025b, §2; 2025c, §2; 2025d, §2).</w:t>
      </w:r>
    </w:p>
    <w:p>
      <w:pPr>
        <w:pStyle w:val="Heading2"/>
        <w:keepNext/>
        <w:keepLines/>
      </w:pPr>
      <w:r>
        <w:t>8.3 Supporting artifacts and implementation claims</w:t>
      </w:r>
    </w:p>
    <w:p>
      <w:pPr>
        <w:widowControl/>
      </w:pPr>
      <w:r>
        <w:t>The profile package now contains proposed definitions, group contracts, relationship bindings and a connected example alongside the scope and model. The example catalogue is a machine-readable design index, not an adopted ontology or a replacement for the base schemas. A producer or consumer claiming a supported scope would identify its edition and applicable bindings; a native external-model claim still requires the originating artifact and its own obligations. This revision does not establish that any implementation has met those obligations.</w:t>
      </w:r>
    </w:p>
    <w:p>
      <w:pPr>
        <w:pStyle w:val="Heading2"/>
        <w:keepNext/>
        <w:keepLines/>
      </w:pPr>
      <w:r>
        <w:t>8.4 Versioning and change discipline</w:t>
      </w:r>
    </w:p>
    <w:p>
      <w:pPr>
        <w:widowControl/>
      </w:pPr>
      <w:r>
        <w:t>The proposed domain sections should be versioned so that a power refinement or equipment specialization does not silently redefine unrelated content. Shared concepts and cross-domain relationships need a common owner and an explicit record of changes, while specialized vocabularies can have their own maintainers. An incompatible semantic change should not be presented as a cosmetic label update. Revisions to model selection should name the changed evidence, requirement or interoperability need so that the recommendation remains stable rather than following whichever example was discussed most recently (“PITON” 2026, §§2–4, 13).</w:t>
      </w:r>
    </w:p>
    <w:p>
      <w:pPr>
        <w:widowControl/>
      </w:pPr>
      <w:r/>
    </w:p>
    <w:p>
      <w:pPr>
        <w:pStyle w:val="Heading1"/>
        <w:keepNext/>
        <w:keepLines/>
        <w:pageBreakBefore/>
      </w:pPr>
      <w:r>
        <w:t>9. DISR, NATO and openness implications</w:t>
      </w:r>
    </w:p>
    <w:p>
      <w:pPr>
        <w:widowControl/>
      </w:pPr>
      <w:r>
        <w:t>The supplied 10 October 2026 DISR export is the complete authoritative baseline for this investigation. Existing v0.7 findings remain in the table; a successful whole-export identifier/title search also found RFC 2863 as Mandated / IC-Mandated and no RFC 8343 or RFC 8345 entry. Their documented technical relationship does not transfer RFC 2863’s status to either YANG model. These findings affect normative selection without requiring another baseline check (StandardsReport 2026; this revision’s full-export search, October 13).</w:t>
      </w:r>
    </w:p>
    <w:tbl>
      <w:tblPr>
        <w:tblW w:type="auto" w:w="0"/>
        <w:jc w:val="center"/>
        <w:tblLayout w:type="fixed"/>
        <w:tblLook w:firstColumn="1" w:firstRow="1" w:lastColumn="0" w:lastRow="0" w:noHBand="0" w:noVBand="1" w:val="04A0"/>
      </w:tblPr>
      <w:tblGrid>
        <w:gridCol w:w="3038"/>
        <w:gridCol w:w="3067"/>
        <w:gridCol w:w="3888"/>
      </w:tblGrid>
      <w:tr>
        <w:trPr>
          <w:tblHeader/>
          <w:cantSplit/>
        </w:trPr>
        <w:tc>
          <w:tcPr>
            <w:tcW w:type="dxa" w:w="3038"/>
            <w:shd w:fill="225E70"/>
            <w:vAlign w:val="center"/>
            <w:tcMar>
              <w:top w:w="85" w:type="dxa"/>
              <w:left w:w="85" w:type="dxa"/>
              <w:bottom w:w="85" w:type="dxa"/>
              <w:right w:w="85" w:type="dxa"/>
            </w:tcMar>
          </w:tcPr>
          <w:p>
            <w:pPr>
              <w:spacing w:after="60" w:before="40" w:line="247" w:lineRule="auto"/>
            </w:pPr>
            <w:r>
              <w:rPr>
                <w:rFonts w:ascii="Calibri" w:hAnsi="Calibri"/>
                <w:b/>
                <w:color w:val="FFFFFF"/>
                <w:sz w:val="18"/>
              </w:rPr>
              <w:t>Artifact</w:t>
            </w:r>
          </w:p>
        </w:tc>
        <w:tc>
          <w:tcPr>
            <w:tcW w:type="dxa" w:w="3067"/>
            <w:shd w:fill="225E70"/>
            <w:vAlign w:val="center"/>
            <w:tcMar>
              <w:top w:w="85" w:type="dxa"/>
              <w:left w:w="85" w:type="dxa"/>
              <w:bottom w:w="85" w:type="dxa"/>
              <w:right w:w="85" w:type="dxa"/>
            </w:tcMar>
          </w:tcPr>
          <w:p>
            <w:pPr>
              <w:spacing w:after="60" w:before="40" w:line="247" w:lineRule="auto"/>
            </w:pPr>
            <w:r>
              <w:rPr>
                <w:rFonts w:ascii="Calibri" w:hAnsi="Calibri"/>
                <w:b/>
                <w:color w:val="FFFFFF"/>
                <w:sz w:val="18"/>
              </w:rPr>
              <w:t>DoD / IC standing in supplied baseline</w:t>
            </w:r>
          </w:p>
        </w:tc>
        <w:tc>
          <w:tcPr>
            <w:tcW w:type="dxa" w:w="3888"/>
            <w:shd w:fill="225E70"/>
            <w:vAlign w:val="center"/>
            <w:tcMar>
              <w:top w:w="85" w:type="dxa"/>
              <w:left w:w="85" w:type="dxa"/>
              <w:bottom w:w="85" w:type="dxa"/>
              <w:right w:w="85" w:type="dxa"/>
            </w:tcMar>
          </w:tcPr>
          <w:p>
            <w:pPr>
              <w:spacing w:after="60" w:before="40" w:line="247" w:lineRule="auto"/>
            </w:pPr>
            <w:r>
              <w:rPr>
                <w:rFonts w:ascii="Calibri" w:hAnsi="Calibri"/>
                <w:b/>
                <w:color w:val="FFFFFF"/>
                <w:sz w:val="18"/>
              </w:rPr>
              <w:t>Recommended consequence now</w:t>
            </w:r>
          </w:p>
        </w:tc>
      </w:tr>
      <w:tr>
        <w:trPr>
          <w:cantSplit/>
        </w:trPr>
        <w:tc>
          <w:tcPr>
            <w:tcW w:type="dxa" w:w="3038"/>
            <w:shd w:fill="F1F5F6"/>
            <w:vAlign w:val="center"/>
            <w:tcMar>
              <w:top w:w="85" w:type="dxa"/>
              <w:left w:w="85" w:type="dxa"/>
              <w:bottom w:w="85" w:type="dxa"/>
              <w:right w:w="85" w:type="dxa"/>
            </w:tcMar>
          </w:tcPr>
          <w:p>
            <w:pPr>
              <w:spacing w:after="60" w:before="40" w:line="247" w:lineRule="auto"/>
            </w:pPr>
            <w:r>
              <w:rPr>
                <w:rFonts w:ascii="Calibri" w:hAnsi="Calibri"/>
                <w:sz w:val="18"/>
              </w:rPr>
              <w:t>CSAPI Parts 1–2 v1.0; SensorML 3.0; SWE Common 3.0</w:t>
            </w:r>
          </w:p>
        </w:tc>
        <w:tc>
          <w:tcPr>
            <w:tcW w:type="dxa" w:w="3067"/>
            <w:shd w:fill="F1F5F6"/>
            <w:vAlign w:val="center"/>
            <w:tcMar>
              <w:top w:w="85" w:type="dxa"/>
              <w:left w:w="85" w:type="dxa"/>
              <w:bottom w:w="85" w:type="dxa"/>
              <w:right w:w="85" w:type="dxa"/>
            </w:tcMar>
          </w:tcPr>
          <w:p>
            <w:pPr>
              <w:spacing w:after="60" w:before="40" w:line="247" w:lineRule="auto"/>
            </w:pPr>
            <w:r>
              <w:rPr>
                <w:rFonts w:ascii="Calibri" w:hAnsi="Calibri"/>
                <w:sz w:val="18"/>
              </w:rPr>
              <w:t>Emerging / IC-Emerging for each listed edition.</w:t>
            </w:r>
          </w:p>
        </w:tc>
        <w:tc>
          <w:tcPr>
            <w:tcW w:type="dxa" w:w="3888"/>
            <w:shd w:fill="F1F5F6"/>
            <w:vAlign w:val="center"/>
            <w:tcMar>
              <w:top w:w="85" w:type="dxa"/>
              <w:left w:w="85" w:type="dxa"/>
              <w:bottom w:w="85" w:type="dxa"/>
              <w:right w:w="85" w:type="dxa"/>
            </w:tcMar>
          </w:tcPr>
          <w:p>
            <w:pPr>
              <w:spacing w:after="60" w:before="40" w:line="247" w:lineRule="auto"/>
            </w:pPr>
            <w:r>
              <w:rPr>
                <w:rFonts w:ascii="Calibri" w:hAnsi="Calibri"/>
                <w:sz w:val="18"/>
              </w:rPr>
              <w:t>Use as the proposed OGC basis; no duplicate addition request.</w:t>
            </w:r>
          </w:p>
        </w:tc>
      </w:tr>
      <w:tr>
        <w:trPr>
          <w:cantSplit/>
        </w:trPr>
        <w:tc>
          <w:tcPr>
            <w:tcW w:type="dxa" w:w="3038"/>
            <w:vAlign w:val="center"/>
            <w:tcMar>
              <w:top w:w="85" w:type="dxa"/>
              <w:left w:w="85" w:type="dxa"/>
              <w:bottom w:w="85" w:type="dxa"/>
              <w:right w:w="85" w:type="dxa"/>
            </w:tcMar>
          </w:tcPr>
          <w:p>
            <w:pPr>
              <w:spacing w:after="60" w:before="40" w:line="247" w:lineRule="auto"/>
            </w:pPr>
            <w:r>
              <w:rPr>
                <w:rFonts w:ascii="Calibri" w:hAnsi="Calibri"/>
                <w:sz w:val="18"/>
              </w:rPr>
              <w:t>RFC 8348</w:t>
            </w:r>
          </w:p>
        </w:tc>
        <w:tc>
          <w:tcPr>
            <w:tcW w:type="dxa" w:w="3067"/>
            <w:vAlign w:val="center"/>
            <w:tcMar>
              <w:top w:w="85" w:type="dxa"/>
              <w:left w:w="85" w:type="dxa"/>
              <w:bottom w:w="85" w:type="dxa"/>
              <w:right w:w="85" w:type="dxa"/>
            </w:tcMar>
          </w:tcPr>
          <w:p>
            <w:pPr>
              <w:spacing w:after="60" w:before="40" w:line="247" w:lineRule="auto"/>
            </w:pPr>
            <w:r>
              <w:rPr>
                <w:rFonts w:ascii="Calibri" w:hAnsi="Calibri"/>
                <w:sz w:val="18"/>
              </w:rPr>
              <w:t>Mandated / IC-Mandated.</w:t>
            </w:r>
          </w:p>
        </w:tc>
        <w:tc>
          <w:tcPr>
            <w:tcW w:type="dxa" w:w="3888"/>
            <w:vAlign w:val="center"/>
            <w:tcMar>
              <w:top w:w="85" w:type="dxa"/>
              <w:left w:w="85" w:type="dxa"/>
              <w:bottom w:w="85" w:type="dxa"/>
              <w:right w:w="85" w:type="dxa"/>
            </w:tcMar>
          </w:tcPr>
          <w:p>
            <w:pPr>
              <w:spacing w:after="60" w:before="40" w:line="247" w:lineRule="auto"/>
            </w:pPr>
            <w:r>
              <w:rPr>
                <w:rFonts w:ascii="Calibri" w:hAnsi="Calibri"/>
                <w:sz w:val="18"/>
              </w:rPr>
              <w:t>Evaluate the actual module/content; no request to add an existing entry.</w:t>
            </w:r>
          </w:p>
        </w:tc>
      </w:tr>
      <w:tr>
        <w:trPr>
          <w:cantSplit/>
        </w:trPr>
        <w:tc>
          <w:tcPr>
            <w:tcW w:type="dxa" w:w="3038"/>
            <w:shd w:fill="F1F5F6"/>
            <w:vAlign w:val="center"/>
            <w:tcMar>
              <w:top w:w="85" w:type="dxa"/>
              <w:left w:w="85" w:type="dxa"/>
              <w:bottom w:w="85" w:type="dxa"/>
              <w:right w:w="85" w:type="dxa"/>
            </w:tcMar>
          </w:tcPr>
          <w:p>
            <w:pPr>
              <w:spacing w:after="60" w:before="40" w:line="247" w:lineRule="auto"/>
            </w:pPr>
            <w:r>
              <w:rPr>
                <w:rFonts w:ascii="Calibri" w:hAnsi="Calibri"/>
                <w:sz w:val="18"/>
              </w:rPr>
              <w:t>OSA-EAI 3.2.3a; OSA-CBM 3.3.1</w:t>
            </w:r>
          </w:p>
        </w:tc>
        <w:tc>
          <w:tcPr>
            <w:tcW w:type="dxa" w:w="3067"/>
            <w:shd w:fill="F1F5F6"/>
            <w:vAlign w:val="center"/>
            <w:tcMar>
              <w:top w:w="85" w:type="dxa"/>
              <w:left w:w="85" w:type="dxa"/>
              <w:bottom w:w="85" w:type="dxa"/>
              <w:right w:w="85" w:type="dxa"/>
            </w:tcMar>
          </w:tcPr>
          <w:p>
            <w:pPr>
              <w:spacing w:after="60" w:before="40" w:line="247" w:lineRule="auto"/>
            </w:pPr>
            <w:r>
              <w:rPr>
                <w:rFonts w:ascii="Calibri" w:hAnsi="Calibri"/>
                <w:sz w:val="18"/>
              </w:rPr>
              <w:t>OSA-EAI: Mandated / IC-Not Applicable. OSA-CBM: Mandated / IC-Mandated.</w:t>
            </w:r>
          </w:p>
        </w:tc>
        <w:tc>
          <w:tcPr>
            <w:tcW w:type="dxa" w:w="3888"/>
            <w:shd w:fill="F1F5F6"/>
            <w:vAlign w:val="center"/>
            <w:tcMar>
              <w:top w:w="85" w:type="dxa"/>
              <w:left w:w="85" w:type="dxa"/>
              <w:bottom w:w="85" w:type="dxa"/>
              <w:right w:w="85" w:type="dxa"/>
            </w:tcMar>
          </w:tcPr>
          <w:p>
            <w:pPr>
              <w:spacing w:after="60" w:before="40" w:line="247" w:lineRule="auto"/>
            </w:pPr>
            <w:r>
              <w:rPr>
                <w:rFonts w:ascii="Calibri" w:hAnsi="Calibri"/>
                <w:sz w:val="18"/>
              </w:rPr>
              <w:t>Select exact applicable content; do not transfer status to CCOM 4.1.0-RC1.</w:t>
            </w:r>
          </w:p>
        </w:tc>
      </w:tr>
      <w:tr>
        <w:trPr>
          <w:cantSplit/>
        </w:trPr>
        <w:tc>
          <w:tcPr>
            <w:tcW w:type="dxa" w:w="3038"/>
            <w:vAlign w:val="center"/>
            <w:tcMar>
              <w:top w:w="85" w:type="dxa"/>
              <w:left w:w="85" w:type="dxa"/>
              <w:bottom w:w="85" w:type="dxa"/>
              <w:right w:w="85" w:type="dxa"/>
            </w:tcMar>
          </w:tcPr>
          <w:p>
            <w:pPr>
              <w:spacing w:after="60" w:before="40" w:line="247" w:lineRule="auto"/>
            </w:pPr>
            <w:r>
              <w:rPr>
                <w:rFonts w:ascii="Calibri" w:hAnsi="Calibri"/>
                <w:sz w:val="18"/>
              </w:rPr>
              <w:t>STANAG 5525 Ed. 1 / JC3IEDM</w:t>
            </w:r>
          </w:p>
        </w:tc>
        <w:tc>
          <w:tcPr>
            <w:tcW w:type="dxa" w:w="3067"/>
            <w:vAlign w:val="center"/>
            <w:tcMar>
              <w:top w:w="85" w:type="dxa"/>
              <w:left w:w="85" w:type="dxa"/>
              <w:bottom w:w="85" w:type="dxa"/>
              <w:right w:w="85" w:type="dxa"/>
            </w:tcMar>
          </w:tcPr>
          <w:p>
            <w:pPr>
              <w:spacing w:after="60" w:before="40" w:line="247" w:lineRule="auto"/>
            </w:pPr>
            <w:r>
              <w:rPr>
                <w:rFonts w:ascii="Calibri" w:hAnsi="Calibri"/>
                <w:sz w:val="18"/>
              </w:rPr>
              <w:t>Mandated / IC-Mandated.</w:t>
            </w:r>
          </w:p>
        </w:tc>
        <w:tc>
          <w:tcPr>
            <w:tcW w:type="dxa" w:w="3888"/>
            <w:vAlign w:val="center"/>
            <w:tcMar>
              <w:top w:w="85" w:type="dxa"/>
              <w:left w:w="85" w:type="dxa"/>
              <w:bottom w:w="85" w:type="dxa"/>
              <w:right w:w="85" w:type="dxa"/>
            </w:tcMar>
          </w:tcPr>
          <w:p>
            <w:pPr>
              <w:spacing w:after="60" w:before="40" w:line="247" w:lineRule="auto"/>
            </w:pPr>
            <w:r>
              <w:rPr>
                <w:rFonts w:ascii="Calibri" w:hAnsi="Calibri"/>
                <w:sz w:val="18"/>
              </w:rPr>
              <w:t>Retain exact-edition operational relevance; not a mandate for every later MIM artifact.</w:t>
            </w:r>
          </w:p>
        </w:tc>
      </w:tr>
      <w:tr>
        <w:trPr>
          <w:cantSplit/>
        </w:trPr>
        <w:tc>
          <w:tcPr>
            <w:tcW w:type="dxa" w:w="3038"/>
            <w:shd w:fill="F1F5F6"/>
            <w:vAlign w:val="center"/>
            <w:tcMar>
              <w:top w:w="85" w:type="dxa"/>
              <w:left w:w="85" w:type="dxa"/>
              <w:bottom w:w="85" w:type="dxa"/>
              <w:right w:w="85" w:type="dxa"/>
            </w:tcMar>
          </w:tcPr>
          <w:p>
            <w:pPr>
              <w:spacing w:after="60" w:before="40" w:line="247" w:lineRule="auto"/>
            </w:pPr>
            <w:r>
              <w:rPr>
                <w:rFonts w:ascii="Calibri" w:hAnsi="Calibri"/>
                <w:sz w:val="18"/>
              </w:rPr>
              <w:t>SNRA 29182-4; OSUS; RFC 7326; RFC 7228</w:t>
            </w:r>
          </w:p>
        </w:tc>
        <w:tc>
          <w:tcPr>
            <w:tcW w:type="dxa" w:w="3067"/>
            <w:shd w:fill="F1F5F6"/>
            <w:vAlign w:val="center"/>
            <w:tcMar>
              <w:top w:w="85" w:type="dxa"/>
              <w:left w:w="85" w:type="dxa"/>
              <w:bottom w:w="85" w:type="dxa"/>
              <w:right w:w="85" w:type="dxa"/>
            </w:tcMar>
          </w:tcPr>
          <w:p>
            <w:pPr>
              <w:spacing w:after="60" w:before="40" w:line="247" w:lineRule="auto"/>
            </w:pPr>
            <w:r>
              <w:rPr>
                <w:rFonts w:ascii="Calibri" w:hAnsi="Calibri"/>
                <w:sz w:val="18"/>
              </w:rPr>
              <w:t>No independent entries.</w:t>
            </w:r>
          </w:p>
        </w:tc>
        <w:tc>
          <w:tcPr>
            <w:tcW w:type="dxa" w:w="3888"/>
            <w:shd w:fill="F1F5F6"/>
            <w:vAlign w:val="center"/>
            <w:tcMar>
              <w:top w:w="85" w:type="dxa"/>
              <w:left w:w="85" w:type="dxa"/>
              <w:bottom w:w="85" w:type="dxa"/>
              <w:right w:w="85" w:type="dxa"/>
            </w:tcMar>
          </w:tcPr>
          <w:p>
            <w:pPr>
              <w:spacing w:after="60" w:before="40" w:line="247" w:lineRule="auto"/>
            </w:pPr>
            <w:r>
              <w:rPr>
                <w:rFonts w:ascii="Calibri" w:hAnsi="Calibri"/>
                <w:sz w:val="18"/>
              </w:rPr>
              <w:t>Reference roles and candidate power realization do not yet justify additions.</w:t>
            </w:r>
          </w:p>
        </w:tc>
      </w:tr>
      <w:tr>
        <w:trPr>
          <w:cantSplit/>
        </w:trPr>
        <w:tc>
          <w:tcPr>
            <w:tcW w:type="dxa" w:w="3038"/>
            <w:vAlign w:val="center"/>
            <w:tcMar>
              <w:top w:w="85" w:type="dxa"/>
              <w:left w:w="85" w:type="dxa"/>
              <w:bottom w:w="85" w:type="dxa"/>
              <w:right w:w="85" w:type="dxa"/>
            </w:tcMar>
          </w:tcPr>
          <w:p>
            <w:pPr>
              <w:spacing w:after="60" w:before="40" w:line="247" w:lineRule="auto"/>
            </w:pPr>
            <w:r>
              <w:rPr>
                <w:rFonts w:ascii="Calibri" w:hAnsi="Calibri"/>
                <w:sz w:val="18"/>
              </w:rPr>
              <w:t>OPC Devices / PA-DIM; AAS and reviewed templates; CCOM RC1</w:t>
            </w:r>
          </w:p>
        </w:tc>
        <w:tc>
          <w:tcPr>
            <w:tcW w:type="dxa" w:w="3067"/>
            <w:vAlign w:val="center"/>
            <w:tcMar>
              <w:top w:w="85" w:type="dxa"/>
              <w:left w:w="85" w:type="dxa"/>
              <w:bottom w:w="85" w:type="dxa"/>
              <w:right w:w="85" w:type="dxa"/>
            </w:tcMar>
          </w:tcPr>
          <w:p>
            <w:pPr>
              <w:spacing w:after="60" w:before="40" w:line="247" w:lineRule="auto"/>
            </w:pPr>
            <w:r>
              <w:rPr>
                <w:rFonts w:ascii="Calibri" w:hAnsi="Calibri"/>
                <w:sz w:val="18"/>
              </w:rPr>
              <w:t>Absent as the independently reviewed artifacts.</w:t>
            </w:r>
          </w:p>
        </w:tc>
        <w:tc>
          <w:tcPr>
            <w:tcW w:type="dxa" w:w="3888"/>
            <w:vAlign w:val="center"/>
            <w:tcMar>
              <w:top w:w="85" w:type="dxa"/>
              <w:left w:w="85" w:type="dxa"/>
              <w:bottom w:w="85" w:type="dxa"/>
              <w:right w:w="85" w:type="dxa"/>
            </w:tcMar>
          </w:tcPr>
          <w:p>
            <w:pPr>
              <w:spacing w:after="60" w:before="40" w:line="247" w:lineRule="auto"/>
            </w:pPr>
            <w:r>
              <w:rPr>
                <w:rFonts w:ascii="Calibri" w:hAnsi="Calibri"/>
                <w:sz w:val="18"/>
              </w:rPr>
              <w:t>No blanket addition proposal; identify exact normative need before any request.</w:t>
            </w:r>
          </w:p>
        </w:tc>
      </w:tr>
      <w:tr>
        <w:trPr>
          <w:cantSplit/>
        </w:trPr>
        <w:tc>
          <w:tcPr>
            <w:tcW w:type="dxa" w:w="3038"/>
          </w:tcPr>
          <w:p>
            <w:r>
              <w:rPr>
                <w:sz w:val="18"/>
              </w:rPr>
              <w:t>RFC 6906 (D05)</w:t>
            </w:r>
          </w:p>
        </w:tc>
        <w:tc>
          <w:tcPr>
            <w:tcW w:type="dxa" w:w="3067"/>
          </w:tcPr>
          <w:p>
            <w:r>
              <w:rPr>
                <w:sz w:val="18"/>
              </w:rPr>
              <w:t>Absent as an independent entry; no DoD or IC status listed.</w:t>
            </w:r>
          </w:p>
        </w:tc>
        <w:tc>
          <w:tcPr>
            <w:tcW w:type="dxa" w:w="3888"/>
          </w:tcPr>
          <w:p>
            <w:r>
              <w:rPr>
                <w:sz w:val="18"/>
              </w:rPr>
              <w:t>Proposed profile-link declaration dependency. No automatic submission; review exact implementation applicability before any request.</w:t>
            </w:r>
          </w:p>
        </w:tc>
      </w:tr>
    </w:tbl>
    <w:p>
      <w:pPr>
        <w:widowControl/>
        <w:spacing w:after="0"/>
      </w:pPr>
      <w:r/>
    </w:p>
    <w:p>
      <w:pPr>
        <w:pStyle w:val="Heading2"/>
        <w:keepNext/>
        <w:keepLines/>
      </w:pPr>
      <w:r>
        <w:t>9.1 Supplemental interfaces sources and NATO coordination</w:t>
      </w:r>
    </w:p>
    <w:p>
      <w:pPr>
        <w:widowControl/>
      </w:pPr>
      <w:r>
        <w:t>RFC 2863 is a substantive listed basis for interface semantics; RFC 8343 and RFC 8345 remain supplemental design references for this new OGC mapping. No duplicate addition is recommended for RFC 2863, and no addition is recommended for the other two solely because their concepts informed this draft; reconsider a targeted request when the exact normative dependency is selected. No current NATO adoption of those exact supplemental documents is established by the inspected material. The existing STANAG 4789 custodial context remains the coordination starting point for a justified sensor profile, without claiming Alliance adoption of every referenced model (StandardsReport 2026; NATO Standardization Office 2026).</w:t>
      </w:r>
    </w:p>
    <w:p>
      <w:pPr>
        <w:pStyle w:val="Heading2"/>
        <w:keepNext/>
        <w:keepLines/>
      </w:pPr>
      <w:r>
        <w:t>9.2 Openness and future actions</w:t>
      </w:r>
    </w:p>
    <w:p>
      <w:pPr>
        <w:widowControl/>
      </w:pPr>
      <w:r>
        <w:t>Assess the rights attached to the specific material that would be referenced, implemented or redistributed. The new IETF sources publish their own copyright or trust terms, including code-component conditions in the 2018 RFCs; public text does not eliminate those conditions. Existing OSUS, ISO and dictionary limits remain recorded in the bibliography, and the source-selection scope is not a license clearance. A future DISR or NATO request must identify an exact missing dependency, edition change or profile need; this drafting increment submits none (Bjorklund 2018, copyright notice; Clemm et al. 2018, copyright notice; “Domain Information Models” 2026, §1.12).</w:t>
      </w:r>
    </w:p>
    <w:p>
      <w:pPr>
        <w:pStyle w:val="Heading1"/>
        <w:keepNext/>
        <w:keepLines/>
        <w:pageBreakBefore/>
      </w:pPr>
      <w:r>
        <w:t>10. Proposed structure of the technical profile</w:t>
      </w:r>
    </w:p>
    <w:p>
      <w:pPr>
        <w:widowControl/>
      </w:pPr>
      <w:r>
        <w:t>The following is the proposed contents of the eventual technical specification, not a claim that the specification has already been completed. It separates conceptual content, OGC bindings, implementation claims and informative presentation guidance. Section 4 of this document supplies the substantive rationale behind the domain chapters, rather than leaving them as empty headings.</w:t>
      </w:r>
    </w:p>
    <w:tbl>
      <w:tblPr>
        <w:tblW w:type="auto" w:w="0"/>
        <w:jc w:val="center"/>
        <w:tblLayout w:type="fixed"/>
        <w:tblLook w:firstColumn="1" w:firstRow="1" w:lastColumn="0" w:lastRow="0" w:noHBand="0" w:noVBand="1" w:val="04A0"/>
      </w:tblPr>
      <w:tblGrid>
        <w:gridCol w:w="2621"/>
        <w:gridCol w:w="7373"/>
      </w:tblGrid>
      <w:tr>
        <w:trPr>
          <w:tblHeader/>
          <w:cantSplit/>
        </w:trPr>
        <w:tc>
          <w:tcPr>
            <w:tcW w:type="dxa" w:w="2621"/>
            <w:shd w:fill="225E70"/>
            <w:vAlign w:val="center"/>
            <w:tcMar>
              <w:top w:w="85" w:type="dxa"/>
              <w:left w:w="85" w:type="dxa"/>
              <w:bottom w:w="85" w:type="dxa"/>
              <w:right w:w="85" w:type="dxa"/>
            </w:tcMar>
          </w:tcPr>
          <w:p>
            <w:pPr>
              <w:spacing w:after="60" w:before="40" w:line="247" w:lineRule="auto"/>
            </w:pPr>
            <w:r>
              <w:rPr>
                <w:rFonts w:ascii="Calibri" w:hAnsi="Calibri"/>
                <w:b/>
                <w:color w:val="FFFFFF"/>
                <w:sz w:val="19"/>
              </w:rPr>
              <w:t>Proposed clause</w:t>
            </w:r>
          </w:p>
        </w:tc>
        <w:tc>
          <w:tcPr>
            <w:tcW w:type="dxa" w:w="7373"/>
            <w:shd w:fill="225E70"/>
            <w:vAlign w:val="center"/>
            <w:tcMar>
              <w:top w:w="85" w:type="dxa"/>
              <w:left w:w="85" w:type="dxa"/>
              <w:bottom w:w="85" w:type="dxa"/>
              <w:right w:w="85" w:type="dxa"/>
            </w:tcMar>
          </w:tcPr>
          <w:p>
            <w:pPr>
              <w:spacing w:after="60" w:before="40" w:line="247" w:lineRule="auto"/>
            </w:pPr>
            <w:r>
              <w:rPr>
                <w:rFonts w:ascii="Calibri" w:hAnsi="Calibri"/>
                <w:b/>
                <w:color w:val="FFFFFF"/>
                <w:sz w:val="19"/>
              </w:rPr>
              <w:t>Content and intended deliverable</w:t>
            </w:r>
          </w:p>
        </w:tc>
      </w:tr>
      <w:tr>
        <w:trPr>
          <w:cantSplit/>
        </w:trPr>
        <w:tc>
          <w:tcPr>
            <w:tcW w:type="dxa" w:w="2621"/>
            <w:shd w:fill="F1F5F6"/>
            <w:vAlign w:val="center"/>
            <w:tcMar>
              <w:top w:w="85" w:type="dxa"/>
              <w:left w:w="85" w:type="dxa"/>
              <w:bottom w:w="85" w:type="dxa"/>
              <w:right w:w="85" w:type="dxa"/>
            </w:tcMar>
          </w:tcPr>
          <w:p>
            <w:pPr>
              <w:spacing w:after="60" w:before="40" w:line="247" w:lineRule="auto"/>
            </w:pPr>
            <w:r>
              <w:rPr>
                <w:rFonts w:ascii="Calibri" w:hAnsi="Calibri"/>
                <w:sz w:val="19"/>
              </w:rPr>
              <w:t>1. Scope and applicability</w:t>
            </w:r>
          </w:p>
        </w:tc>
        <w:tc>
          <w:tcPr>
            <w:tcW w:type="dxa" w:w="7373"/>
            <w:shd w:fill="F1F5F6"/>
            <w:vAlign w:val="center"/>
            <w:tcMar>
              <w:top w:w="85" w:type="dxa"/>
              <w:left w:w="85" w:type="dxa"/>
              <w:bottom w:w="85" w:type="dxa"/>
              <w:right w:w="85" w:type="dxa"/>
            </w:tcMar>
          </w:tcPr>
          <w:p>
            <w:pPr>
              <w:spacing w:after="60" w:before="40" w:line="247" w:lineRule="auto"/>
            </w:pPr>
            <w:r>
              <w:rPr>
                <w:rFonts w:ascii="Calibri" w:hAnsi="Calibri"/>
                <w:sz w:val="19"/>
              </w:rPr>
              <w:t>Family definition; intended users; participation through gateways; relationship to base OGC resources.</w:t>
            </w:r>
          </w:p>
        </w:tc>
      </w:tr>
      <w:tr>
        <w:trPr>
          <w:cantSplit/>
        </w:trPr>
        <w:tc>
          <w:tcPr>
            <w:tcW w:type="dxa" w:w="2621"/>
            <w:vAlign w:val="center"/>
            <w:tcMar>
              <w:top w:w="85" w:type="dxa"/>
              <w:left w:w="85" w:type="dxa"/>
              <w:bottom w:w="85" w:type="dxa"/>
              <w:right w:w="85" w:type="dxa"/>
            </w:tcMar>
          </w:tcPr>
          <w:p>
            <w:pPr>
              <w:spacing w:after="60" w:before="40" w:line="247" w:lineRule="auto"/>
            </w:pPr>
            <w:r>
              <w:rPr>
                <w:rFonts w:ascii="Calibri" w:hAnsi="Calibri"/>
                <w:sz w:val="19"/>
              </w:rPr>
              <w:t>2. References and terminology</w:t>
            </w:r>
          </w:p>
        </w:tc>
        <w:tc>
          <w:tcPr>
            <w:tcW w:type="dxa" w:w="7373"/>
            <w:vAlign w:val="center"/>
            <w:tcMar>
              <w:top w:w="85" w:type="dxa"/>
              <w:left w:w="85" w:type="dxa"/>
              <w:bottom w:w="85" w:type="dxa"/>
              <w:right w:w="85" w:type="dxa"/>
            </w:tcMar>
          </w:tcPr>
          <w:p>
            <w:pPr>
              <w:spacing w:after="60" w:before="40" w:line="247" w:lineRule="auto"/>
            </w:pPr>
            <w:r>
              <w:rPr>
                <w:rFonts w:ascii="Calibri" w:hAnsi="Calibri"/>
                <w:sz w:val="19"/>
              </w:rPr>
              <w:t>Exact normative editions, informative sources, inherited concepts and explicitly authored profile terms.</w:t>
            </w:r>
          </w:p>
        </w:tc>
      </w:tr>
      <w:tr>
        <w:trPr>
          <w:cantSplit/>
        </w:trPr>
        <w:tc>
          <w:tcPr>
            <w:tcW w:type="dxa" w:w="2621"/>
            <w:shd w:fill="F1F5F6"/>
            <w:vAlign w:val="center"/>
            <w:tcMar>
              <w:top w:w="85" w:type="dxa"/>
              <w:left w:w="85" w:type="dxa"/>
              <w:bottom w:w="85" w:type="dxa"/>
              <w:right w:w="85" w:type="dxa"/>
            </w:tcMar>
          </w:tcPr>
          <w:p>
            <w:pPr>
              <w:spacing w:after="60" w:before="40" w:line="247" w:lineRule="auto"/>
            </w:pPr>
            <w:r>
              <w:rPr>
                <w:rFonts w:ascii="Calibri" w:hAnsi="Calibri"/>
                <w:sz w:val="19"/>
              </w:rPr>
              <w:t>3. Profile organization</w:t>
            </w:r>
          </w:p>
        </w:tc>
        <w:tc>
          <w:tcPr>
            <w:tcW w:type="dxa" w:w="7373"/>
            <w:shd w:fill="F1F5F6"/>
            <w:vAlign w:val="center"/>
            <w:tcMar>
              <w:top w:w="85" w:type="dxa"/>
              <w:left w:w="85" w:type="dxa"/>
              <w:bottom w:w="85" w:type="dxa"/>
              <w:right w:w="85" w:type="dxa"/>
            </w:tcMar>
          </w:tcPr>
          <w:p>
            <w:pPr>
              <w:spacing w:after="60" w:before="40" w:line="247" w:lineRule="auto"/>
            </w:pPr>
            <w:r>
              <w:rPr>
                <w:rFonts w:ascii="Calibri" w:hAnsi="Calibri"/>
                <w:sz w:val="19"/>
              </w:rPr>
              <w:t>Common foundations, applicable domain sections, family specializations and declaration of support.</w:t>
            </w:r>
          </w:p>
        </w:tc>
      </w:tr>
      <w:tr>
        <w:trPr>
          <w:cantSplit/>
        </w:trPr>
        <w:tc>
          <w:tcPr>
            <w:tcW w:type="dxa" w:w="2621"/>
            <w:vAlign w:val="center"/>
            <w:tcMar>
              <w:top w:w="85" w:type="dxa"/>
              <w:left w:w="85" w:type="dxa"/>
              <w:bottom w:w="85" w:type="dxa"/>
              <w:right w:w="85" w:type="dxa"/>
            </w:tcMar>
          </w:tcPr>
          <w:p>
            <w:pPr>
              <w:spacing w:after="60" w:before="40" w:line="247" w:lineRule="auto"/>
            </w:pPr>
            <w:r>
              <w:rPr>
                <w:rFonts w:ascii="Calibri" w:hAnsi="Calibri"/>
                <w:sz w:val="19"/>
              </w:rPr>
              <w:t>4. System and deployment model</w:t>
            </w:r>
          </w:p>
        </w:tc>
        <w:tc>
          <w:tcPr>
            <w:tcW w:type="dxa" w:w="7373"/>
            <w:vAlign w:val="center"/>
            <w:tcMar>
              <w:top w:w="85" w:type="dxa"/>
              <w:left w:w="85" w:type="dxa"/>
              <w:bottom w:w="85" w:type="dxa"/>
              <w:right w:w="85" w:type="dxa"/>
            </w:tcMar>
          </w:tcPr>
          <w:p>
            <w:pPr>
              <w:spacing w:after="60" w:before="40" w:line="247" w:lineRule="auto"/>
            </w:pPr>
            <w:r>
              <w:rPr>
                <w:rFonts w:ascii="Calibri" w:hAnsi="Calibri"/>
                <w:sz w:val="19"/>
              </w:rPr>
              <w:t>Persistent system, model description, equipment, deployment, participants and relevant history.</w:t>
            </w:r>
          </w:p>
        </w:tc>
      </w:tr>
      <w:tr>
        <w:trPr>
          <w:cantSplit/>
        </w:trPr>
        <w:tc>
          <w:tcPr>
            <w:tcW w:type="dxa" w:w="2621"/>
            <w:shd w:fill="F1F5F6"/>
            <w:vAlign w:val="center"/>
            <w:tcMar>
              <w:top w:w="85" w:type="dxa"/>
              <w:left w:w="85" w:type="dxa"/>
              <w:bottom w:w="85" w:type="dxa"/>
              <w:right w:w="85" w:type="dxa"/>
            </w:tcMar>
          </w:tcPr>
          <w:p>
            <w:pPr>
              <w:spacing w:after="60" w:before="40" w:line="247" w:lineRule="auto"/>
            </w:pPr>
            <w:r>
              <w:rPr>
                <w:rFonts w:ascii="Calibri" w:hAnsi="Calibri"/>
                <w:sz w:val="19"/>
              </w:rPr>
              <w:t>5. Domain content</w:t>
            </w:r>
          </w:p>
        </w:tc>
        <w:tc>
          <w:tcPr>
            <w:tcW w:type="dxa" w:w="7373"/>
            <w:shd w:fill="F1F5F6"/>
            <w:vAlign w:val="center"/>
            <w:tcMar>
              <w:top w:w="85" w:type="dxa"/>
              <w:left w:w="85" w:type="dxa"/>
              <w:bottom w:w="85" w:type="dxa"/>
              <w:right w:w="85" w:type="dxa"/>
            </w:tcMar>
          </w:tcPr>
          <w:p>
            <w:pPr>
              <w:spacing w:after="60" w:before="40" w:line="247" w:lineRule="auto"/>
            </w:pPr>
            <w:r>
              <w:rPr>
                <w:rFonts w:ascii="Calibri" w:hAnsi="Calibri"/>
                <w:sz w:val="19"/>
              </w:rPr>
              <w:t>Identity/technical description; equipment; sensing/performance; deployment/responsibility; configuration/actions; communications; power; condition/lifecycle.</w:t>
            </w:r>
          </w:p>
        </w:tc>
      </w:tr>
      <w:tr>
        <w:trPr>
          <w:cantSplit/>
        </w:trPr>
        <w:tc>
          <w:tcPr>
            <w:tcW w:type="dxa" w:w="2621"/>
            <w:vAlign w:val="center"/>
            <w:tcMar>
              <w:top w:w="85" w:type="dxa"/>
              <w:left w:w="85" w:type="dxa"/>
              <w:bottom w:w="85" w:type="dxa"/>
              <w:right w:w="85" w:type="dxa"/>
            </w:tcMar>
          </w:tcPr>
          <w:p>
            <w:pPr>
              <w:spacing w:after="60" w:before="40" w:line="247" w:lineRule="auto"/>
            </w:pPr>
            <w:r>
              <w:rPr>
                <w:rFonts w:ascii="Calibri" w:hAnsi="Calibri"/>
                <w:sz w:val="19"/>
              </w:rPr>
              <w:t>6. OGC representation and bindings</w:t>
            </w:r>
          </w:p>
        </w:tc>
        <w:tc>
          <w:tcPr>
            <w:tcW w:type="dxa" w:w="7373"/>
            <w:vAlign w:val="center"/>
            <w:tcMar>
              <w:top w:w="85" w:type="dxa"/>
              <w:left w:w="85" w:type="dxa"/>
              <w:bottom w:w="85" w:type="dxa"/>
              <w:right w:w="85" w:type="dxa"/>
            </w:tcMar>
          </w:tcPr>
          <w:p>
            <w:pPr>
              <w:spacing w:after="60" w:before="40" w:line="247" w:lineRule="auto"/>
            </w:pPr>
            <w:r>
              <w:rPr>
                <w:rFonts w:ascii="Calibri" w:hAnsi="Calibri"/>
                <w:sz w:val="19"/>
              </w:rPr>
              <w:t>System, Procedure, Deployment, property definitions, SensorML content and relevant Part 2 resources; cross-resource relationships.</w:t>
            </w:r>
          </w:p>
        </w:tc>
      </w:tr>
      <w:tr>
        <w:trPr>
          <w:cantSplit/>
        </w:trPr>
        <w:tc>
          <w:tcPr>
            <w:tcW w:type="dxa" w:w="2621"/>
            <w:shd w:fill="F1F5F6"/>
            <w:vAlign w:val="center"/>
            <w:tcMar>
              <w:top w:w="85" w:type="dxa"/>
              <w:left w:w="85" w:type="dxa"/>
              <w:bottom w:w="85" w:type="dxa"/>
              <w:right w:w="85" w:type="dxa"/>
            </w:tcMar>
          </w:tcPr>
          <w:p>
            <w:pPr>
              <w:spacing w:after="60" w:before="40" w:line="247" w:lineRule="auto"/>
            </w:pPr>
            <w:r>
              <w:rPr>
                <w:rFonts w:ascii="Calibri" w:hAnsi="Calibri"/>
                <w:sz w:val="19"/>
              </w:rPr>
              <w:t>7. Semantic definitions and recognition</w:t>
            </w:r>
          </w:p>
        </w:tc>
        <w:tc>
          <w:tcPr>
            <w:tcW w:type="dxa" w:w="7373"/>
            <w:shd w:fill="F1F5F6"/>
            <w:vAlign w:val="center"/>
            <w:tcMar>
              <w:top w:w="85" w:type="dxa"/>
              <w:left w:w="85" w:type="dxa"/>
              <w:bottom w:w="85" w:type="dxa"/>
              <w:right w:w="85" w:type="dxa"/>
            </w:tcMar>
          </w:tcPr>
          <w:p>
            <w:pPr>
              <w:spacing w:after="60" w:before="40" w:line="247" w:lineRule="auto"/>
            </w:pPr>
            <w:r>
              <w:rPr>
                <w:rFonts w:ascii="Calibri" w:hAnsi="Calibri"/>
                <w:sz w:val="19"/>
              </w:rPr>
              <w:t>Published concepts and groups, labels, units, source-specific content, profile edition identification and discovery binding.</w:t>
            </w:r>
          </w:p>
        </w:tc>
      </w:tr>
      <w:tr>
        <w:trPr>
          <w:cantSplit/>
        </w:trPr>
        <w:tc>
          <w:tcPr>
            <w:tcW w:type="dxa" w:w="2621"/>
            <w:vAlign w:val="center"/>
            <w:tcMar>
              <w:top w:w="85" w:type="dxa"/>
              <w:left w:w="85" w:type="dxa"/>
              <w:bottom w:w="85" w:type="dxa"/>
              <w:right w:w="85" w:type="dxa"/>
            </w:tcMar>
          </w:tcPr>
          <w:p>
            <w:pPr>
              <w:spacing w:after="60" w:before="40" w:line="247" w:lineRule="auto"/>
            </w:pPr>
            <w:r>
              <w:rPr>
                <w:rFonts w:ascii="Calibri" w:hAnsi="Calibri"/>
                <w:sz w:val="19"/>
              </w:rPr>
              <w:t>8. Producer and consumer obligations</w:t>
            </w:r>
          </w:p>
        </w:tc>
        <w:tc>
          <w:tcPr>
            <w:tcW w:type="dxa" w:w="7373"/>
            <w:vAlign w:val="center"/>
            <w:tcMar>
              <w:top w:w="85" w:type="dxa"/>
              <w:left w:w="85" w:type="dxa"/>
              <w:bottom w:w="85" w:type="dxa"/>
              <w:right w:w="85" w:type="dxa"/>
            </w:tcMar>
          </w:tcPr>
          <w:p>
            <w:pPr>
              <w:spacing w:after="60" w:before="40" w:line="247" w:lineRule="auto"/>
            </w:pPr>
            <w:r>
              <w:rPr>
                <w:rFonts w:ascii="Calibri" w:hAnsi="Calibri"/>
                <w:sz w:val="19"/>
              </w:rPr>
              <w:t>Required behavior for claimed scopes; inheritance from base standards; optional capabilities; honest external-model claims.</w:t>
            </w:r>
          </w:p>
        </w:tc>
      </w:tr>
      <w:tr>
        <w:trPr>
          <w:cantSplit/>
        </w:trPr>
        <w:tc>
          <w:tcPr>
            <w:tcW w:type="dxa" w:w="2621"/>
            <w:shd w:fill="F1F5F6"/>
            <w:vAlign w:val="center"/>
            <w:tcMar>
              <w:top w:w="85" w:type="dxa"/>
              <w:left w:w="85" w:type="dxa"/>
              <w:bottom w:w="85" w:type="dxa"/>
              <w:right w:w="85" w:type="dxa"/>
            </w:tcMar>
          </w:tcPr>
          <w:p>
            <w:pPr>
              <w:spacing w:after="60" w:before="40" w:line="247" w:lineRule="auto"/>
            </w:pPr>
            <w:r>
              <w:rPr>
                <w:rFonts w:ascii="Calibri" w:hAnsi="Calibri"/>
                <w:sz w:val="19"/>
              </w:rPr>
              <w:t>9. Compatibility and evolution</w:t>
            </w:r>
          </w:p>
        </w:tc>
        <w:tc>
          <w:tcPr>
            <w:tcW w:type="dxa" w:w="7373"/>
            <w:shd w:fill="F1F5F6"/>
            <w:vAlign w:val="center"/>
            <w:tcMar>
              <w:top w:w="85" w:type="dxa"/>
              <w:left w:w="85" w:type="dxa"/>
              <w:bottom w:w="85" w:type="dxa"/>
              <w:right w:w="85" w:type="dxa"/>
            </w:tcMar>
          </w:tcPr>
          <w:p>
            <w:pPr>
              <w:spacing w:after="60" w:before="40" w:line="247" w:lineRule="auto"/>
            </w:pPr>
            <w:r>
              <w:rPr>
                <w:rFonts w:ascii="Calibri" w:hAnsi="Calibri"/>
                <w:sz w:val="19"/>
              </w:rPr>
              <w:t>Base-client access, version handling, unsupported content, semantic change and shared stewardship.</w:t>
            </w:r>
          </w:p>
        </w:tc>
      </w:tr>
      <w:tr>
        <w:trPr>
          <w:cantSplit/>
        </w:trPr>
        <w:tc>
          <w:tcPr>
            <w:tcW w:type="dxa" w:w="2621"/>
            <w:vAlign w:val="center"/>
            <w:tcMar>
              <w:top w:w="85" w:type="dxa"/>
              <w:left w:w="85" w:type="dxa"/>
              <w:bottom w:w="85" w:type="dxa"/>
              <w:right w:w="85" w:type="dxa"/>
            </w:tcMar>
          </w:tcPr>
          <w:p>
            <w:pPr>
              <w:spacing w:after="60" w:before="40" w:line="247" w:lineRule="auto"/>
            </w:pPr>
            <w:r>
              <w:rPr>
                <w:rFonts w:ascii="Calibri" w:hAnsi="Calibri"/>
                <w:sz w:val="19"/>
              </w:rPr>
              <w:t>10. Security and governance considerations</w:t>
            </w:r>
          </w:p>
        </w:tc>
        <w:tc>
          <w:tcPr>
            <w:tcW w:type="dxa" w:w="7373"/>
            <w:vAlign w:val="center"/>
            <w:tcMar>
              <w:top w:w="85" w:type="dxa"/>
              <w:left w:w="85" w:type="dxa"/>
              <w:bottom w:w="85" w:type="dxa"/>
              <w:right w:w="85" w:type="dxa"/>
            </w:tcMar>
          </w:tcPr>
          <w:p>
            <w:pPr>
              <w:spacing w:after="60" w:before="40" w:line="247" w:lineRule="auto"/>
            </w:pPr>
            <w:r>
              <w:rPr>
                <w:rFonts w:ascii="Calibri" w:hAnsi="Calibri"/>
                <w:sz w:val="19"/>
              </w:rPr>
              <w:t>Applicable protection and authorization boundaries, provenance, licensing, DISR/NATO implications and ownership.</w:t>
            </w:r>
          </w:p>
        </w:tc>
      </w:tr>
      <w:tr>
        <w:trPr>
          <w:cantSplit/>
        </w:trPr>
        <w:tc>
          <w:tcPr>
            <w:tcW w:type="dxa" w:w="2621"/>
            <w:shd w:fill="F1F5F6"/>
            <w:vAlign w:val="center"/>
            <w:tcMar>
              <w:top w:w="85" w:type="dxa"/>
              <w:left w:w="85" w:type="dxa"/>
              <w:bottom w:w="85" w:type="dxa"/>
              <w:right w:w="85" w:type="dxa"/>
            </w:tcMar>
          </w:tcPr>
          <w:p>
            <w:pPr>
              <w:spacing w:after="60" w:before="40" w:line="247" w:lineRule="auto"/>
            </w:pPr>
            <w:r>
              <w:rPr>
                <w:rFonts w:ascii="Calibri" w:hAnsi="Calibri"/>
                <w:sz w:val="19"/>
              </w:rPr>
              <w:t>Supporting annexes</w:t>
            </w:r>
          </w:p>
        </w:tc>
        <w:tc>
          <w:tcPr>
            <w:tcW w:type="dxa" w:w="7373"/>
            <w:shd w:fill="F1F5F6"/>
            <w:vAlign w:val="center"/>
            <w:tcMar>
              <w:top w:w="85" w:type="dxa"/>
              <w:left w:w="85" w:type="dxa"/>
              <w:bottom w:w="85" w:type="dxa"/>
              <w:right w:w="85" w:type="dxa"/>
            </w:tcMar>
          </w:tcPr>
          <w:p>
            <w:pPr>
              <w:spacing w:after="60" w:before="40" w:line="247" w:lineRule="auto"/>
            </w:pPr>
            <w:r>
              <w:rPr>
                <w:rFonts w:ascii="Calibri" w:hAnsi="Calibri"/>
                <w:sz w:val="19"/>
              </w:rPr>
              <w:t>Connected whole-system examples; family notes; detailed source mapping rationale; assessment criteria; informative operator-presentation guidance.</w:t>
            </w:r>
          </w:p>
        </w:tc>
      </w:tr>
    </w:tbl>
    <w:p>
      <w:pPr>
        <w:widowControl/>
        <w:spacing w:after="0"/>
      </w:pPr>
      <w:r/>
    </w:p>
    <w:p>
      <w:pPr>
        <w:pStyle w:val="Heading2"/>
        <w:keepNext/>
        <w:keepLines/>
      </w:pPr>
      <w:r>
        <w:t>Presentation and Power Source placement</w:t>
      </w:r>
    </w:p>
    <w:p>
      <w:pPr>
        <w:widowControl/>
      </w:pPr>
      <w:r>
        <w:t>The operator-oriented guidance should be informative unless a specific interoperability behavior needs a normative consumer requirement. Power Source can be developed as a separately maintained domain component referenced by the main profile, while preserving common identities and deployment relationships. The publication arrangement—one document with modules or a small set of coordinated documents—remains a practical editorial decision, not another runtime architecture choice.</w:t>
      </w:r>
    </w:p>
    <w:p>
      <w:pPr>
        <w:widowControl/>
      </w:pPr>
      <w:r/>
    </w:p>
    <w:p>
      <w:pPr>
        <w:pStyle w:val="Heading1"/>
        <w:keepNext/>
        <w:keepLines/>
        <w:pageBreakBefore/>
      </w:pPr>
      <w:r>
        <w:t>11. Decisions and the next drafting increment</w:t>
      </w:r>
    </w:p>
    <w:p>
      <w:pPr>
        <w:pStyle w:val="Heading2"/>
        <w:keepNext/>
        <w:keepLines/>
      </w:pPr>
      <w:r>
        <w:t>11.1 Working recommendation for review</w:t>
      </w:r>
    </w:p>
    <w:p>
      <w:pPr>
        <w:widowControl/>
      </w:pPr>
      <w:r>
        <w:t>Continue the established whole-system scope through four owner-approved increments to v0.3.5. Native mode/product, identity, mediation, command, power and condition rules remain intact; the current increment clarifies observation subjects, donor-lineage preservation and quantity/nil mapping. The new battery example supplies no facts about the original equipment and no universal lineage or adapter implementation.</w:t>
      </w:r>
    </w:p>
    <w:p>
      <w:pPr>
        <w:pStyle w:val="Heading2"/>
        <w:keepNext/>
        <w:keepLines/>
      </w:pPr>
      <w:r>
        <w:t>11.2 Next increment: bounded remaining semantic decisions</w:t>
      </w:r>
    </w:p>
    <w:p>
      <w:pPr>
        <w:widowControl/>
      </w:pPr>
      <w:r>
        <w:t>The bounded R11/R17 subject, lineage-preservation and quantity-mapping increment is now applied. Next consolidate the completed OMS/SAPIENT/SOSA contributions in the research record, including the resolved S97 access status and documented cross-donor evidence, before selecting any remaining substantive model change. Deduplicate publications before assigning source IDs. Use the existing decision ledger to identify real residual donor-coverage gaps; do not reopen accepted increments or launch another broad survey by default.</w:t>
      </w:r>
    </w:p>
    <w:p>
      <w:pPr>
        <w:pStyle w:val="Heading2"/>
        <w:keepNext/>
        <w:keepLines/>
      </w:pPr>
      <w:r>
        <w:t>11.3 Remaining choices and implementation boundaries</w:t>
      </w:r>
    </w:p>
    <w:p>
      <w:pPr>
        <w:widowControl/>
      </w:pPr>
      <w:r>
        <w:t>Detailed battery/interface content, cross-donor observation-lineage navigation and deployment-qualified prospective capability remain specific residual choices, not promises of universal coverage. Exact IEEE 1451/ISO transducer requirements remain dependent on authorized normative text. R11 preservation guidance does not itself supply a common lineage resolver, and the voltage fixture is not a source adapter. Further substantive changes require one owner decision; wording, continuity and verification within an approved increment require no repeat approval.</w:t>
      </w:r>
    </w:p>
    <w:p>
      <w:pPr>
        <w:pStyle w:val="Heading2"/>
        <w:keepNext/>
        <w:keepLines/>
        <w:pageBreakBefore w:val="0"/>
      </w:pPr>
      <w:r>
        <w:t>11.4 Revision record and companion material</w:t>
      </w:r>
    </w:p>
    <w:p>
      <w:pPr>
        <w:widowControl/>
      </w:pPr>
      <w:r>
        <w:t>v0.3.2, 17 October 2026 (retained as parent): first technical update. Approved R08 retained; R12 CommandStatus/CommandResult interpretation; R16 energy-relationship powers/meters/aggregates; R20 eligible condition Observation versus administrative Event. Its connected example and catalogue remain archived intact. This historical parent is not v0.4 or proof of interoperability.</w:t>
      </w:r>
    </w:p>
    <w:p>
      <w:pPr/>
      <w:r>
        <w:t>v0.3.3, 17 October 2026: second owner-approved bounded increment. R01/R02 receive exact physical identity, native sender, composition and logical-dependency clarifications without new System or equipment classes. R15 retains gateway-access and conditionally adds a profile-authored representation-source CharacteristicList with four typed terms. The connected synthetic station demonstrates a native sender and adapter without treating either as the physical System or implying SAPIENT implementation; definition catalogue, README, manifest, profile, primer and PITON/plan were updated together. The original v0.3.2 parent and v0.3.1 historical baseline remain unchanged.</w:t>
      </w:r>
    </w:p>
    <w:p>
      <w:pPr/>
      <w:r>
        <w:t>v0.3.4, 17 October 2026: third owner-approved bounded increment. R04/R09 use native Mode metadata and Settings with explicit MERLIN scoping/reference rules; R10 separates declared products, exposed streams, observations and live-data availability. The original files 01–23 remain unchanged and supplementary files 28–30 demonstrate two modes, one shared parameter, two outputs and one empty exposed stream. The catalogue, primer, PITON and plan carry the same accepted scope; no IEEE normative details or universal readiness model are added.</w:t>
      </w:r>
    </w:p>
    <w:p>
      <w:pPr>
        <w:pStyle w:val="SourceNote"/>
      </w:pPr>
      <w:r>
        <w:t>Source and provenance: RFC 7326 and MERLIN Power Source assessment v0.1; ISA Phase 2; OMS 3.0 20-082r4 and the bounded foundational-semantics review; prior R08/R12/R16/R20 controlled change review approved by the owner. Source-edition limits and project-authored versus normative meanings remain in force.</w:t>
      </w:r>
    </w:p>
    <w:p>
      <w:pPr>
        <w:keepLines/>
        <w:spacing w:before="120" w:after="180"/>
        <w:ind w:left="173" w:right="173"/>
        <w:widowControl/>
        <w:shd w:fill="EDF4F5"/>
      </w:pPr>
      <w:r>
        <w:t>Next review point: consolidate the completed research/source record and residual donor-coverage dispositions. R11/R17 guidance and its bounded illustration are applied; a universal lineage convention, broader prospective capability and detailed battery/interface specializations are not silently approved.</w:t>
      </w:r>
    </w:p>
    <w:p>
      <w:pPr>
        <w:widowControl/>
      </w:pPr>
      <w:r/>
    </w:p>
    <w:p>
      <w:pPr/>
      <w:r>
        <w:t>v0.3.5, 17 October 2026: fourth owner-approved increment. R11 prioritizes appropriate native sampling subjects, preserves historical context and donor lineage distinctions; R17 adds precise quantity/conversion/nil guidance. Files 31–33 add only auxiliary battery mapping illustrations. All v0.3.4 resource bodies remain unchanged; no common lineage field, new API, source agent or technical v0.4 is implied.</w:t>
      </w:r>
    </w:p>
    <w:p>
      <w:pPr>
        <w:pStyle w:val="Heading2"/>
      </w:pPr>
      <w:r>
        <w:t>17 October 2026 — Controlled technical change ledger</w:t>
      </w:r>
    </w:p>
    <w:p>
      <w:pPr/>
      <w:r>
        <w:t>APPROVED / APPLIED — v0.3.5 R11/R17: native sampling-subject selection and historic-subject preservation; source-specific lineage retention without a universal relation model; qualified quantity, unit and unavailable-value mapping. New battery arithmetic/schema fragments are illustrative only; original resources unchanged.</w:t>
      </w:r>
    </w:p>
    <w:p>
      <w:pPr/>
      <w:r>
        <w:t>APPROVED / APPLIED — R08: no edit. R12: clarify that command-service status and return values do not independently establish physical state. Example command status message adjusted.</w:t>
      </w:r>
    </w:p>
    <w:p>
      <w:pPr/>
      <w:r>
        <w:t>APPROVED / APPLIED — R16: replace the provisional generic supply relation with an RFC 7326-informed directed energy-relationship group (powers, meters, aggregates), authored in SensorML. Example deploys two powers links only; detailed Power Interfaces and battery model remain separate decisions.</w:t>
      </w:r>
    </w:p>
    <w:p>
      <w:pPr/>
      <w:r>
        <w:t>APPROVED / APPLIED — R20: restrict Observation-based condition results to measured or defensibly method-derived characteristics. Administrative post-service review moves from an illustrative observation stream to the existing deployment history Event with power-01 evidence; optional resultSchema remains available for a genuine assessment.</w:t>
      </w:r>
    </w:p>
    <w:p>
      <w:pPr/>
      <w:r>
        <w:t>APPROVED / APPLIED — R01/R02: clarify durable physical identity versus native sender/adapter identifiers, and physical composition versus logical, tasking and software representation. R15: retain physical gateway-access and add optional representation-source provenance on the represented System. No new external runtime, class hierarchy, mandatory ontology, native conformance or live adapter is claimed.</w:t>
      </w:r>
    </w:p>
    <w:p>
      <w:pPr/>
      <w:r>
        <w:t>APPROVED / APPLIED — R04/R09: mode-specific sensing-function and function-binding content stays inside native Modes, with shared process definitions and scoped references. R10: declared products remain discoverable independently of stream exposure and observed/live data. Add a separate synthetic case only; preserve earlier instance, command, power and service facts.</w:t>
      </w:r>
    </w:p>
    <w:p>
      <w:pPr/>
      <w:r>
        <w:t>UNCHANGED / NOT CLAIMED — Parent v0.3.4 and predecessors, all 26 resource bodies (01–23 and 28–30), earlier relationship choices, master research v0.8, the provisional namespace, source-standard status, code, PBIs and deployments. Working v0.3.5 is not a published OGC profile; the new property and nil token are illustrative only.</w:t>
      </w:r>
    </w:p>
    <w:p>
      <w:bookmarkStart w:id="20" w:name="references"/>
      <w:pPr>
        <w:pStyle w:val="Heading1"/>
        <w:keepNext/>
        <w:keepLines/>
        <w:pageBreakBefore/>
      </w:pPr>
      <w:r>
        <w:t>Selected references and research traceability</w:t>
      </w:r>
      <w:bookmarkEnd w:id="20"/>
    </w:p>
    <w:p>
      <w:pPr/>
      <w:r>
        <w:t>Working v0.3.3 adds interpretation evidence from BSI Flex 335 v2.0:2024-03 (source-level node roles), ISA Phase 2 Main-Profile Integration Memo (mediation versus physical composition), and The Open Group SOSA C239 Edition 1.1 (physical versus logical component scopes). All four representation-source terms and their OGC binding are authored MERLIN conventions. The master source register v0.8 remains unchanged pending separately authorized bibliographic reconciliation; no new master S identifiers are assigned.</w:t>
      </w:r>
    </w:p>
    <w:p>
      <w:pPr>
        <w:pStyle w:val="SourceNote"/>
      </w:pPr>
      <w:r>
        <w:t>Evidence for the v0.3.4 increment: SensorML 3.0 §§8.8.1–8.8.2 and Mode.json → DescribedObject.json; AbstractProcess.json modes[] and Settings.json; CSAPI Part 2 §9.2.2. Donor rationale uses the completed SAPIENT v2/ISA/OMS memos without elevating their recommendations into native requirements. See SOURCE_EVIDENCE_v0.3.4_17OCT2026.md in the release for exact locations and claim boundaries.</w:t>
      </w:r>
    </w:p>
    <w:p>
      <w:pPr>
        <w:pStyle w:val="Small"/>
      </w:pPr>
      <w:r>
        <w:t>References follow Chicago eighteenth-edition author–date conventions. S identifiers remain those of the older v0.7 bibliography for this retained original reference list; the current master bibliography/source register is v0.8 (109 sources) and remains separately controlled. This revision draws on the Power Source v0.1 and OMS 3.0 findings as stated in the changed sections without pretending that their external standards published the MERLIN OGC bindings.</w:t>
      </w:r>
    </w:p>
    <w:p>
      <w:pPr>
        <w:pStyle w:val="Reference"/>
        <w:keepLines/>
        <w:widowControl/>
        <w:spacing w:after="80" w:line="240" w:lineRule="auto"/>
      </w:pPr>
      <w:r>
        <w:rPr>
          <w:sz w:val="18"/>
        </w:rPr>
        <w:t>Armistead, Scott. 2018. Unattended Ground Sensor Survey. DSIAC-2018-0890. April. [S46] https://dsiac.dtic.mil/wp-content/uploads/2018/05/2165849_STI_Document.pdf</w:t>
      </w:r>
    </w:p>
    <w:p>
      <w:pPr>
        <w:pStyle w:val="Reference"/>
        <w:keepLines/>
        <w:widowControl/>
        <w:spacing w:after="80" w:line="240" w:lineRule="auto"/>
      </w:pPr>
      <w:r>
        <w:rPr>
          <w:sz w:val="18"/>
        </w:rPr>
        <w:t>Bjorklund, Martin. 2018. A YANG Data Model for Interface Management. RFC 8343. March. [D02: supplemental design source; §§2–4 and selected module definitions inspected October 13, 2026.] https://www.rfc-editor.org/rfc/rfc8343.html</w:t>
      </w:r>
    </w:p>
    <w:p>
      <w:pPr>
        <w:pStyle w:val="Reference"/>
        <w:keepLines/>
        <w:widowControl/>
        <w:spacing w:after="80" w:line="240" w:lineRule="auto"/>
      </w:pPr>
      <w:r>
        <w:rPr>
          <w:sz w:val="18"/>
        </w:rPr>
        <w:t>Bormann, Carsten, Mehmet Ersue, and Ari Keränen. 2014. Terminology for Constrained-Node Networks. RFC 7228. Informational. [S50] https://www.rfc-editor.org/rfc/rfc7228.html</w:t>
      </w:r>
    </w:p>
    <w:p>
      <w:pPr>
        <w:pStyle w:val="Reference"/>
        <w:keepLines/>
        <w:widowControl/>
        <w:spacing w:after="80" w:line="240" w:lineRule="auto"/>
      </w:pPr>
      <w:r>
        <w:rPr>
          <w:sz w:val="18"/>
        </w:rPr>
        <w:t>Clemm, Alexander, Jan Medved, Robert Varga, Nitin Bahadur, Hariharan Ananthakrishnan, and Xufeng Liu. 2018. A YANG Data Model for Network Topologies. RFC 8345. March. [D03: supplemental design source; §§4.1–4.4, especially §4.4.2, inspected October 13, 2026.] https://www.rfc-editor.org/rfc/rfc8345.html</w:t>
      </w:r>
    </w:p>
    <w:p>
      <w:pPr>
        <w:pStyle w:val="Reference"/>
        <w:keepLines/>
        <w:widowControl/>
        <w:spacing w:after="80" w:line="240" w:lineRule="auto"/>
      </w:pPr>
      <w:r>
        <w:rPr>
          <w:sz w:val="18"/>
        </w:rPr>
        <w:t>Domain Information Models and CSAPI Integration: Engineering Lineage, System-Family Applicability, and Narrative Annotated Bibliography. 2026. Version 0.7. Prepared for Sam Bolling, October 12. Project research document. File: MERLIN_Domain_Information_Models_Annotated_Bibliography_v0.7_12OCT2026.docx.</w:t>
      </w:r>
    </w:p>
    <w:p>
      <w:pPr>
        <w:pStyle w:val="Reference"/>
        <w:keepLines/>
        <w:widowControl/>
        <w:spacing w:after="80" w:line="240" w:lineRule="auto"/>
      </w:pPr>
      <w:r>
        <w:rPr>
          <w:sz w:val="18"/>
        </w:rPr>
        <w:t>Gerz, Michael, and Nico Bau. 2016. MIP Information Model 4.0—Semantic Interoperability in Multinational Missions. Paper presented at the 21st International Command and Control Research and Technology Symposium, London, September 6–8. [S19] https://dodccrp-testorg.squarespace.com/s/paper_51.pdf</w:t>
      </w:r>
    </w:p>
    <w:p>
      <w:pPr>
        <w:pStyle w:val="Reference"/>
        <w:keepLines/>
        <w:widowControl/>
        <w:spacing w:after="80" w:line="240" w:lineRule="auto"/>
      </w:pPr>
      <w:r>
        <w:rPr>
          <w:sz w:val="18"/>
        </w:rPr>
        <w:t>Industrial Digital Twin Association. 2024. Hierarchical Structures Enabling Bills of Material. IDTA 02011, version 1.1. June. [S37] https://industrialdigitaltwin.org/en/wp-content/uploads/sites/2/2024/06/IDTA-02011-1-1_Submodel_HierarchicalStructuresEnablingBoM.pdf</w:t>
      </w:r>
    </w:p>
    <w:p>
      <w:pPr>
        <w:pStyle w:val="Reference"/>
        <w:keepLines/>
        <w:widowControl/>
        <w:spacing w:after="80" w:line="240" w:lineRule="auto"/>
      </w:pPr>
      <w:r>
        <w:rPr>
          <w:sz w:val="18"/>
        </w:rPr>
        <w:t>Industrial Digital Twin Association. 2025a. Generic Frame for Technical Data for Industrial Equipment in Manufacturing. IDTA 02003, version 2.0. March. [S36] https://industrialdigitaltwin.org/en/wp-content/uploads/sites/2/2025/03/IDTA-02003_Generic-Frame-for-Technical-Data.pdf</w:t>
      </w:r>
    </w:p>
    <w:p>
      <w:pPr>
        <w:pStyle w:val="Reference"/>
        <w:keepLines/>
        <w:widowControl/>
        <w:spacing w:after="80" w:line="240" w:lineRule="auto"/>
      </w:pPr>
      <w:r>
        <w:rPr>
          <w:sz w:val="18"/>
        </w:rPr>
        <w:t>Industrial Digital Twin Association. 2025b. Hierarchical Structures Enabling Bills of Material—Extension Based on IEC 81346. IDTA 02011-1, version 1.0. August. [S38] https://industrialdigitaltwin.org/en/wp-content/uploads/sites/2/2025/08/IDTA-02011-1-Hierarchical-Structures-enabling-Bills-of-Material_Extension-based-on-IEC-81346.pdf</w:t>
      </w:r>
    </w:p>
    <w:p>
      <w:pPr>
        <w:pStyle w:val="Reference"/>
        <w:keepLines/>
        <w:widowControl/>
        <w:spacing w:after="80" w:line="240" w:lineRule="auto"/>
      </w:pPr>
      <w:r>
        <w:rPr>
          <w:sz w:val="18"/>
        </w:rPr>
        <w:t>Industrial Digital Twin Association. 2026a. Capability Description. IDTA 02020, version 1.0. April 15. [S39] https://industrialdigitaltwin.org/en/wp-content/uploads/sites/2/2026/04/IDTA-02020_Submodel_Capability_Description.pdf</w:t>
      </w:r>
    </w:p>
    <w:p>
      <w:pPr>
        <w:pStyle w:val="Reference"/>
        <w:keepLines/>
        <w:widowControl/>
        <w:spacing w:after="80" w:line="240" w:lineRule="auto"/>
      </w:pPr>
      <w:r>
        <w:rPr>
          <w:sz w:val="18"/>
        </w:rPr>
        <w:t>Industrial Digital Twin Association. 2026b. Specification of the Asset Administration Shell—Part 1: Metamodel. Version 3.2. IDTA 01001-3-2. [S07] https://industrialdigitaltwin.io/aas-specifications/IDTA-01001/v3.2/index.html</w:t>
      </w:r>
    </w:p>
    <w:p>
      <w:pPr>
        <w:pStyle w:val="Reference"/>
        <w:keepLines/>
        <w:widowControl/>
        <w:spacing w:after="80" w:line="240" w:lineRule="auto"/>
      </w:pPr>
      <w:r>
        <w:rPr>
          <w:sz w:val="18"/>
        </w:rPr>
        <w:t>Internet Engineering Task Force. 2014. Energy Management Framework. RFC 7326. By John Parello, Benoît Claise, Brad Schoening, and Jürgen Quittek. Informational. [S10] https://www.rfc-editor.org/rfc/rfc7326.html</w:t>
      </w:r>
    </w:p>
    <w:p>
      <w:pPr>
        <w:pStyle w:val="Reference"/>
        <w:keepLines/>
        <w:widowControl/>
        <w:spacing w:after="80" w:line="240" w:lineRule="auto"/>
      </w:pPr>
      <w:r>
        <w:rPr>
          <w:sz w:val="18"/>
        </w:rPr>
        <w:t>Internet Engineering Task Force. 2015. Definition of Managed Objects for Battery Monitoring. RFC 7577. [S09] https://www.rfc-editor.org/rfc/rfc7577.html</w:t>
      </w:r>
    </w:p>
    <w:p>
      <w:pPr>
        <w:pStyle w:val="Reference"/>
        <w:keepLines/>
        <w:widowControl/>
        <w:spacing w:after="80" w:line="240" w:lineRule="auto"/>
      </w:pPr>
      <w:r>
        <w:rPr>
          <w:sz w:val="18"/>
        </w:rPr>
        <w:t>Internet Engineering Task Force. 2018. A YANG Data Model for Hardware Management. RFC 8348. By Andy Bierman, Martin Björklund, Jie Dong, and Dan Romascanu. [S08] https://www.rfc-editor.org/rfc/rfc8348.html</w:t>
      </w:r>
    </w:p>
    <w:p>
      <w:pPr>
        <w:pStyle w:val="Reference"/>
        <w:keepLines/>
        <w:widowControl/>
        <w:spacing w:after="80" w:line="240" w:lineRule="auto"/>
      </w:pPr>
      <w:r>
        <w:rPr>
          <w:sz w:val="18"/>
        </w:rPr>
        <w:t>ISO/IEC. 2013. Information Technology—Sensor Networks: Sensor Network Reference Architecture (SNRA)—Part 4: Entity Models. ISO/IEC 29182-4:2013, edition 1. The inherited evidence is the catalogue and preview through printed page 6, not the complete standard. [S52] https://www.iso.org/standard/57094.html</w:t>
      </w:r>
    </w:p>
    <w:p>
      <w:pPr>
        <w:pStyle w:val="Reference"/>
        <w:keepLines/>
        <w:widowControl/>
        <w:spacing w:after="80" w:line="240" w:lineRule="auto"/>
      </w:pPr>
      <w:r>
        <w:rPr>
          <w:sz w:val="18"/>
        </w:rPr>
        <w:t>Kokkinaki, Alexandra, Simon Jirka, Robert Huber, Matthes Rieke, and Christian Autermann. n.d. Marine Profiles of the OGC Sensor Web Enablement Standards. Community proposal. SensorML chapter, repository blob 6eb1b4299057e1ded5ad71d60f43bee84173a81e. Inspected October 12, 2026 in the source study. [S21] https://odip.github.io/MarineProfilesForSWE/02_SensorML.html</w:t>
      </w:r>
    </w:p>
    <w:p>
      <w:pPr>
        <w:pStyle w:val="Reference"/>
        <w:keepLines/>
        <w:widowControl/>
        <w:spacing w:after="80" w:line="240" w:lineRule="auto"/>
      </w:pPr>
      <w:r>
        <w:rPr>
          <w:sz w:val="18"/>
        </w:rPr>
        <w:t>McCloghrie, Keith, and Frank Kastenholz. 2000. The Interfaces Group MIB. RFC 2863. June. [D01: supplemental design source; §§3, 6 inspected October 13, 2026; exact DISR record checked in the supplied baseline.] https://www.rfc-editor.org/rfc/rfc2863.html</w:t>
      </w:r>
    </w:p>
    <w:p>
      <w:pPr>
        <w:pStyle w:val="Reference"/>
        <w:keepLines/>
        <w:widowControl/>
        <w:spacing w:after="80" w:line="240" w:lineRule="auto"/>
      </w:pPr>
      <w:r>
        <w:rPr>
          <w:sz w:val="18"/>
        </w:rPr>
        <w:t>McQ Inc. n.d. OmniSense System User’s Manual: Central Computer/Server and User Interface. Chapter 6, pp. 6-1–6-7, reproduced in SADU Details View Research.pptx, slides 1–7. Inspected excerpts carry a 2008 copyright; exact edition not established. [S41]</w:t>
      </w:r>
    </w:p>
    <w:p>
      <w:pPr>
        <w:pStyle w:val="Reference"/>
        <w:keepLines/>
        <w:widowControl/>
        <w:spacing w:after="80" w:line="240" w:lineRule="auto"/>
      </w:pPr>
      <w:r>
        <w:rPr>
          <w:sz w:val="18"/>
        </w:rPr>
        <w:t>MERLIN Power Source Presentation PITON. 2026. Prepared for Sam Bolling, October 10. Project handoff. Library locator: libfile_2effe490421c8191be311d6da2c45b4a.</w:t>
      </w:r>
    </w:p>
    <w:p>
      <w:pPr>
        <w:pStyle w:val="Small"/>
      </w:pPr>
      <w:r>
        <w:t>MERLIN custom-content clarification. 2026. “Custom Content in the Developing Profile: Meaning, Origin, and Recommendations.” Assistant explanation to Sam Bolling and subsequent documentation request, October 14. Project conversation; captured in §5.14. This records the rationale, provisional status and recommended review, not independent validation of source standards.</w:t>
      </w:r>
    </w:p>
    <w:p>
      <w:pPr>
        <w:pStyle w:val="Reference"/>
        <w:keepLines/>
        <w:widowControl/>
        <w:spacing w:after="80" w:line="240" w:lineRule="auto"/>
      </w:pPr>
      <w:r>
        <w:rPr>
          <w:sz w:val="18"/>
        </w:rPr>
        <w:t>MIMOSA. 2018. CCOM UML Class Model. Version 4.1.0, marked Proposed, distributed in the 4.1.0-RC1 package. Generated June 27. Selected diagrams inspected in the source study. [S35] https://www.mimosa.org/wp-content/uploads/specifications/2019/12/ccom-4-1-0-rc1/CCOM-UML-Class-Model-4.1.0-RC1.pdf</w:t>
      </w:r>
    </w:p>
    <w:p>
      <w:pPr>
        <w:pStyle w:val="Reference"/>
        <w:keepLines/>
        <w:widowControl/>
        <w:spacing w:after="80" w:line="240" w:lineRule="auto"/>
      </w:pPr>
      <w:r>
        <w:rPr>
          <w:sz w:val="18"/>
        </w:rPr>
        <w:t>MIMOSA. n.d.-c. MIMOSA OSA-CBM. Official overview. Inspected October 12, 2026 in the source study. Complete 3.3.1 archive not recovered there. [S17] https://www.mimosa.org/mimosa-osa-cbm/</w:t>
      </w:r>
    </w:p>
    <w:p>
      <w:pPr>
        <w:pStyle w:val="Reference"/>
        <w:keepLines/>
        <w:widowControl/>
        <w:spacing w:after="80" w:line="240" w:lineRule="auto"/>
      </w:pPr>
      <w:r>
        <w:rPr>
          <w:sz w:val="18"/>
        </w:rPr>
        <w:t>MIMOSA. n.d.-d. MIMOSA OSA-EAI. Official overview. Inspected October 12, 2026 in the source study. Complete 3.2.3a archive not recovered there. [S16] https://www.mimosa.org/mimosa-osa-eai/</w:t>
      </w:r>
    </w:p>
    <w:p>
      <w:pPr>
        <w:pStyle w:val="Reference"/>
        <w:keepLines/>
        <w:widowControl/>
        <w:spacing w:after="80" w:line="240" w:lineRule="auto"/>
      </w:pPr>
      <w:r>
        <w:rPr>
          <w:sz w:val="18"/>
        </w:rPr>
        <w:t>MIMOSA. n.d.-e. OIIE Scenario 11—Publish Asset Removal/Installation Events from MMS to O&amp;M. Official scenario. Inspected October 12, 2026 in the source study. [S18] https://www.mimosa.org/open-industrial-interoperability-ecosystem-oiie/oiie-use-cases/oiie-scenario-11-publish-asset-removalinstallation-events-from-mms-to-om/</w:t>
      </w:r>
    </w:p>
    <w:p>
      <w:pPr>
        <w:pStyle w:val="Reference"/>
        <w:keepLines/>
        <w:widowControl/>
        <w:spacing w:after="80" w:line="240" w:lineRule="auto"/>
      </w:pPr>
      <w:r>
        <w:rPr>
          <w:sz w:val="18"/>
        </w:rPr>
        <w:t>NATO Standardization Office. 2026. STANAG 4789 JCGISR (Edition 1) (Ratification Draft 1)—Sensor Integration Standard for NATO JISR Operations—AEP-4789, Edition A. NSO(NAFAG)0932(2026)JCGISR/4789, August 28. Supplied official ratification package; inherited inspection covers the letter and covering agreement. [S32]</w:t>
      </w:r>
    </w:p>
    <w:p>
      <w:pPr>
        <w:pStyle w:val="Reference"/>
        <w:keepLines/>
        <w:widowControl/>
        <w:spacing w:after="80" w:line="240" w:lineRule="auto"/>
      </w:pPr>
      <w:r>
        <w:rPr>
          <w:sz w:val="18"/>
        </w:rPr>
        <w:t>OPC Foundation and FieldComm Group. 2025. OPC UA for Process Automation Devices—PA-DIM. Version 1.02.0. OPC 30081. [S06] https://reference.opcfoundation.org/specs/OPC-30081</w:t>
      </w:r>
    </w:p>
    <w:p>
      <w:pPr>
        <w:pStyle w:val="Reference"/>
        <w:keepLines/>
        <w:widowControl/>
        <w:spacing w:after="80" w:line="240" w:lineRule="auto"/>
      </w:pPr>
      <w:r>
        <w:rPr>
          <w:sz w:val="18"/>
        </w:rPr>
        <w:t>OPC Foundation. 2025. OPC Unified Architecture—Part 100: Devices. Version 1.05.0. OPC 10000-100. Selected composition and profile material inspected in the source study. [S05] https://reference.opcfoundation.org/specs/OPC-10000-100/v1.05.0</w:t>
      </w:r>
    </w:p>
    <w:p>
      <w:pPr>
        <w:pStyle w:val="Reference"/>
        <w:keepLines/>
        <w:widowControl/>
        <w:spacing w:after="80" w:line="240" w:lineRule="auto"/>
      </w:pPr>
      <w:r>
        <w:rPr>
          <w:sz w:val="18"/>
        </w:rPr>
        <w:t>Open Geospatial Consortium. 2009a. OWS-6 SensorML Profile for Discovery Engineering Report. Version 0.3.0. OGC 09-033. Edited by Simon Jirka and Arne Bröring. July 29. Historical Engineering Report, not an adopted OGC Standard. [S33] https://docs.ogc.org/per/09-033/09-033.pdf</w:t>
      </w:r>
    </w:p>
    <w:p>
      <w:pPr>
        <w:pStyle w:val="Reference"/>
        <w:keepLines/>
        <w:widowControl/>
        <w:spacing w:after="80" w:line="240" w:lineRule="auto"/>
      </w:pPr>
      <w:r>
        <w:rPr>
          <w:sz w:val="18"/>
        </w:rPr>
        <w:t>Open Geospatial Consortium. 2009b. The Specification Model—A Standard for Modular Specifications. Version 1.0.0. OGC 08-131r3. [S28] https://docs.ogc.org/pol/08-131r3/08-131r3.pdf</w:t>
      </w:r>
    </w:p>
    <w:p>
      <w:pPr>
        <w:pStyle w:val="Reference"/>
        <w:keepLines/>
        <w:widowControl/>
        <w:spacing w:after="80" w:line="240" w:lineRule="auto"/>
      </w:pPr>
      <w:r>
        <w:rPr>
          <w:sz w:val="18"/>
        </w:rPr>
        <w:t>Open Geospatial Consortium. 2010. Catalogue Services Specification 2.0 Extension Package for ebRIM Application Profile: SensorML. Version 0.3.0. OGC 09-163r2. Edited by Frédéric Houbie, Fabian Skivée, and Simon Jirka. April 2. Historical Discussion Paper. [S34] https://docs.ogc.org/dp/09-163r2/09-163r2.pdf</w:t>
      </w:r>
    </w:p>
    <w:p>
      <w:pPr>
        <w:pStyle w:val="Reference"/>
        <w:keepLines/>
        <w:widowControl/>
        <w:spacing w:after="80" w:line="240" w:lineRule="auto"/>
      </w:pPr>
      <w:r>
        <w:rPr>
          <w:sz w:val="18"/>
        </w:rPr>
        <w:t>Open Geospatial Consortium. 2025a. OGC API—Connected Systems—Part 1: Feature Resources. Version 1.0. OGC 23-001. [S03] https://docs.ogc.org/is/23-001/23-001.html</w:t>
      </w:r>
    </w:p>
    <w:p>
      <w:pPr>
        <w:pStyle w:val="Reference"/>
        <w:keepLines/>
        <w:widowControl/>
        <w:spacing w:after="80" w:line="240" w:lineRule="auto"/>
      </w:pPr>
      <w:r>
        <w:rPr>
          <w:sz w:val="18"/>
        </w:rPr>
        <w:t>Open Geospatial Consortium. 2025b. OGC API—Connected Systems—Part 2: Dynamic Data. Version 1.0. OGC 23-002. [S04] https://docs.ogc.org/is/23-002/23-002.html</w:t>
      </w:r>
    </w:p>
    <w:p>
      <w:pPr>
        <w:pStyle w:val="Reference"/>
        <w:keepLines/>
        <w:widowControl/>
        <w:spacing w:after="80" w:line="240" w:lineRule="auto"/>
      </w:pPr>
      <w:r>
        <w:rPr>
          <w:sz w:val="18"/>
        </w:rPr>
        <w:t>Open Geospatial Consortium. 2025c. OGC SensorML Encoding Standard. Version 3.0. OGC 23-000. [S01] https://docs.ogc.org/is/23-000/23-000.html</w:t>
      </w:r>
    </w:p>
    <w:p>
      <w:pPr>
        <w:pStyle w:val="Reference"/>
        <w:keepLines/>
        <w:widowControl/>
        <w:spacing w:after="80" w:line="240" w:lineRule="auto"/>
      </w:pPr>
      <w:r>
        <w:rPr>
          <w:sz w:val="18"/>
        </w:rPr>
        <w:t>Open Geospatial Consortium. 2025d. OGC SWE Common Data Model Encoding Standard. Version 3.0. OGC 24-014. [S02] https://docs.ogc.org/is/24-014/24-014.html</w:t>
      </w:r>
    </w:p>
    <w:p>
      <w:pPr>
        <w:pStyle w:val="Reference"/>
        <w:keepLines/>
        <w:widowControl/>
        <w:spacing w:after="80" w:line="240" w:lineRule="auto"/>
      </w:pPr>
      <w:r>
        <w:rPr>
          <w:sz w:val="18"/>
        </w:rPr>
        <w:t>Open Geospatial Consortium. n.d.-a. SensorML 3.0 JSON Schema Collection. Accessed October 13, 2026. [D04: supporting encoding definitions for S01; AbstractProcess.json, AbstractPhysicalProcess.json, AggregateProcess.json, PhysicalSystem.json, Deployment.json, DeployedSystem.json, DescribedObject.json, Event.json, Settings.json, ResponsibleParty.json and commonDefs.json inspected.] https://schemas.opengis.net/sensorML/3.0/json/</w:t>
      </w:r>
    </w:p>
    <w:p>
      <w:pPr>
        <w:pStyle w:val="Reference"/>
        <w:keepLines/>
        <w:spacing w:after="80" w:line="240" w:lineRule="auto"/>
      </w:pPr>
      <w:r>
        <w:rPr>
          <w:sz w:val="18"/>
        </w:rPr>
        <w:t>Open Geospatial Consortium. n.d.-b. SWE Common 3.0 JSON Schema Collection. Accessed October 13, 2026. Supporting schemas for S02: basicTypes.json, AbstractSweIdentifiable.json, AbstractDataComponent.json, Text.json, Category.json, Quantity.json, Time.json, DataRecord.json and DataArray.json. https://schemas.opengis.net/sweCommon/3.0/json/</w:t>
      </w:r>
    </w:p>
    <w:p>
      <w:pPr>
        <w:pStyle w:val="Reference"/>
        <w:keepLines/>
        <w:widowControl/>
        <w:spacing w:after="80" w:line="240" w:lineRule="auto"/>
      </w:pPr>
      <w:r>
        <w:rPr>
          <w:sz w:val="18"/>
        </w:rPr>
        <w:t>OSUS-R Contributors. n.d. OSUS-R Asset Interface and Capability Model. Commit d09088fbe56d4b64f0544d72e98c3cb70fa941f6. Selected README, Asset.java and AssetCapabilities.xsd material inspected October 12, 2026 in the source study. [S47] https://github.com/ssg-udri/OSUS-R/tree/d09088fbe56d4b64f0544d72e98c3cb70fa941f6</w:t>
      </w:r>
    </w:p>
    <w:p>
      <w:pPr>
        <w:pStyle w:val="Reference"/>
        <w:keepLines/>
        <w:widowControl/>
        <w:spacing w:after="80" w:line="240" w:lineRule="auto"/>
      </w:pPr>
      <w:r>
        <w:rPr>
          <w:sz w:val="18"/>
        </w:rPr>
        <w:t>PITON: Domain Information Models and CSAPI Integration—From Incomplete UGS Examples to a Defensible System-Family Profile. 2026. Version 2.0. Prepared for Sam Bolling, October 12. File: PITON_MERLIN_Domain_Models_Engineering_Lineage_and_Profile_Scope_v2.0_12OCT2026.docx.</w:t>
      </w:r>
    </w:p>
    <w:p>
      <w:pPr>
        <w:pStyle w:val="Small"/>
      </w:pPr>
      <w:r>
        <w:t>Power Source Restart PITON. 2026. Power Source Restart and Main-Profile Coordination. Version 2.0. Prepared for Sam Bolling, October 14. Project handoff. File: PITON_MERLIN_Power_Source_Restart_and_Profile_Coordination_v2.0_14OCT2026.docx. Referenced for workstream coordination; not amended here.</w:t>
      </w:r>
    </w:p>
    <w:p>
      <w:pPr>
        <w:pStyle w:val="Reference"/>
        <w:keepLines/>
        <w:widowControl/>
        <w:spacing w:after="80" w:line="240" w:lineRule="auto"/>
      </w:pPr>
      <w:r>
        <w:rPr>
          <w:sz w:val="18"/>
        </w:rPr>
        <w:t>Power-Source Standards and Binding Decision Sheet. 2026. Working proposal, version 0.1. October 10. File: MERLIN_Power_Source_Standards_and_Binding_Decision_Sheet_v0.1_10OCT2026.docx. Library locator: libfile_aa0b64e219048191a2a8835819ebdb94.</w:t>
      </w:r>
    </w:p>
    <w:p>
      <w:pPr>
        <w:pStyle w:val="Reference"/>
        <w:keepLines/>
        <w:spacing w:after="80" w:line="240" w:lineRule="auto"/>
      </w:pPr>
      <w:r>
        <w:rPr>
          <w:sz w:val="18"/>
        </w:rPr>
        <w:t>Reviewed Engineering Model and Provenance. 2026. Version 0.2-R1. Prepared for Sam Bolling, October 13. Seven-page diagram review and source key accompanying the separate profile proposal. File: MERLIN_Reviewed_Engineering_Model_and_Provenance_v0.2-R1_13OCT2026.pdf.</w:t>
      </w:r>
    </w:p>
    <w:p>
      <w:pPr>
        <w:pStyle w:val="Reference"/>
        <w:keepLines/>
        <w:widowControl/>
        <w:spacing w:after="80" w:line="240" w:lineRule="auto"/>
      </w:pPr>
      <w:r>
        <w:rPr>
          <w:sz w:val="18"/>
        </w:rPr>
        <w:t>Sentinel 1.0.7.2 Software Users Manual. n.d. N65236-TRSS-SUM-0005-2.00. Selected General/Advanced tab material, reader pages 175–177, reproduced in TRSS Details View Research.pptx, slides 10–12. [S40]</w:t>
      </w:r>
    </w:p>
    <w:p>
      <w:pPr>
        <w:pStyle w:val="Reference"/>
        <w:keepLines/>
        <w:widowControl/>
        <w:spacing w:after="80" w:line="240" w:lineRule="auto"/>
      </w:pPr>
      <w:r>
        <w:rPr>
          <w:sz w:val="18"/>
        </w:rPr>
        <w:t>Song, Eugene Y., and Kang B. Lee. 2009. Service-Oriented Sensor Data Interoperability for IEEE 1451 Smart Transducers. In Proceedings of I2MTC 2009, 1043–48. Singapore, May 5–7. [S48] https://tsapps.nist.gov/publication/get_pdf.cfm?pub_id=902312</w:t>
      </w:r>
    </w:p>
    <w:p>
      <w:pPr>
        <w:pStyle w:val="Reference"/>
        <w:keepLines/>
        <w:widowControl/>
        <w:spacing w:after="80" w:line="240" w:lineRule="auto"/>
      </w:pPr>
      <w:r>
        <w:rPr>
          <w:sz w:val="18"/>
        </w:rPr>
        <w:t>StandardsReport_20261010T134742.352 GMT.xlsx(1).csv. 2026. DISR baseline export supplied by Sam Bolling, October 10. Complete authoritative current baseline for this investigation. Exact-edition findings are retained in the v0.7 register. [S25]</w:t>
      </w:r>
    </w:p>
    <w:p>
      <w:pPr>
        <w:pStyle w:val="Reference"/>
        <w:keepLines/>
        <w:spacing w:after="80" w:line="240" w:lineRule="auto"/>
      </w:pPr>
      <w:r>
        <w:rPr>
          <w:sz w:val="18"/>
        </w:rPr>
        <w:t>Wilde, Erik. 2013. The “profile” Link Relation Type. RFC 6906. March. Informational, Independent Submission. [D05: profile-declaration mechanism; §§3–5 inspected October 13, 2026. Absent from the supplied complete DISR baseline.] https://www.rfc-editor.org/rfc/rfc6906.html</w:t>
      </w:r>
    </w:p>
    <w:p>
      <w:pPr>
        <w:pStyle w:val="Reference"/>
        <w:keepLines/>
        <w:widowControl/>
        <w:spacing w:after="80" w:line="240" w:lineRule="auto"/>
      </w:pPr>
      <w:r>
        <w:rPr>
          <w:sz w:val="18"/>
        </w:rPr>
        <w:t>World Wide Web Consortium. 2019. The Profiles Vocabulary. Working Group Note, December 18. [S22] https://www.w3.org/TR/2019/NOTE-dx-prof-20191218/</w:t>
      </w:r>
    </w:p>
    <w:p>
      <w:pPr>
        <w:pStyle w:val="Reference"/>
      </w:pPr>
      <w:r>
        <w:t>BSI. 2024. BSI Flex 335 v2.0:2024-03. Supplied complete publisher text; §5.5, §6.4.2.1–2 and §6.4.2.19 inspected in the completed SAPIENT study and the R11 review. Original source and study unchanged; no new master source number.</w:t>
      </w:r>
    </w:p>
    <w:p>
      <w:pPr>
        <w:pStyle w:val="Reference"/>
      </w:pPr>
      <w:r>
        <w:t>U.S. Army. 2023. ISA Data Model Topics. Release 6.0, revision 2, October 31. Supplied public-release text, §§2.2–2.5: updates, recall, resolution and tracks. Used for distinct source meanings, not native ISA adoption.</w:t>
      </w:r>
    </w:p>
    <w:p>
      <w:pPr>
        <w:pStyle w:val="Reference"/>
      </w:pPr>
      <w:r>
        <w:t>Power Source Recommendation. 2026. MERLIN Power Source Domain Model and Main-Profile Binding Recommendation. Version 0.1, October 14, §§9.1–9.5. Original research recommendation preserved; its battery-qualified example is not applied indiscriminately to external supplies.</w:t>
      </w:r>
    </w:p>
    <w:p>
      <w:pPr>
        <w:pStyle w:val="Reference"/>
      </w:pPr>
      <w:r>
        <w:t>Quittek, Juergen, Rolf Winter, and Thomas Dietz. 2015. Definition of Managed Objects for Battery Monitoring. RFC 7577, §5, batteryActualVoltage. https://www.rfc-editor.org/rfc/rfc7577.html. Selected field semantics and nil code checked 17 October 2026; not native MIB conformance.</w:t>
      </w:r>
    </w:p>
    <w:p>
      <w:pPr>
        <w:pStyle w:val="Reference"/>
      </w:pPr>
      <w:r>
        <w:t>QUDT.org. 2026. Voltage. Quantity-kind vocabulary page, http://qudt.org/vocab/quantitykind/Voltage; inspected at https://qudt.org/vocab/quantitykind/Voltage on 17 October. Used as the base quantity kind of an illustrative locally qualified property, not a battery-specific QUDT definition.</w:t>
      </w:r>
    </w:p>
    <w:sectPr w:rsidR="00FC693F" w:rsidRPr="0006063C" w:rsidSect="00034616">
      <w:headerReference w:type="default" r:id="rId9"/>
      <w:footerReference w:type="default" r:id="rId10"/>
      <w:headerReference w:type="first" r:id="rId44"/>
      <w:footerReference w:type="first" r:id="rId45"/>
      <w:headerReference w:type="even" r:id="rId46"/>
      <w:footerReference w:type="even" r:id="rId47"/>
      <w:pgSz w:w="12240" w:h="15840"/>
      <w:pgMar w:top="1037" w:right="1123"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tabs>
        <w:tab w:pos="9965" w:val="right"/>
      </w:tabs>
    </w:pPr>
    <w:r>
      <w:t>Working draft v0.3.5  •  17 October 2026</w:t>
      <w:tab/>
    </w:r>
    <w:r>
      <w:t xml:space="preserve">Page </w:t>
    </w:r>
    <w:fldSimple w:instr="PAGE">
      <w:r>
        <w:t>1</w:t>
      </w:r>
    </w:fldSimple>
    <w:r>
      <w:t xml:space="preserve"> of </w:t>
    </w:r>
    <w:fldSimple w:instr="NUMPAGES">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Bdr>
        <w:bottom w:val="single" w:sz="5" w:color="CEDCE0" w:space="5"/>
      </w:pBdr>
    </w:pPr>
    <w:r>
      <w:rPr>
        <w:sz w:val="16"/>
      </w:rPr>
      <w:t>MERLIN  |  MANAGED PHYSICAL SENSING SYSTEMS  |  PROFILE PROPOSAL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Calibri" w:hAnsi="Calibri"/>
      <w:b/>
      <w:bCs/>
      <w:color w:val="143E50"/>
      <w:sz w:val="34"/>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225E70"/>
      <w:sz w:val="25"/>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Calibri" w:hAnsi="Calibri"/>
      <w:b/>
      <w:bCs/>
      <w:color w:val="225E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43E5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20" w:after="120"/>
    </w:pPr>
    <w:rPr>
      <w:rFonts w:asciiTheme="majorHAnsi" w:eastAsiaTheme="majorEastAsia" w:hAnsiTheme="majorHAnsi" w:cstheme="majorBidi" w:ascii="Calibri" w:hAnsi="Calibri"/>
      <w:b w:val="0"/>
      <w:i/>
      <w:iCs/>
      <w:color w:val="396373"/>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40" w:line="259"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52656E"/>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widowControl/>
      <w:spacing w:after="120" w:line="250" w:lineRule="auto"/>
    </w:pPr>
    <w:rPr>
      <w:rFonts w:ascii="Calibri" w:hAnsi="Calibri"/>
      <w:color w:val="5A6871"/>
      <w:sz w:val="18"/>
    </w:rPr>
  </w:style>
  <w:style w:type="paragraph" w:customStyle="1" w:styleId="Reference">
    <w:name w:val="Reference"/>
    <w:pPr>
      <w:widowControl/>
      <w:spacing w:after="60" w:line="250" w:lineRule="auto"/>
      <w:ind w:left="317" w:hanging="317"/>
    </w:pPr>
    <w:rPr>
      <w:rFonts w:ascii="Calibri" w:hAnsi="Calibri"/>
      <w:color w:val="25353E"/>
      <w:sz w:val="18"/>
    </w:rPr>
  </w:style>
  <w:style w:type="paragraph" w:customStyle="1" w:styleId="SourceNote">
    <w:name w:val="Source Note"/>
    <w:pPr>
      <w:widowControl/>
      <w:spacing w:after="120" w:line="250" w:lineRule="auto"/>
    </w:pPr>
    <w:rPr>
      <w:rFonts w:ascii="Calibri" w:hAnsi="Calibri"/>
      <w:color w:val="52656E"/>
      <w:sz w:val="18"/>
    </w:rPr>
  </w:style>
  <w:style w:type="paragraph" w:customStyle="1" w:styleId="Eyebrow">
    <w:name w:val="Eyebrow"/>
    <w:pPr>
      <w:widowControl/>
      <w:spacing w:after="120" w:line="250" w:lineRule="auto"/>
    </w:pPr>
    <w:rPr>
      <w:rFonts w:ascii="Calibri" w:hAnsi="Calibri"/>
      <w:b/>
      <w:color w:val="397184"/>
      <w:sz w:val="20"/>
    </w:rPr>
  </w:style>
  <w:style w:type="paragraph" w:customStyle="1" w:styleId="Code">
    <w:name w:val="Code"/>
    <w:pPr>
      <w:spacing w:after="20" w:before="0" w:line="240" w:lineRule="auto"/>
      <w:ind w:left="173" w:right="115"/>
    </w:pPr>
    <w:rPr>
      <w:rFonts w:ascii="Liberation Mono" w:hAnsi="Liberation Mono"/>
      <w:sz w:val="17"/>
    </w:rPr>
  </w:style>
  <w:style w:type="paragraph" w:customStyle="1" w:styleId="BindingLocator">
    <w:name w:val="Binding Locator"/>
    <w:pPr>
      <w:spacing w:after="160"/>
    </w:pPr>
    <w:rPr>
      <w:rFonts w:ascii="Calibri" w:hAnsi="Calibri"/>
      <w:color w:val="38556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siac.dtic.mil/wp-content/uploads/2018/05/2165849_STI_Document.pdf" TargetMode="External"/><Relationship Id="rId12" Type="http://schemas.openxmlformats.org/officeDocument/2006/relationships/hyperlink" Target="https://www.rfc-editor.org/rfc/rfc7228.html" TargetMode="External"/><Relationship Id="rId13" Type="http://schemas.openxmlformats.org/officeDocument/2006/relationships/hyperlink" Target="https://dodccrp-testorg.squarespace.com/s/paper_51.pdf" TargetMode="External"/><Relationship Id="rId14" Type="http://schemas.openxmlformats.org/officeDocument/2006/relationships/hyperlink" Target="https://industrialdigitaltwin.org/en/wp-content/uploads/sites/2/2024/06/IDTA-02011-1-1_Submodel_HierarchicalStructuresEnablingBoM.pdf" TargetMode="External"/><Relationship Id="rId15" Type="http://schemas.openxmlformats.org/officeDocument/2006/relationships/hyperlink" Target="https://industrialdigitaltwin.org/en/wp-content/uploads/sites/2/2025/03/IDTA-02003_Generic-Frame-for-Technical-Data.pdf" TargetMode="External"/><Relationship Id="rId16" Type="http://schemas.openxmlformats.org/officeDocument/2006/relationships/hyperlink" Target="https://industrialdigitaltwin.org/en/wp-content/uploads/sites/2/2025/08/IDTA-02011-1-Hierarchical-Structures-enabling-Bills-of-Material_Extension-based-on-IEC-81346.pdf" TargetMode="External"/><Relationship Id="rId17" Type="http://schemas.openxmlformats.org/officeDocument/2006/relationships/hyperlink" Target="https://industrialdigitaltwin.org/en/wp-content/uploads/sites/2/2026/04/IDTA-02020_Submodel_Capability_Description.pdf" TargetMode="External"/><Relationship Id="rId18" Type="http://schemas.openxmlformats.org/officeDocument/2006/relationships/hyperlink" Target="https://industrialdigitaltwin.io/aas-specifications/IDTA-01001/v3.2/index.html" TargetMode="External"/><Relationship Id="rId19" Type="http://schemas.openxmlformats.org/officeDocument/2006/relationships/hyperlink" Target="https://www.rfc-editor.org/rfc/rfc7326.html" TargetMode="External"/><Relationship Id="rId20" Type="http://schemas.openxmlformats.org/officeDocument/2006/relationships/hyperlink" Target="https://www.rfc-editor.org/rfc/rfc7577.html" TargetMode="External"/><Relationship Id="rId21" Type="http://schemas.openxmlformats.org/officeDocument/2006/relationships/hyperlink" Target="https://www.rfc-editor.org/rfc/rfc8348.html" TargetMode="External"/><Relationship Id="rId22" Type="http://schemas.openxmlformats.org/officeDocument/2006/relationships/hyperlink" Target="https://www.iso.org/standard/57094.html" TargetMode="External"/><Relationship Id="rId23" Type="http://schemas.openxmlformats.org/officeDocument/2006/relationships/hyperlink" Target="https://odip.github.io/MarineProfilesForSWE/02_SensorML.html" TargetMode="External"/><Relationship Id="rId24" Type="http://schemas.openxmlformats.org/officeDocument/2006/relationships/hyperlink" Target="https://www.mimosa.org/wp-content/uploads/specifications/2019/12/ccom-4-1-0-rc1/CCOM-UML-Class-Model-4.1.0-RC1.pdf" TargetMode="External"/><Relationship Id="rId25" Type="http://schemas.openxmlformats.org/officeDocument/2006/relationships/hyperlink" Target="https://www.mimosa.org/mimosa-osa-cbm/" TargetMode="External"/><Relationship Id="rId26" Type="http://schemas.openxmlformats.org/officeDocument/2006/relationships/hyperlink" Target="https://www.mimosa.org/mimosa-osa-eai/" TargetMode="External"/><Relationship Id="rId27" Type="http://schemas.openxmlformats.org/officeDocument/2006/relationships/hyperlink" Target="https://www.mimosa.org/open-industrial-interoperability-ecosystem-oiie/oiie-use-cases/oiie-scenario-11-publish-asset-removalinstallation-events-from-mms-to-om/" TargetMode="External"/><Relationship Id="rId28" Type="http://schemas.openxmlformats.org/officeDocument/2006/relationships/hyperlink" Target="https://docs.ogc.org/per/09-033/09-033.pdf" TargetMode="External"/><Relationship Id="rId29" Type="http://schemas.openxmlformats.org/officeDocument/2006/relationships/hyperlink" Target="https://docs.ogc.org/pol/08-131r3/08-131r3.pdf" TargetMode="External"/><Relationship Id="rId30" Type="http://schemas.openxmlformats.org/officeDocument/2006/relationships/hyperlink" Target="https://docs.ogc.org/dp/09-163r2/09-163r2.pdf" TargetMode="External"/><Relationship Id="rId31" Type="http://schemas.openxmlformats.org/officeDocument/2006/relationships/hyperlink" Target="https://docs.ogc.org/is/23-001/23-001.html" TargetMode="External"/><Relationship Id="rId32" Type="http://schemas.openxmlformats.org/officeDocument/2006/relationships/hyperlink" Target="https://docs.ogc.org/is/23-002/23-002.html" TargetMode="External"/><Relationship Id="rId33" Type="http://schemas.openxmlformats.org/officeDocument/2006/relationships/hyperlink" Target="https://docs.ogc.org/is/23-000/23-000.html" TargetMode="External"/><Relationship Id="rId34" Type="http://schemas.openxmlformats.org/officeDocument/2006/relationships/hyperlink" Target="https://docs.ogc.org/is/24-014/24-014.html" TargetMode="External"/><Relationship Id="rId35" Type="http://schemas.openxmlformats.org/officeDocument/2006/relationships/hyperlink" Target="https://reference.opcfoundation.org/specs/OPC-10000-100/v1.05.0" TargetMode="External"/><Relationship Id="rId36" Type="http://schemas.openxmlformats.org/officeDocument/2006/relationships/hyperlink" Target="https://reference.opcfoundation.org/specs/OPC-30081" TargetMode="External"/><Relationship Id="rId37" Type="http://schemas.openxmlformats.org/officeDocument/2006/relationships/hyperlink" Target="https://github.com/ssg-udri/OSUS-R/tree/d09088fbe56d4b64f0544d72e98c3cb70fa941f6" TargetMode="External"/><Relationship Id="rId38" Type="http://schemas.openxmlformats.org/officeDocument/2006/relationships/hyperlink" Target="https://tsapps.nist.gov/publication/get_pdf.cfm?pub_id=902312" TargetMode="External"/><Relationship Id="rId39" Type="http://schemas.openxmlformats.org/officeDocument/2006/relationships/hyperlink" Target="https://www.w3.org/TR/2019/NOTE-dx-prof-20191218/" TargetMode="External"/><Relationship Id="rId40" Type="http://schemas.openxmlformats.org/officeDocument/2006/relationships/hyperlink" Target="https://www.rfc-editor.org/rfc/rfc8343.html" TargetMode="External"/><Relationship Id="rId41" Type="http://schemas.openxmlformats.org/officeDocument/2006/relationships/hyperlink" Target="https://www.rfc-editor.org/rfc/rfc8345.html" TargetMode="External"/><Relationship Id="rId42" Type="http://schemas.openxmlformats.org/officeDocument/2006/relationships/hyperlink" Target="https://www.rfc-editor.org/rfc/rfc2863.html" TargetMode="External"/><Relationship Id="rId43" Type="http://schemas.openxmlformats.org/officeDocument/2006/relationships/hyperlink" Target="https://schemas.opengis.net/sensorML/3.0/json/" TargetMode="External"/><Relationship Id="rId44" Type="http://schemas.openxmlformats.org/officeDocument/2006/relationships/header" Target="header2.xml"/><Relationship Id="rId45" Type="http://schemas.openxmlformats.org/officeDocument/2006/relationships/footer" Target="footer2.xml"/><Relationship Id="rId46" Type="http://schemas.openxmlformats.org/officeDocument/2006/relationships/header" Target="header3.xml"/><Relationship Id="rId4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MERLIN MPSS Integrated Binding Draft v0.3.4</dc:title>
  <dc:subject>Owner-approved R04/R09/R10 mode scoping and supported-product/data-availability increment, 17 October 2026</dc:subject>
  <dc:creator>Prepared for Sam Bolling</dc:creator>
  <cp:keywords>MERLIN, CSAPI, SensorML, application profile, domain information models, power source</cp:keywords>
  <dc:description>Owner-approved R11/R17 increment; internal checks are not full standards conformance.</dc:description>
  <cp:lastModifiedBy/>
  <cp:revision>1</cp:revision>
  <dcterms:created xsi:type="dcterms:W3CDTF">2026-10-13T00:00:00Z</dcterms:created>
  <dcterms:modified xsi:type="dcterms:W3CDTF">2026-10-14T12:00:00Z</dcterms:modified>
  <cp:category/>
  <cp:version>0.3.5</cp:version>
</cp:coreProperties>
</file>