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PITON | Managed Sensing-System Integration</w:t>
      </w:r>
    </w:p>
    <w:p>
      <w:pPr>
        <w:pStyle w:val="Subtitle"/>
      </w:pPr>
      <w:r>
        <w:t>Current state after OSCAR mapping and bounded donor research</w:t>
      </w:r>
    </w:p>
    <w:p>
      <w:r>
        <w:t>Prepared for Sam Bolling • Continuity v4.6 • 22 October 2026</w:t>
      </w:r>
    </w:p>
    <w:p>
      <w:pPr>
        <w:pStyle w:val="Heading1"/>
      </w:pPr>
      <w:r>
        <w:t>1. Governing objective</w:t>
      </w:r>
    </w:p>
    <w:p>
      <w:r>
        <w:t>Develop a coherent, standards-grounded agreement for the whole employed physical sensing system, using eight connected information subjects and existing OGC mechanisms. U-INT-01 tests faithful mapping of available donor information without inventing missing facts or promising universal lossless conversion. Generic and profile-aware consumers use the same standards-based information; a profile-specific server is not required merely to store and serve standard content.</w:t>
      </w:r>
    </w:p>
    <w:p>
      <w:pPr>
        <w:pStyle w:val="Heading1"/>
      </w:pPr>
      <w:r>
        <w:t>2. Current authoritative artifact set</w:t>
      </w:r>
    </w:p>
    <w:p>
      <w:r>
        <w:t>Technical profile/example/catalogue remain v0.3.5, and primer v0.5 is unchanged. Research bibliography/register are now v0.10 with 140 source identities and 29 worksheets. This PITON 4.6 and plan 1.6 supersede prior next-action sequencing; they do not replace normative source standards or silently authorize new technical bindings.</w:t>
      </w:r>
    </w:p>
    <w:p>
      <w:pPr>
        <w:pStyle w:val="Heading1"/>
      </w:pPr>
      <w:r>
        <w:t>3. Retained approved technical increments</w:t>
      </w:r>
    </w:p>
    <w:p>
      <w:r>
        <w:t>Preserve the four approved increments through v0.3.5: command-effect/power/condition clarification; identity/composition/provenance; mode-aware capability/output interpretation; and R11 subject/history/lineage plus R17 quantity/nil handling. No Operational Episode, mandatory provenance service, case framework, radiation code space or new endpoint is adopted by this research package. A finite next binding update is permitted to improve or replace existing choices when evidence supports it; unchanged bytes here are a stable comparison baseline, not a general freeze rule.</w:t>
      </w:r>
    </w:p>
    <w:p>
      <w:pPr>
        <w:pStyle w:val="Heading1"/>
      </w:pPr>
      <w:r>
        <w:t>4. Completed work since the prior checkpoint</w:t>
      </w:r>
    </w:p>
    <w:p>
      <w:r>
        <w:t>The prior version-pinned SAPIENT walkthrough is already completed and preserved; do not repeat it as an unstarted task. October 19 read-only and write/read server work identified specific behavior on the then-tested builds, and CS-GO#17/OSH#363 were filed. The current OSCAR study completes 27 source-mapping rows, 8 residual records, 10 dispositions and 6 explicit donor-lineage entries, with 18 offline checks; it does not claim a live OSCAR adapter or profile-aware client result.</w:t>
      </w:r>
    </w:p>
    <w:p>
      <w:pPr>
        <w:pStyle w:val="Heading1"/>
      </w:pPr>
      <w:r>
        <w:t>5. OSCAR evidence and corrections</w:t>
      </w:r>
    </w:p>
    <w:p>
      <w:r>
        <w:t>Use the three pinned OSCAR commits in SOURCE_PINS.json, not an assumed moving latest revision. The supplied Codex reports evaluated v0.3.2 and are historical inputs; the present comparison uses v0.3.5. They identify useful needs but their Operational Episode recommendation and statements that MERLIN is inherently more correct are not accepted as demonstrated findings.</w:t>
      </w:r>
    </w:p>
    <w:p>
      <w:pPr>
        <w:pStyle w:val="Heading1"/>
      </w:pPr>
      <w:r>
        <w:t>6. What the mapping established</w:t>
      </w:r>
    </w:p>
    <w:p>
      <w:r>
        <w:t>Equipment/function/product/action organization is reusable, but the current function-kind catalogue is illustrative and does not already define radiation functions. Source fields include a daily occupancy counter, ambiguous reception/sampling timestamp, alarm flags, incompletely qualified maxima and different references to commands, observations and media. Missing source facts, vocabulary, binding and software implementation are distinct residual categories; do not rename all of them model gaps.</w:t>
      </w:r>
    </w:p>
    <w:p>
      <w:pPr>
        <w:pStyle w:val="Heading1"/>
      </w:pPr>
      <w:r>
        <w:t>7. Selected donor direction and gates</w:t>
      </w:r>
    </w:p>
    <w:p>
      <w:r>
        <w:t>Historical N42 examples provide explicit groups and derivation references; preserve their 2011 scope and keep them separate from the synthetic OSCAR case. PROV-DM/PROV-O is the leading candidate for source-supported lineage; SSN 21 October draft supplies explicit PROV/OMS alignment and is S132, separate from S99. DCAT/Processes/CMMN remain conditional; 2020 N42 artifact/native validation is gated, while S97 approved OMS access remains closed and prior IEEE/DISR/SAPIENT gates retain their actual standing.</w:t>
      </w:r>
    </w:p>
    <w:p>
      <w:pPr>
        <w:pStyle w:val="Heading1"/>
      </w:pPr>
      <w:r>
        <w:t>8. Operating boundaries</w:t>
      </w:r>
    </w:p>
    <w:p>
      <w:r>
        <w:t>The user’s existing deployments are the test environment; do not impose isolated replacements or rebuild infrastructure by default. No server, repository, API resource, PBI or registered standard was changed by this package. Further operational writes require authorization for those operations, but there is no redundant second wording-approval gate for already approved bounded work.</w:t>
      </w:r>
    </w:p>
    <w:p>
      <w:pPr>
        <w:pStyle w:val="Heading1"/>
      </w:pPr>
      <w:r>
        <w:t>9. Next finite design increment</w:t>
      </w:r>
    </w:p>
    <w:p>
      <w:r>
        <w:t>Define the smallest radiation function/property vocabulary extension and exact publication of the selected association, media-access and provenance links. Prefer native OGC mechanisms; justify each remaining authored binding and keep source-specific meaning visible. Produce valid read/write fixtures and compare a competent generic client with a profile-aware client on the existing environment only when execution is authorized; do not make a complete ontology or OSCAR recreation a prerequisite.</w:t>
      </w:r>
    </w:p>
    <w:p>
      <w:pPr>
        <w:pStyle w:val="Heading1"/>
      </w:pPr>
      <w:r>
        <w:t>10. Recovery route</w:t>
      </w:r>
    </w:p>
    <w:p>
      <w:r>
        <w:t>Read START_HERE, the worked-mapping report, OSCAR Summary/Mapping/Residuals/Dispositions and the new source annotations. Then read the current main profile for the particular R01–R20 relations being implemented. Parent research v0.9 and technical v0.3.5 packages are preserved unchanged; never require Sam to reconstruct the earlier chat or reassign existing source IDs.</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 xml:space="preserve">Continuity v4.6 •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7080"/>
        <w:sz w:val="16"/>
      </w:rPr>
      <w:t>MERLIN / MPSS • OSCAR MAPPING &amp; RESIDUAL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84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738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7384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5070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PITON | Managed Sensing-System Integration</dc:title>
  <dc:subject>Current state after OSCAR mapping and bounded donor research</dc:subject>
  <dc:creator>MERLIN research support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