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SEPARATE DESIGN DOCUMENT / FOR MODEL AND COORDINATION REVIEW</w:t>
      </w:r>
    </w:p>
    <w:p>
      <w:pPr>
        <w:pStyle w:val="Title"/>
      </w:pPr>
      <w:r>
        <w:t>MERLIN Power Source</w:t>
        <w:br/>
        <w:t>Domain Model and</w:t>
        <w:br/>
        <w:t>Main-Profile Binding</w:t>
        <w:br/>
        <w:t>Recommendation</w:t>
      </w:r>
    </w:p>
    <w:p>
      <w:pPr>
        <w:pStyle w:val="Subtitle"/>
      </w:pPr>
      <w:r>
        <w:t>Version 0.1 • 14 October 2026</w:t>
        <w:br/>
        <w:t>Prepared for Sam Bolling</w:t>
      </w:r>
    </w:p>
    <w:p>
      <w:pPr>
        <w:spacing w:before="100" w:after="180"/>
        <w:shd w:fill="EAF1F4"/>
      </w:pPr>
      <w:r>
        <w:rPr>
          <w:b/>
          <w:color w:val="153B4C"/>
        </w:rPr>
        <w:t>Recommend the RFC 7326 Energy Management Framework as the organizing model, with a coordinated battery specialization and an explicitly authored OGC operating-arrangement binding.</w:t>
      </w:r>
    </w:p>
    <w:p>
      <w:r>
        <w:t>The proposed power domain describes the whole working arrangement: sources and stores, consuming equipment, conversion and distribution, interfaces, measurement coverage, operating information and service through time. It remains part of the managed physical sensing system and deployment, while being reusable for other electrical equipment. A battery percentage is one possible result within that model—not its organizing principle.</w:t>
      </w:r>
    </w:p>
    <w:p>
      <w:r>
        <w:t>This recommendation carries out Section 11 of the Power Source Restart PITON v2.0. Main Profile v0.3 supplies the coordination baseline, but its power-association group, illustrative quantities and common-reference choices remain revisable. The earlier Power Decision Sheet v0.1 and subsequent three-case visual reviews remain historical proposals; they do not constrain the domain to their initial subset (Power Restart PITON 2026, §§1, 4, 11; Main Profile 2026, §§4.7, 5.10).</w:t>
      </w:r>
    </w:p>
    <w:p>
      <w:pPr>
        <w:pStyle w:val="Heading2"/>
      </w:pPr>
      <w:r>
        <w:t>Decision requested</w:t>
      </w:r>
    </w:p>
    <w:p>
      <w:r>
        <w:t>Approve the organizing model and the proposed coordination direction as a basis for detailed profile drafting. In particular, review the replacement of the generic power association, the common embedded-reference rule, and the preferred treatment of service events. Approval would not establish a production namespace, certify interoperability, authorize equipment control or modify the main profile automatically.</w:t>
      </w:r>
    </w:p>
    <w:p>
      <w:pPr>
        <w:pStyle w:val="Small"/>
      </w:pPr>
      <w:r>
        <w:t>Standing. This is a source-backed design recommendation, not an OGC publication, native EMAN/MIB implementation, accepted PBI or live sensor demonstration. The original main-profile document, connected example archive, bibliography, register and earlier power sheet are unchanged. The proposed bindings and fictional extensions are identified as authored work throughout.</w:t>
      </w:r>
    </w:p>
    <w:p>
      <w:pPr>
        <w:pStyle w:val="Heading1"/>
        <w:pageBreakBefore/>
      </w:pPr>
      <w:r>
        <w:t>1. Executive recommendation and reading route</w:t>
      </w:r>
    </w:p>
    <w:p>
      <w:pPr>
        <w:pStyle w:val="Heading2"/>
      </w:pPr>
      <w:r>
        <w:t>1.1 Select a coherent model, not a second protocol stack</w:t>
      </w:r>
    </w:p>
    <w:p>
      <w:r>
        <w:t>Use RFC 7326 for the power domain’s central entities and relationship meanings. Use RFC 7577 as the principal battery-specific donor, and RFCs 7460 and 7461 as the documented companion realizations that clarify measurement and relationship semantics. Retain qualified runtime, charging, condition, compatibility and service as substantive coverage, with specific additional definitions only where the framework and battery model leave a real gap (Parello et al. 2014, §§6–7; Quittek, Winter, and Dietz 2015, §§1–4).</w:t>
      </w:r>
    </w:p>
    <w:p>
      <w:r>
        <w:t>The implementation target is an OGC realization of selected information-model content, supplemented by documented semantic translations. It is not a requirement to add SNMP, YANG, Redfish, Matter or LwM2M to every MERLIN integration. Native adapters remain possible when a provider already exposes one of those interfaces, but each adapter must preserve the selected domain meaning rather than make the client depend on a manufacturer name.</w:t>
      </w:r>
    </w:p>
    <w:p>
      <w:pPr>
        <w:pStyle w:val="Heading2"/>
      </w:pPr>
      <w:r>
        <w:t>1.2 The principal changes to the main draft</w:t>
      </w:r>
    </w:p>
    <w:p>
      <w:r>
        <w:t>Replace the provisional source/consumer/relationship-kind group with a typed energy-relationship binding that distinguishes supply, metering and aggregation. Keep internal power structure separate from inter-device supply relationships, and retain equipment-level fallback when interfaces cannot be described. Align embedded references around owner#id while retaining a persistent Energy Object identifier; prefer native SystemEvent access for an operational service-history capability, with embedded history as a supported descriptive alternative.</w:t>
      </w:r>
    </w:p>
    <w:tbl>
      <w:tblPr>
        <w:tblW w:type="auto" w:w="0"/>
        <w:jc w:val="center"/>
        <w:tblLayout w:type="fixed"/>
        <w:tblLook w:firstColumn="1" w:firstRow="1" w:lastColumn="0" w:lastRow="0" w:noHBand="0" w:noVBand="1" w:val="04A0"/>
      </w:tblPr>
      <w:tblGrid>
        <w:gridCol w:w="2880"/>
        <w:gridCol w:w="1080"/>
        <w:gridCol w:w="6192"/>
      </w:tblGrid>
      <w:tr>
        <w:trPr>
          <w:tblHeader/>
          <w:cantSplit/>
        </w:trPr>
        <w:tc>
          <w:tcPr>
            <w:tcW w:type="dxa" w:w="2880"/>
            <w:shd w:fill="DDE9EE"/>
            <w:tcMar>
              <w:top w:w="65" w:type="dxa"/>
              <w:bottom w:w="60" w:type="dxa"/>
              <w:left w:w="85" w:type="dxa"/>
              <w:right w:w="85" w:type="dxa"/>
            </w:tcMar>
          </w:tcPr>
          <w:p>
            <w:pPr>
              <w:pStyle w:val="TableText"/>
              <w:keepNext/>
            </w:pPr>
            <w:r>
              <w:rPr>
                <w:b/>
                <w:color w:val="153B4C"/>
              </w:rPr>
              <w:t>Read for</w:t>
            </w:r>
          </w:p>
        </w:tc>
        <w:tc>
          <w:tcPr>
            <w:tcW w:type="dxa" w:w="1080"/>
            <w:shd w:fill="DDE9EE"/>
            <w:tcMar>
              <w:top w:w="65" w:type="dxa"/>
              <w:bottom w:w="60" w:type="dxa"/>
              <w:left w:w="85" w:type="dxa"/>
              <w:right w:w="85" w:type="dxa"/>
            </w:tcMar>
          </w:tcPr>
          <w:p>
            <w:pPr>
              <w:pStyle w:val="TableText"/>
              <w:keepNext/>
            </w:pPr>
            <w:r>
              <w:rPr>
                <w:b/>
                <w:color w:val="153B4C"/>
              </w:rPr>
              <w:t>Sections</w:t>
            </w:r>
          </w:p>
        </w:tc>
        <w:tc>
          <w:tcPr>
            <w:tcW w:type="dxa" w:w="6192"/>
            <w:shd w:fill="DDE9EE"/>
            <w:tcMar>
              <w:top w:w="65" w:type="dxa"/>
              <w:bottom w:w="60" w:type="dxa"/>
              <w:left w:w="85" w:type="dxa"/>
              <w:right w:w="85" w:type="dxa"/>
            </w:tcMar>
          </w:tcPr>
          <w:p>
            <w:pPr>
              <w:pStyle w:val="TableText"/>
              <w:keepNext/>
            </w:pPr>
            <w:r>
              <w:rPr>
                <w:b/>
                <w:color w:val="153B4C"/>
              </w:rPr>
              <w:t>Result</w:t>
            </w:r>
          </w:p>
        </w:tc>
      </w:tr>
      <w:tr>
        <w:trPr>
          <w:cantSplit/>
        </w:trPr>
        <w:tc>
          <w:tcPr>
            <w:tcW w:type="dxa" w:w="2880"/>
            <w:vAlign w:val="top"/>
            <w:shd w:fill="F3F6F7"/>
            <w:tcMar>
              <w:top w:w="65" w:type="dxa"/>
              <w:bottom w:w="60" w:type="dxa"/>
              <w:left w:w="85" w:type="dxa"/>
              <w:right w:w="85" w:type="dxa"/>
            </w:tcMar>
          </w:tcPr>
          <w:p>
            <w:pPr>
              <w:pStyle w:val="TableText"/>
              <w:spacing w:after="100"/>
            </w:pPr>
            <w:r>
              <w:t>Model choice and useful scope</w:t>
            </w:r>
          </w:p>
        </w:tc>
        <w:tc>
          <w:tcPr>
            <w:tcW w:type="dxa" w:w="1080"/>
            <w:vAlign w:val="top"/>
            <w:shd w:fill="F3F6F7"/>
            <w:tcMar>
              <w:top w:w="65" w:type="dxa"/>
              <w:bottom w:w="60" w:type="dxa"/>
              <w:left w:w="85" w:type="dxa"/>
              <w:right w:w="85" w:type="dxa"/>
            </w:tcMar>
          </w:tcPr>
          <w:p>
            <w:pPr>
              <w:pStyle w:val="TableText"/>
              <w:spacing w:after="100"/>
            </w:pPr>
            <w:r>
              <w:t>2–4</w:t>
            </w:r>
          </w:p>
        </w:tc>
        <w:tc>
          <w:tcPr>
            <w:tcW w:type="dxa" w:w="6192"/>
            <w:vAlign w:val="top"/>
            <w:shd w:fill="F3F6F7"/>
            <w:tcMar>
              <w:top w:w="65" w:type="dxa"/>
              <w:bottom w:w="60" w:type="dxa"/>
              <w:left w:w="85" w:type="dxa"/>
              <w:right w:w="85" w:type="dxa"/>
            </w:tcMar>
          </w:tcPr>
          <w:p>
            <w:pPr>
              <w:pStyle w:val="TableText"/>
              <w:spacing w:after="100"/>
            </w:pPr>
            <w:r>
              <w:t>Applicability, alternatives and the selected composition.</w:t>
            </w:r>
          </w:p>
        </w:tc>
      </w:tr>
      <w:tr>
        <w:trPr>
          <w:cantSplit/>
        </w:trPr>
        <w:tc>
          <w:tcPr>
            <w:tcW w:type="dxa" w:w="2880"/>
            <w:vAlign w:val="top"/>
            <w:tcMar>
              <w:top w:w="65" w:type="dxa"/>
              <w:bottom w:w="60" w:type="dxa"/>
              <w:left w:w="85" w:type="dxa"/>
              <w:right w:w="85" w:type="dxa"/>
            </w:tcMar>
          </w:tcPr>
          <w:p>
            <w:pPr>
              <w:pStyle w:val="TableText"/>
              <w:spacing w:after="100"/>
            </w:pPr>
            <w:r>
              <w:t>Power-domain meaning</w:t>
            </w:r>
          </w:p>
        </w:tc>
        <w:tc>
          <w:tcPr>
            <w:tcW w:type="dxa" w:w="1080"/>
            <w:vAlign w:val="top"/>
            <w:tcMar>
              <w:top w:w="65" w:type="dxa"/>
              <w:bottom w:w="60" w:type="dxa"/>
              <w:left w:w="85" w:type="dxa"/>
              <w:right w:w="85" w:type="dxa"/>
            </w:tcMar>
          </w:tcPr>
          <w:p>
            <w:pPr>
              <w:pStyle w:val="TableText"/>
              <w:spacing w:after="100"/>
            </w:pPr>
            <w:r>
              <w:t>5–7</w:t>
            </w:r>
          </w:p>
        </w:tc>
        <w:tc>
          <w:tcPr>
            <w:tcW w:type="dxa" w:w="6192"/>
            <w:vAlign w:val="top"/>
            <w:tcMar>
              <w:top w:w="65" w:type="dxa"/>
              <w:bottom w:w="60" w:type="dxa"/>
              <w:left w:w="85" w:type="dxa"/>
              <w:right w:w="85" w:type="dxa"/>
            </w:tcMar>
          </w:tcPr>
          <w:p>
            <w:pPr>
              <w:pStyle w:val="TableText"/>
              <w:spacing w:after="100"/>
            </w:pPr>
            <w:r>
              <w:t>Objects, relationships, quantities, estimates, compatibility and service.</w:t>
            </w:r>
          </w:p>
        </w:tc>
      </w:tr>
      <w:tr>
        <w:trPr>
          <w:cantSplit/>
        </w:trPr>
        <w:tc>
          <w:tcPr>
            <w:tcW w:type="dxa" w:w="2880"/>
            <w:vAlign w:val="top"/>
            <w:shd w:fill="F3F6F7"/>
            <w:tcMar>
              <w:top w:w="65" w:type="dxa"/>
              <w:bottom w:w="60" w:type="dxa"/>
              <w:left w:w="85" w:type="dxa"/>
              <w:right w:w="85" w:type="dxa"/>
            </w:tcMar>
          </w:tcPr>
          <w:p>
            <w:pPr>
              <w:pStyle w:val="TableText"/>
              <w:spacing w:after="100"/>
            </w:pPr>
            <w:r>
              <w:t>Concrete OGC treatment</w:t>
            </w:r>
          </w:p>
        </w:tc>
        <w:tc>
          <w:tcPr>
            <w:tcW w:type="dxa" w:w="1080"/>
            <w:vAlign w:val="top"/>
            <w:shd w:fill="F3F6F7"/>
            <w:tcMar>
              <w:top w:w="65" w:type="dxa"/>
              <w:bottom w:w="60" w:type="dxa"/>
              <w:left w:w="85" w:type="dxa"/>
              <w:right w:w="85" w:type="dxa"/>
            </w:tcMar>
          </w:tcPr>
          <w:p>
            <w:pPr>
              <w:pStyle w:val="TableText"/>
              <w:spacing w:after="100"/>
            </w:pPr>
            <w:r>
              <w:t>8–10</w:t>
            </w:r>
          </w:p>
        </w:tc>
        <w:tc>
          <w:tcPr>
            <w:tcW w:type="dxa" w:w="6192"/>
            <w:vAlign w:val="top"/>
            <w:shd w:fill="F3F6F7"/>
            <w:tcMar>
              <w:top w:w="65" w:type="dxa"/>
              <w:bottom w:w="60" w:type="dxa"/>
              <w:left w:w="85" w:type="dxa"/>
              <w:right w:w="85" w:type="dxa"/>
            </w:tcMar>
          </w:tcPr>
          <w:p>
            <w:pPr>
              <w:pStyle w:val="TableText"/>
              <w:spacing w:after="100"/>
            </w:pPr>
            <w:r>
              <w:t>Groups, references, observations, controls and event access.</w:t>
            </w:r>
          </w:p>
        </w:tc>
      </w:tr>
      <w:tr>
        <w:trPr>
          <w:cantSplit/>
        </w:trPr>
        <w:tc>
          <w:tcPr>
            <w:tcW w:type="dxa" w:w="2880"/>
            <w:vAlign w:val="top"/>
            <w:tcMar>
              <w:top w:w="65" w:type="dxa"/>
              <w:bottom w:w="60" w:type="dxa"/>
              <w:left w:w="85" w:type="dxa"/>
              <w:right w:w="85" w:type="dxa"/>
            </w:tcMar>
          </w:tcPr>
          <w:p>
            <w:pPr>
              <w:pStyle w:val="TableText"/>
              <w:spacing w:after="100"/>
            </w:pPr>
            <w:r>
              <w:t>One connected operating example</w:t>
            </w:r>
          </w:p>
        </w:tc>
        <w:tc>
          <w:tcPr>
            <w:tcW w:type="dxa" w:w="1080"/>
            <w:vAlign w:val="top"/>
            <w:tcMar>
              <w:top w:w="65" w:type="dxa"/>
              <w:bottom w:w="60" w:type="dxa"/>
              <w:left w:w="85" w:type="dxa"/>
              <w:right w:w="85" w:type="dxa"/>
            </w:tcMar>
          </w:tcPr>
          <w:p>
            <w:pPr>
              <w:pStyle w:val="TableText"/>
              <w:spacing w:after="100"/>
            </w:pPr>
            <w:r>
              <w:t>11</w:t>
            </w:r>
          </w:p>
        </w:tc>
        <w:tc>
          <w:tcPr>
            <w:tcW w:type="dxa" w:w="6192"/>
            <w:vAlign w:val="top"/>
            <w:tcMar>
              <w:top w:w="65" w:type="dxa"/>
              <w:bottom w:w="60" w:type="dxa"/>
              <w:left w:w="85" w:type="dxa"/>
              <w:right w:w="85" w:type="dxa"/>
            </w:tcMar>
          </w:tcPr>
          <w:p>
            <w:pPr>
              <w:pStyle w:val="TableText"/>
              <w:spacing w:after="100"/>
            </w:pPr>
            <w:r>
              <w:t>Shared supply, measurement and a source replacement.</w:t>
            </w:r>
          </w:p>
        </w:tc>
      </w:tr>
      <w:tr>
        <w:trPr>
          <w:cantSplit/>
        </w:trPr>
        <w:tc>
          <w:tcPr>
            <w:tcW w:type="dxa" w:w="2880"/>
            <w:vAlign w:val="top"/>
            <w:shd w:fill="F3F6F7"/>
            <w:tcMar>
              <w:top w:w="65" w:type="dxa"/>
              <w:bottom w:w="60" w:type="dxa"/>
              <w:left w:w="85" w:type="dxa"/>
              <w:right w:w="85" w:type="dxa"/>
            </w:tcMar>
          </w:tcPr>
          <w:p>
            <w:pPr>
              <w:pStyle w:val="TableText"/>
              <w:spacing w:after="100"/>
            </w:pPr>
            <w:r>
              <w:t>Adoption, coordination and next decision</w:t>
            </w:r>
          </w:p>
        </w:tc>
        <w:tc>
          <w:tcPr>
            <w:tcW w:type="dxa" w:w="1080"/>
            <w:vAlign w:val="top"/>
            <w:shd w:fill="F3F6F7"/>
            <w:tcMar>
              <w:top w:w="65" w:type="dxa"/>
              <w:bottom w:w="60" w:type="dxa"/>
              <w:left w:w="85" w:type="dxa"/>
              <w:right w:w="85" w:type="dxa"/>
            </w:tcMar>
          </w:tcPr>
          <w:p>
            <w:pPr>
              <w:pStyle w:val="TableText"/>
              <w:spacing w:after="100"/>
            </w:pPr>
            <w:r>
              <w:t>12–15</w:t>
            </w:r>
          </w:p>
        </w:tc>
        <w:tc>
          <w:tcPr>
            <w:tcW w:type="dxa" w:w="6192"/>
            <w:vAlign w:val="top"/>
            <w:shd w:fill="F3F6F7"/>
            <w:tcMar>
              <w:top w:w="65" w:type="dxa"/>
              <w:bottom w:w="60" w:type="dxa"/>
              <w:left w:w="85" w:type="dxa"/>
              <w:right w:w="85" w:type="dxa"/>
            </w:tcMar>
          </w:tcPr>
          <w:p>
            <w:pPr>
              <w:pStyle w:val="TableText"/>
              <w:spacing w:after="100"/>
            </w:pPr>
            <w:r>
              <w:t>Exact baseline standing, reuse implications, change matrix and review point.</w:t>
            </w:r>
          </w:p>
        </w:tc>
      </w:tr>
    </w:tbl>
    <w:p>
      <w:pPr>
        <w:pStyle w:val="Small"/>
        <w:spacing w:after="20"/>
      </w:pPr>
    </w:p>
    <w:p>
      <w:pPr>
        <w:pStyle w:val="Heading2"/>
      </w:pPr>
      <w:r>
        <w:t>1.3 What is resolved at this level</w:t>
      </w:r>
    </w:p>
    <w:p>
      <w:r>
        <w:t>This document recommends an organizing model and a concrete direction for the three disputed bindings. It does not require another open-ended source survey before a decision on that basis. A production definition catalogue, selected family constraints and executable representation package follow approval; those later artifacts must implement the model rather than silently define it through whichever test cases are easiest.</w:t>
      </w:r>
    </w:p>
    <w:p>
      <w:pPr>
        <w:pStyle w:val="Heading1"/>
        <w:pageBreakBefore/>
      </w:pPr>
      <w:r>
        <w:t>2. Applicability and the operator’s working picture</w:t>
      </w:r>
    </w:p>
    <w:p>
      <w:pPr>
        <w:pStyle w:val="Heading2"/>
      </w:pPr>
      <w:r>
        <w:t>2.1 Scope follows the operating arrangement</w:t>
      </w:r>
    </w:p>
    <w:p>
      <w:r>
        <w:t>Apply the power domain to identifiable electrical equipment whose supply, consumption, storage or measurement matters to a managed operating arrangement. Within the main profile, the entry point remains the physical sensing system in its employment. Gateways, platforms, power units and supporting actuators can participate without being mislabeled as sensors, and a participating device need not be continuously connected or directly IP-addressable (Main Profile 2026, §§1.1–1.3, 4.7).</w:t>
      </w:r>
    </w:p>
    <w:p>
      <w:r>
        <w:t>The recovered research supports this family through sensor-network coverage and the OSUS physical-asset abstraction. Its SNRA evidence is a preview, and its OSUS evidence is selected implementation material; neither is promoted here into a complete standards audit. Their role is to establish the broader engineering problem, while the power model supplies the more specific entities and relationships (Research Bibliography 2026, §§1.3–1.9).</w:t>
      </w:r>
    </w:p>
    <w:tbl>
      <w:tblPr>
        <w:tblW w:type="auto" w:w="0"/>
        <w:jc w:val="center"/>
        <w:tblLayout w:type="fixed"/>
        <w:tblLook w:firstColumn="1" w:firstRow="1" w:lastColumn="0" w:lastRow="0" w:noHBand="0" w:noVBand="1" w:val="04A0"/>
      </w:tblPr>
      <w:tblGrid>
        <w:gridCol w:w="2304"/>
        <w:gridCol w:w="7848"/>
      </w:tblGrid>
      <w:tr>
        <w:trPr>
          <w:tblHeader/>
          <w:cantSplit/>
        </w:trPr>
        <w:tc>
          <w:tcPr>
            <w:tcW w:type="dxa" w:w="2304"/>
            <w:shd w:fill="DDE9EE"/>
            <w:tcMar>
              <w:top w:w="65" w:type="dxa"/>
              <w:bottom w:w="60" w:type="dxa"/>
              <w:left w:w="85" w:type="dxa"/>
              <w:right w:w="85" w:type="dxa"/>
            </w:tcMar>
          </w:tcPr>
          <w:p>
            <w:pPr>
              <w:pStyle w:val="TableText"/>
              <w:keepNext/>
            </w:pPr>
            <w:r>
              <w:rPr>
                <w:b/>
                <w:color w:val="153B4C"/>
              </w:rPr>
              <w:t>Applicability check</w:t>
            </w:r>
          </w:p>
        </w:tc>
        <w:tc>
          <w:tcPr>
            <w:tcW w:type="dxa" w:w="7848"/>
            <w:shd w:fill="DDE9EE"/>
            <w:tcMar>
              <w:top w:w="65" w:type="dxa"/>
              <w:bottom w:w="60" w:type="dxa"/>
              <w:left w:w="85" w:type="dxa"/>
              <w:right w:w="85" w:type="dxa"/>
            </w:tcMar>
          </w:tcPr>
          <w:p>
            <w:pPr>
              <w:pStyle w:val="TableText"/>
              <w:keepNext/>
            </w:pPr>
            <w:r>
              <w:rPr>
                <w:b/>
                <w:color w:val="153B4C"/>
              </w:rPr>
              <w:t>Power questions the same model should support</w:t>
            </w:r>
          </w:p>
        </w:tc>
      </w:tr>
      <w:tr>
        <w:trPr>
          <w:cantSplit/>
        </w:trPr>
        <w:tc>
          <w:tcPr>
            <w:tcW w:type="dxa" w:w="2304"/>
            <w:vAlign w:val="top"/>
            <w:shd w:fill="F3F6F7"/>
            <w:tcMar>
              <w:top w:w="65" w:type="dxa"/>
              <w:bottom w:w="60" w:type="dxa"/>
              <w:left w:w="85" w:type="dxa"/>
              <w:right w:w="85" w:type="dxa"/>
            </w:tcMar>
          </w:tcPr>
          <w:p>
            <w:pPr>
              <w:pStyle w:val="TableText"/>
              <w:spacing w:after="100"/>
            </w:pPr>
            <w:r>
              <w:t>Unattended ground sensors</w:t>
            </w:r>
          </w:p>
        </w:tc>
        <w:tc>
          <w:tcPr>
            <w:tcW w:type="dxa" w:w="7848"/>
            <w:vAlign w:val="top"/>
            <w:shd w:fill="F3F6F7"/>
            <w:tcMar>
              <w:top w:w="65" w:type="dxa"/>
              <w:bottom w:w="60" w:type="dxa"/>
              <w:left w:w="85" w:type="dxa"/>
              <w:right w:w="85" w:type="dxa"/>
            </w:tcMar>
          </w:tcPr>
          <w:p>
            <w:pPr>
              <w:pStyle w:val="TableText"/>
              <w:spacing w:after="100"/>
            </w:pPr>
            <w:r>
              <w:t>Internal replaceable batteries; an external pack; an estimator using deployment or reporting history; separately powered accessories.</w:t>
            </w:r>
          </w:p>
        </w:tc>
      </w:tr>
      <w:tr>
        <w:trPr>
          <w:cantSplit/>
        </w:trPr>
        <w:tc>
          <w:tcPr>
            <w:tcW w:type="dxa" w:w="2304"/>
            <w:vAlign w:val="top"/>
            <w:tcMar>
              <w:top w:w="65" w:type="dxa"/>
              <w:bottom w:w="60" w:type="dxa"/>
              <w:left w:w="85" w:type="dxa"/>
              <w:right w:w="85" w:type="dxa"/>
            </w:tcMar>
          </w:tcPr>
          <w:p>
            <w:pPr>
              <w:pStyle w:val="TableText"/>
              <w:spacing w:after="100"/>
            </w:pPr>
            <w:r>
              <w:t>Environmental station</w:t>
            </w:r>
          </w:p>
        </w:tc>
        <w:tc>
          <w:tcPr>
            <w:tcW w:type="dxa" w:w="7848"/>
            <w:vAlign w:val="top"/>
            <w:tcMar>
              <w:top w:w="65" w:type="dxa"/>
              <w:bottom w:w="60" w:type="dxa"/>
              <w:left w:w="85" w:type="dxa"/>
              <w:right w:w="85" w:type="dxa"/>
            </w:tcMar>
          </w:tcPr>
          <w:p>
            <w:pPr>
              <w:pStyle w:val="TableText"/>
              <w:spacing w:after="100"/>
            </w:pPr>
            <w:r>
              <w:t>Harvesting, storage, regulated supply and several loads; intermittent communications; scheduled service or pack replacement.</w:t>
            </w:r>
          </w:p>
        </w:tc>
      </w:tr>
      <w:tr>
        <w:trPr>
          <w:cantSplit/>
        </w:trPr>
        <w:tc>
          <w:tcPr>
            <w:tcW w:type="dxa" w:w="2304"/>
            <w:vAlign w:val="top"/>
            <w:shd w:fill="F3F6F7"/>
            <w:tcMar>
              <w:top w:w="65" w:type="dxa"/>
              <w:bottom w:w="60" w:type="dxa"/>
              <w:left w:w="85" w:type="dxa"/>
              <w:right w:w="85" w:type="dxa"/>
            </w:tcMar>
          </w:tcPr>
          <w:p>
            <w:pPr>
              <w:pStyle w:val="TableText"/>
              <w:spacing w:after="100"/>
            </w:pPr>
            <w:r>
              <w:t>Camera installation</w:t>
            </w:r>
          </w:p>
        </w:tc>
        <w:tc>
          <w:tcPr>
            <w:tcW w:type="dxa" w:w="7848"/>
            <w:vAlign w:val="top"/>
            <w:shd w:fill="F3F6F7"/>
            <w:tcMar>
              <w:top w:w="65" w:type="dxa"/>
              <w:bottom w:w="60" w:type="dxa"/>
              <w:left w:w="85" w:type="dxa"/>
              <w:right w:w="85" w:type="dxa"/>
            </w:tcMar>
          </w:tcPr>
          <w:p>
            <w:pPr>
              <w:pStyle w:val="TableText"/>
              <w:spacing w:after="100"/>
            </w:pPr>
            <w:r>
              <w:t>A PoE or mains-fed path, a switch or distribution unit, and an independent PTZ supply; shared upstream measurement without false per-camera allocation.</w:t>
            </w:r>
          </w:p>
        </w:tc>
      </w:tr>
      <w:tr>
        <w:trPr>
          <w:cantSplit/>
        </w:trPr>
        <w:tc>
          <w:tcPr>
            <w:tcW w:type="dxa" w:w="2304"/>
            <w:vAlign w:val="top"/>
            <w:tcMar>
              <w:top w:w="65" w:type="dxa"/>
              <w:bottom w:w="60" w:type="dxa"/>
              <w:left w:w="85" w:type="dxa"/>
              <w:right w:w="85" w:type="dxa"/>
            </w:tcMar>
          </w:tcPr>
          <w:p>
            <w:pPr>
              <w:pStyle w:val="TableText"/>
              <w:spacing w:after="100"/>
            </w:pPr>
            <w:r>
              <w:t>Platform payload</w:t>
            </w:r>
          </w:p>
        </w:tc>
        <w:tc>
          <w:tcPr>
            <w:tcW w:type="dxa" w:w="7848"/>
            <w:vAlign w:val="top"/>
            <w:tcMar>
              <w:top w:w="65" w:type="dxa"/>
              <w:bottom w:w="60" w:type="dxa"/>
              <w:left w:w="85" w:type="dxa"/>
              <w:right w:w="85" w:type="dxa"/>
            </w:tcMar>
          </w:tcPr>
          <w:p>
            <w:pPr>
              <w:pStyle w:val="TableText"/>
              <w:spacing w:after="100"/>
            </w:pPr>
            <w:r>
              <w:t>Platform power interfaces, onboard conversion, payload operating modes and limits; the payload’s consumption is not the platform’s total.</w:t>
            </w:r>
          </w:p>
        </w:tc>
      </w:tr>
      <w:tr>
        <w:trPr>
          <w:cantSplit/>
        </w:trPr>
        <w:tc>
          <w:tcPr>
            <w:tcW w:type="dxa" w:w="2304"/>
            <w:vAlign w:val="top"/>
            <w:shd w:fill="F3F6F7"/>
            <w:tcMar>
              <w:top w:w="65" w:type="dxa"/>
              <w:bottom w:w="60" w:type="dxa"/>
              <w:left w:w="85" w:type="dxa"/>
              <w:right w:w="85" w:type="dxa"/>
            </w:tcMar>
          </w:tcPr>
          <w:p>
            <w:pPr>
              <w:pStyle w:val="TableText"/>
              <w:spacing w:after="100"/>
            </w:pPr>
            <w:r>
              <w:t>Supporting electrical equipment</w:t>
            </w:r>
          </w:p>
        </w:tc>
        <w:tc>
          <w:tcPr>
            <w:tcW w:type="dxa" w:w="7848"/>
            <w:vAlign w:val="top"/>
            <w:shd w:fill="F3F6F7"/>
            <w:tcMar>
              <w:top w:w="65" w:type="dxa"/>
              <w:bottom w:w="60" w:type="dxa"/>
              <w:left w:w="85" w:type="dxa"/>
              <w:right w:w="85" w:type="dxa"/>
            </w:tcMar>
          </w:tcPr>
          <w:p>
            <w:pPr>
              <w:pStyle w:val="TableText"/>
              <w:spacing w:after="100"/>
            </w:pPr>
            <w:r>
              <w:t>Meters, chargers, UPS units and distributors can use this domain even when they are outside the complete sensing-system profile.</w:t>
            </w:r>
          </w:p>
        </w:tc>
      </w:tr>
    </w:tbl>
    <w:p>
      <w:pPr>
        <w:pStyle w:val="Small"/>
        <w:spacing w:after="20"/>
      </w:pPr>
    </w:p>
    <w:p>
      <w:pPr>
        <w:pStyle w:val="Heading2"/>
      </w:pPr>
      <w:r>
        <w:t>2.2 The useful operating result</w:t>
      </w:r>
    </w:p>
    <w:p>
      <w:r>
        <w:t>An operator should be able to understand what powers the selected sensor, what other equipment is involved, and which readings or estimates describe that arrangement. The same model should explain a replacement, a charging cycle or a supply reconfiguration without losing the sensor’s history. It should also reveal a shared dependency when several deployed systems rely on one source, while avoiding an invented “deployment battery” or an unjustified total percentage.</w:t>
      </w:r>
    </w:p>
    <w:p>
      <w:r>
        <w:t>Coverage is not a mandatory populated record for every integration. A simple node can provide a compact internal-source description; a managed installation can provide interfaces, distribution and metering boundaries. Missing detailed information limits the assertions for that instance, not the legitimate breadth of the domain (Power Restart PITON 2026, §4).</w:t>
      </w:r>
    </w:p>
    <w:p>
      <w:pPr>
        <w:pStyle w:val="Heading1"/>
        <w:pageBreakBefore/>
      </w:pPr>
      <w:r>
        <w:t>3. Comparison on the whole operating need</w:t>
      </w:r>
    </w:p>
    <w:p>
      <w:pPr>
        <w:pStyle w:val="Heading2"/>
      </w:pPr>
      <w:r>
        <w:t>3.1 Common comparison basis</w:t>
      </w:r>
    </w:p>
    <w:p>
      <w:r>
        <w:t>The comparison asks how each candidate describes equipment and electrical relationships, supports operation and service, and can be represented through the existing OGC foundation. It also asks what knowledge remains locally authored and which native obligations would accompany a stronger implementation claim. This avoids favoring an external model merely because it is extensive, or favoring a custom OGC solution while assuming its domain knowledge costs nothing (Research Bibliography 2026, §§1.7, 1.11).</w:t>
      </w:r>
    </w:p>
    <w:tbl>
      <w:tblPr>
        <w:tblW w:type="auto" w:w="0"/>
        <w:jc w:val="center"/>
        <w:tblLayout w:type="fixed"/>
        <w:tblLook w:firstColumn="1" w:firstRow="1" w:lastColumn="0" w:lastRow="0" w:noHBand="0" w:noVBand="1" w:val="04A0"/>
      </w:tblPr>
      <w:tblGrid>
        <w:gridCol w:w="1944"/>
        <w:gridCol w:w="5472"/>
        <w:gridCol w:w="2736"/>
      </w:tblGrid>
      <w:tr>
        <w:trPr>
          <w:tblHeader/>
          <w:cantSplit/>
        </w:trPr>
        <w:tc>
          <w:tcPr>
            <w:tcW w:type="dxa" w:w="1944"/>
            <w:shd w:fill="DDE9EE"/>
            <w:tcMar>
              <w:top w:w="65" w:type="dxa"/>
              <w:bottom w:w="60" w:type="dxa"/>
              <w:left w:w="85" w:type="dxa"/>
              <w:right w:w="85" w:type="dxa"/>
            </w:tcMar>
          </w:tcPr>
          <w:p>
            <w:pPr>
              <w:pStyle w:val="TableText"/>
              <w:keepNext/>
            </w:pPr>
            <w:r>
              <w:rPr>
                <w:b/>
                <w:color w:val="153B4C"/>
              </w:rPr>
              <w:t>Candidate</w:t>
            </w:r>
          </w:p>
        </w:tc>
        <w:tc>
          <w:tcPr>
            <w:tcW w:type="dxa" w:w="5472"/>
            <w:shd w:fill="DDE9EE"/>
            <w:tcMar>
              <w:top w:w="65" w:type="dxa"/>
              <w:bottom w:w="60" w:type="dxa"/>
              <w:left w:w="85" w:type="dxa"/>
              <w:right w:w="85" w:type="dxa"/>
            </w:tcMar>
          </w:tcPr>
          <w:p>
            <w:pPr>
              <w:pStyle w:val="TableText"/>
              <w:keepNext/>
            </w:pPr>
            <w:r>
              <w:rPr>
                <w:b/>
                <w:color w:val="153B4C"/>
              </w:rPr>
              <w:t>Substantive fit and limitation</w:t>
            </w:r>
          </w:p>
        </w:tc>
        <w:tc>
          <w:tcPr>
            <w:tcW w:type="dxa" w:w="2736"/>
            <w:shd w:fill="DDE9EE"/>
            <w:tcMar>
              <w:top w:w="65" w:type="dxa"/>
              <w:bottom w:w="60" w:type="dxa"/>
              <w:left w:w="85" w:type="dxa"/>
              <w:right w:w="85" w:type="dxa"/>
            </w:tcMar>
          </w:tcPr>
          <w:p>
            <w:pPr>
              <w:pStyle w:val="TableText"/>
              <w:keepNext/>
            </w:pPr>
            <w:r>
              <w:rPr>
                <w:b/>
                <w:color w:val="153B4C"/>
              </w:rPr>
              <w:t>Recommended role</w:t>
            </w:r>
          </w:p>
        </w:tc>
      </w:tr>
      <w:tr>
        <w:trPr>
          <w:cantSplit/>
        </w:trPr>
        <w:tc>
          <w:tcPr>
            <w:tcW w:type="dxa" w:w="1944"/>
            <w:vAlign w:val="top"/>
            <w:shd w:fill="F3F6F7"/>
            <w:tcMar>
              <w:top w:w="65" w:type="dxa"/>
              <w:bottom w:w="60" w:type="dxa"/>
              <w:left w:w="85" w:type="dxa"/>
              <w:right w:w="85" w:type="dxa"/>
            </w:tcMar>
          </w:tcPr>
          <w:p>
            <w:pPr>
              <w:pStyle w:val="TableText"/>
              <w:spacing w:after="100"/>
            </w:pPr>
            <w:r>
              <w:t>RFC 7326 + battery family</w:t>
            </w:r>
          </w:p>
        </w:tc>
        <w:tc>
          <w:tcPr>
            <w:tcW w:type="dxa" w:w="5472"/>
            <w:vAlign w:val="top"/>
            <w:shd w:fill="F3F6F7"/>
            <w:tcMar>
              <w:top w:w="65" w:type="dxa"/>
              <w:bottom w:w="60" w:type="dxa"/>
              <w:left w:w="85" w:type="dxa"/>
              <w:right w:w="85" w:type="dxa"/>
            </w:tcMar>
          </w:tcPr>
          <w:p>
            <w:pPr>
              <w:pStyle w:val="TableText"/>
              <w:spacing w:after="100"/>
            </w:pPr>
            <w:r>
              <w:t>Explicit energy objects and distinct supply, metering and aggregation; alternate realizations are anticipated. Internal arrangements and lifecycle bindings still need profile design.</w:t>
            </w:r>
          </w:p>
        </w:tc>
        <w:tc>
          <w:tcPr>
            <w:tcW w:type="dxa" w:w="2736"/>
            <w:vAlign w:val="top"/>
            <w:shd w:fill="F3F6F7"/>
            <w:tcMar>
              <w:top w:w="65" w:type="dxa"/>
              <w:bottom w:w="60" w:type="dxa"/>
              <w:left w:w="85" w:type="dxa"/>
              <w:right w:w="85" w:type="dxa"/>
            </w:tcMar>
          </w:tcPr>
          <w:p>
            <w:pPr>
              <w:pStyle w:val="TableText"/>
              <w:spacing w:after="100"/>
            </w:pPr>
            <w:r>
              <w:t>Organizing basis and coordinated specializations, not wholesale MIB adoption.</w:t>
            </w:r>
          </w:p>
        </w:tc>
      </w:tr>
      <w:tr>
        <w:trPr>
          <w:cantSplit/>
        </w:trPr>
        <w:tc>
          <w:tcPr>
            <w:tcW w:type="dxa" w:w="1944"/>
            <w:vAlign w:val="top"/>
            <w:tcMar>
              <w:top w:w="65" w:type="dxa"/>
              <w:bottom w:w="60" w:type="dxa"/>
              <w:left w:w="85" w:type="dxa"/>
              <w:right w:w="85" w:type="dxa"/>
            </w:tcMar>
          </w:tcPr>
          <w:p>
            <w:pPr>
              <w:pStyle w:val="TableText"/>
              <w:spacing w:after="100"/>
            </w:pPr>
            <w:r>
              <w:t>Redfish power models</w:t>
            </w:r>
          </w:p>
        </w:tc>
        <w:tc>
          <w:tcPr>
            <w:tcW w:type="dxa" w:w="5472"/>
            <w:vAlign w:val="top"/>
            <w:tcMar>
              <w:top w:w="65" w:type="dxa"/>
              <w:bottom w:w="60" w:type="dxa"/>
              <w:left w:w="85" w:type="dxa"/>
              <w:right w:w="85" w:type="dxa"/>
            </w:tcMar>
          </w:tcPr>
          <w:p>
            <w:pPr>
              <w:pStyle w:val="TableText"/>
              <w:spacing w:after="100"/>
            </w:pPr>
            <w:r>
              <w:t>PowerDistribution represents input circuits, outlets and redundancy; Battery and BatteryMetrics distinguish charge and energy and link readings to sensors. A serious alternative, not merely a battery widget.</w:t>
            </w:r>
          </w:p>
        </w:tc>
        <w:tc>
          <w:tcPr>
            <w:tcW w:type="dxa" w:w="2736"/>
            <w:vAlign w:val="top"/>
            <w:tcMar>
              <w:top w:w="65" w:type="dxa"/>
              <w:bottom w:w="60" w:type="dxa"/>
              <w:left w:w="85" w:type="dxa"/>
              <w:right w:w="85" w:type="dxa"/>
            </w:tcMar>
          </w:tcPr>
          <w:p>
            <w:pPr>
              <w:pStyle w:val="TableText"/>
              <w:spacing w:after="100"/>
            </w:pPr>
            <w:r>
              <w:t>Native-source and richer-equipment comparator. Do not translate the whole Redfish resource architecture without a demonstrated advantage.</w:t>
            </w:r>
          </w:p>
        </w:tc>
      </w:tr>
      <w:tr>
        <w:trPr>
          <w:cantSplit/>
        </w:trPr>
        <w:tc>
          <w:tcPr>
            <w:tcW w:type="dxa" w:w="1944"/>
            <w:vAlign w:val="top"/>
            <w:shd w:fill="F3F6F7"/>
            <w:tcMar>
              <w:top w:w="65" w:type="dxa"/>
              <w:bottom w:w="60" w:type="dxa"/>
              <w:left w:w="85" w:type="dxa"/>
              <w:right w:w="85" w:type="dxa"/>
            </w:tcMar>
          </w:tcPr>
          <w:p>
            <w:pPr>
              <w:pStyle w:val="TableText"/>
              <w:spacing w:after="100"/>
            </w:pPr>
            <w:r>
              <w:t>CIM_Battery 2.31.0</w:t>
            </w:r>
          </w:p>
        </w:tc>
        <w:tc>
          <w:tcPr>
            <w:tcW w:type="dxa" w:w="5472"/>
            <w:vAlign w:val="top"/>
            <w:shd w:fill="F3F6F7"/>
            <w:tcMar>
              <w:top w:w="65" w:type="dxa"/>
              <w:bottom w:w="60" w:type="dxa"/>
              <w:left w:w="85" w:type="dxa"/>
              <w:right w:w="85" w:type="dxa"/>
            </w:tcMar>
          </w:tcPr>
          <w:p>
            <w:pPr>
              <w:pStyle w:val="TableText"/>
              <w:spacing w:after="100"/>
            </w:pPr>
            <w:r>
              <w:t>Internal/external battery scope, conditional runtime, charging and deterioration information. This class alone is not a complete supply topology; the entire CIM family was not audited.</w:t>
            </w:r>
          </w:p>
        </w:tc>
        <w:tc>
          <w:tcPr>
            <w:tcW w:type="dxa" w:w="2736"/>
            <w:vAlign w:val="top"/>
            <w:shd w:fill="F3F6F7"/>
            <w:tcMar>
              <w:top w:w="65" w:type="dxa"/>
              <w:bottom w:w="60" w:type="dxa"/>
              <w:left w:w="85" w:type="dxa"/>
              <w:right w:w="85" w:type="dxa"/>
            </w:tcMar>
          </w:tcPr>
          <w:p>
            <w:pPr>
              <w:pStyle w:val="TableText"/>
              <w:spacing w:after="100"/>
            </w:pPr>
            <w:r>
              <w:t>A narrowly defined runtime donor and battery comparison, not an alternate whole-system metamodel.</w:t>
            </w:r>
          </w:p>
        </w:tc>
      </w:tr>
      <w:tr>
        <w:trPr>
          <w:cantSplit/>
        </w:trPr>
        <w:tc>
          <w:tcPr>
            <w:tcW w:type="dxa" w:w="1944"/>
            <w:vAlign w:val="top"/>
            <w:tcMar>
              <w:top w:w="65" w:type="dxa"/>
              <w:bottom w:w="60" w:type="dxa"/>
              <w:left w:w="85" w:type="dxa"/>
              <w:right w:w="85" w:type="dxa"/>
            </w:tcMar>
          </w:tcPr>
          <w:p>
            <w:pPr>
              <w:pStyle w:val="TableText"/>
              <w:spacing w:after="100"/>
            </w:pPr>
            <w:r>
              <w:t>OMA Device Object 3 v1.2</w:t>
            </w:r>
          </w:p>
        </w:tc>
        <w:tc>
          <w:tcPr>
            <w:tcW w:type="dxa" w:w="5472"/>
            <w:vAlign w:val="top"/>
            <w:tcMar>
              <w:top w:w="65" w:type="dxa"/>
              <w:bottom w:w="60" w:type="dxa"/>
              <w:left w:w="85" w:type="dxa"/>
              <w:right w:w="85" w:type="dxa"/>
            </w:tcMar>
          </w:tcPr>
          <w:p>
            <w:pPr>
              <w:pStyle w:val="TableText"/>
              <w:spacing w:after="100"/>
            </w:pPr>
            <w:r>
              <w:t>Available source kinds and matched source-instance voltage/current. Battery level/status concern the internal battery.</w:t>
            </w:r>
          </w:p>
        </w:tc>
        <w:tc>
          <w:tcPr>
            <w:tcW w:type="dxa" w:w="2736"/>
            <w:vAlign w:val="top"/>
            <w:tcMar>
              <w:top w:w="65" w:type="dxa"/>
              <w:bottom w:w="60" w:type="dxa"/>
              <w:left w:w="85" w:type="dxa"/>
              <w:right w:w="85" w:type="dxa"/>
            </w:tcMar>
          </w:tcPr>
          <w:p>
            <w:pPr>
              <w:pStyle w:val="TableText"/>
              <w:spacing w:after="100"/>
            </w:pPr>
            <w:r>
              <w:t>Compact provider crosswalk; not the common model of shared supplies.</w:t>
            </w:r>
          </w:p>
        </w:tc>
      </w:tr>
      <w:tr>
        <w:trPr>
          <w:cantSplit/>
        </w:trPr>
        <w:tc>
          <w:tcPr>
            <w:tcW w:type="dxa" w:w="1944"/>
            <w:vAlign w:val="top"/>
            <w:shd w:fill="F3F6F7"/>
            <w:tcMar>
              <w:top w:w="65" w:type="dxa"/>
              <w:bottom w:w="60" w:type="dxa"/>
              <w:left w:w="85" w:type="dxa"/>
              <w:right w:w="85" w:type="dxa"/>
            </w:tcMar>
          </w:tcPr>
          <w:p>
            <w:pPr>
              <w:pStyle w:val="TableText"/>
              <w:spacing w:after="100"/>
            </w:pPr>
            <w:r>
              <w:t>Matter Core R1.3 Power Source</w:t>
            </w:r>
          </w:p>
        </w:tc>
        <w:tc>
          <w:tcPr>
            <w:tcW w:type="dxa" w:w="5472"/>
            <w:vAlign w:val="top"/>
            <w:shd w:fill="F3F6F7"/>
            <w:tcMar>
              <w:top w:w="65" w:type="dxa"/>
              <w:bottom w:w="60" w:type="dxa"/>
              <w:left w:w="85" w:type="dxa"/>
              <w:right w:w="85" w:type="dxa"/>
            </w:tcMar>
          </w:tcPr>
          <w:p>
            <w:pPr>
              <w:pStyle w:val="TableText"/>
              <w:spacing w:after="100"/>
            </w:pPr>
            <w:r>
              <w:t>Inherited research identifies source, charging, replacement and estimated-runtime concepts. Fresh normative PDF recovery failed in this pass.</w:t>
            </w:r>
          </w:p>
        </w:tc>
        <w:tc>
          <w:tcPr>
            <w:tcW w:type="dxa" w:w="2736"/>
            <w:vAlign w:val="top"/>
            <w:shd w:fill="F3F6F7"/>
            <w:tcMar>
              <w:top w:w="65" w:type="dxa"/>
              <w:bottom w:w="60" w:type="dxa"/>
              <w:left w:w="85" w:type="dxa"/>
              <w:right w:w="85" w:type="dxa"/>
            </w:tcMar>
          </w:tcPr>
          <w:p>
            <w:pPr>
              <w:pStyle w:val="TableText"/>
              <w:spacing w:after="100"/>
            </w:pPr>
            <w:r>
              <w:t>Retain as a comparator. No detailed mandatory Matter term is selected from an unrefreshed clause.</w:t>
            </w:r>
          </w:p>
        </w:tc>
      </w:tr>
      <w:tr>
        <w:trPr>
          <w:cantSplit/>
        </w:trPr>
        <w:tc>
          <w:tcPr>
            <w:tcW w:type="dxa" w:w="1944"/>
            <w:vAlign w:val="top"/>
            <w:tcMar>
              <w:top w:w="65" w:type="dxa"/>
              <w:bottom w:w="60" w:type="dxa"/>
              <w:left w:w="85" w:type="dxa"/>
              <w:right w:w="85" w:type="dxa"/>
            </w:tcMar>
          </w:tcPr>
          <w:p>
            <w:pPr>
              <w:pStyle w:val="TableText"/>
              <w:spacing w:after="100"/>
            </w:pPr>
            <w:r>
              <w:t>Custom domain content directly in OGC</w:t>
            </w:r>
          </w:p>
        </w:tc>
        <w:tc>
          <w:tcPr>
            <w:tcW w:type="dxa" w:w="5472"/>
            <w:vAlign w:val="top"/>
            <w:tcMar>
              <w:top w:w="65" w:type="dxa"/>
              <w:bottom w:w="60" w:type="dxa"/>
              <w:left w:w="85" w:type="dxa"/>
              <w:right w:w="85" w:type="dxa"/>
            </w:tcMar>
          </w:tcPr>
          <w:p>
            <w:pPr>
              <w:pStyle w:val="TableText"/>
              <w:spacing w:after="100"/>
            </w:pPr>
            <w:r>
              <w:t>Can express the required information if we author the entities, relations and semantics. That authorship is the relevant cost, not an architectural impossibility.</w:t>
            </w:r>
          </w:p>
        </w:tc>
        <w:tc>
          <w:tcPr>
            <w:tcW w:type="dxa" w:w="2736"/>
            <w:vAlign w:val="top"/>
            <w:tcMar>
              <w:top w:w="65" w:type="dxa"/>
              <w:bottom w:w="60" w:type="dxa"/>
              <w:left w:w="85" w:type="dxa"/>
              <w:right w:w="85" w:type="dxa"/>
            </w:tcMar>
          </w:tcPr>
          <w:p>
            <w:pPr>
              <w:pStyle w:val="TableText"/>
              <w:spacing w:after="100"/>
            </w:pPr>
            <w:r>
              <w:t>Use OGC directly as carrier; reuse donor semantics to avoid reinventing the entire domain.</w:t>
            </w:r>
          </w:p>
        </w:tc>
      </w:tr>
    </w:tbl>
    <w:p>
      <w:pPr>
        <w:pStyle w:val="Small"/>
        <w:spacing w:after="20"/>
      </w:pPr>
    </w:p>
    <w:p>
      <w:pPr>
        <w:pStyle w:val="Small"/>
      </w:pPr>
      <w:r>
        <w:t>Evidence: Parello et al. 2014, §§6–7; DMTF n.d.-a–d; Open Mobile Alliance 2024, app. E.4; Power PITON 2026, §6. Redfish schema versions assessed here are Battery 1.4.0, BatteryMetrics 1.1.0 and PowerDistribution 1.4.0; these are exact comparison artifacts, not a claim to have inspected the latest complete Redfish release.</w:t>
      </w:r>
    </w:p>
    <w:p>
      <w:pPr>
        <w:pStyle w:val="Heading1"/>
        <w:pageBreakBefore/>
      </w:pPr>
      <w:r>
        <w:t>4. Selected composition and source responsibility</w:t>
      </w:r>
    </w:p>
    <w:p>
      <w:pPr>
        <w:pStyle w:val="Heading2"/>
      </w:pPr>
      <w:r>
        <w:t>4.1 Why the energy framework leads</w:t>
      </w:r>
    </w:p>
    <w:p>
      <w:r>
        <w:t>RFC 7326 distinguishes Device, Component and Power Interface as Energy Objects and separates power supply from metering and aggregation. It permits another data model to realize its information model, with that realization selecting required and optional content. Those features make it a more direct organizing basis for this cross-family OGC module than a union of unrelated battery properties (Parello et al. 2014, §§6–7).</w:t>
      </w:r>
    </w:p>
    <w:p>
      <w:r>
        <w:t>The recommendation does not depend on TRSS, McQ or another manufacturer already implementing EMAN. An integrator can translate legitimate engineering, configuration and operating records into the selected OGC realization. The alternative would still need comparable domain decisions, so the expected benefit is an established conceptual basis and a reusable target—not a claimed removal of supplier-specific integration work.</w:t>
      </w:r>
    </w:p>
    <w:p>
      <w:pPr>
        <w:pStyle w:val="Heading2"/>
      </w:pPr>
      <w:r>
        <w:t>4.2 Battery and measurement specializations</w:t>
      </w:r>
    </w:p>
    <w:p>
      <w:r>
        <w:t>RFC 7577 explicitly complements the energy framework and covers multiple batteries in or attached to managed devices. Select its battery identity, ratings, capacity/charge, charging and alarm concepts as a coordinated specialization. Its scope even includes a capacitor battery type; the profile must preserve the selected source meaning rather than silently restrict all energy storage to a chemical-cell hierarchy (Quittek, Winter, and Dietz 2015, §§1–4).</w:t>
      </w:r>
    </w:p>
    <w:p>
      <w:r>
        <w:t>Use RFC 7460 for applicable power, energy, demand and measurement-quality meanings, and RFC 7461 to check the native context and relationship realization. These references are not interchangeable editions of RFC 7326: their encoded tokens, indices and compliance groups have their own requirements. This recommendation chooses an information-model realization with documented mappings, not a claim that a SensorML document is a conforming MIB agent (Chandramouli et al. 2015, §§5, 9; Parello, Claise, and Chandramouli 2015, §§5–6).</w:t>
      </w:r>
    </w:p>
    <w:p>
      <w:pPr>
        <w:pStyle w:val="Heading2"/>
      </w:pPr>
      <w:r>
        <w:t>4.3 The additions we would own</w:t>
      </w:r>
    </w:p>
    <w:p>
      <w:r>
        <w:t>The locally authored part comprises OGC group contracts, reference resolution, deployment/time scoping, internal power-path detail, property qualifications, and event correlation. It also includes a common form for useful source estimates whose conditions do not match a selected external property exactly. These additions remain a coordinated power module, not a new top-level Power resource or a new generic ontology replacing the main profile.</w:t>
      </w:r>
    </w:p>
    <w:p>
      <w:r>
        <w:t>For a specific runtime meaning, retain CIM_Battery.EstimatedRunTime as an optional translated definition: depletion time under present load and the stated loss or absence of external power. Runtime for a different load scenario or an operating-limit endpoint uses its own explicit estimate definition. MIMOSA’s installation/removal scenario informs service continuity, while the main profile retains responsibility for its common lifecycle vocabulary and native access choice (DMTF n.d.-a, EstimatedRunTime; MIMOSA n.d.).</w:t>
      </w:r>
    </w:p>
    <w:p>
      <w:pPr>
        <w:pStyle w:val="Heading1"/>
        <w:pageBreakBefore/>
      </w:pPr>
      <w:r>
        <w:t>5. Conceptual model: equipment, interfaces and identity</w:t>
      </w:r>
    </w:p>
    <w:p>
      <w:pPr>
        <w:pStyle w:val="Heading2"/>
      </w:pPr>
      <w:r>
        <w:t>5.1 One physical arrangement, several meaningful subjects</w:t>
      </w:r>
    </w:p>
    <w:p>
      <w:r>
        <w:t>Treat a power source as a role in an arrangement, not an exclusive universal equipment class. A storage device can receive charging energy and later supply a load, while a controller can consume some energy and mediate supply to other equipment. The selected Energy Object class identifies the modeled subject, and its category, function and relationships explain its role without changing its physical identity on each operating-state transition.</w:t>
      </w:r>
    </w:p>
    <w:tbl>
      <w:tblPr>
        <w:tblW w:type="auto" w:w="0"/>
        <w:jc w:val="center"/>
        <w:tblLayout w:type="fixed"/>
        <w:tblLook w:firstColumn="1" w:firstRow="1" w:lastColumn="0" w:lastRow="0" w:noHBand="0" w:noVBand="1" w:val="04A0"/>
      </w:tblPr>
      <w:tblGrid>
        <w:gridCol w:w="2088"/>
        <w:gridCol w:w="8064"/>
      </w:tblGrid>
      <w:tr>
        <w:trPr>
          <w:tblHeader/>
          <w:cantSplit/>
        </w:trPr>
        <w:tc>
          <w:tcPr>
            <w:tcW w:type="dxa" w:w="2088"/>
            <w:shd w:fill="DDE9EE"/>
            <w:tcMar>
              <w:top w:w="65" w:type="dxa"/>
              <w:bottom w:w="60" w:type="dxa"/>
              <w:left w:w="85" w:type="dxa"/>
              <w:right w:w="85" w:type="dxa"/>
            </w:tcMar>
          </w:tcPr>
          <w:p>
            <w:pPr>
              <w:pStyle w:val="TableText"/>
              <w:keepNext/>
            </w:pPr>
            <w:r>
              <w:rPr>
                <w:b/>
                <w:color w:val="153B4C"/>
              </w:rPr>
              <w:t>Concept</w:t>
            </w:r>
          </w:p>
        </w:tc>
        <w:tc>
          <w:tcPr>
            <w:tcW w:type="dxa" w:w="8064"/>
            <w:shd w:fill="DDE9EE"/>
            <w:tcMar>
              <w:top w:w="65" w:type="dxa"/>
              <w:bottom w:w="60" w:type="dxa"/>
              <w:left w:w="85" w:type="dxa"/>
              <w:right w:w="85" w:type="dxa"/>
            </w:tcMar>
          </w:tcPr>
          <w:p>
            <w:pPr>
              <w:pStyle w:val="TableText"/>
              <w:keepNext/>
            </w:pPr>
            <w:r>
              <w:rPr>
                <w:b/>
                <w:color w:val="153B4C"/>
              </w:rPr>
              <w:t>Recommended interpretation and binding boundary</w:t>
            </w:r>
          </w:p>
        </w:tc>
      </w:tr>
      <w:tr>
        <w:trPr>
          <w:cantSplit/>
        </w:trPr>
        <w:tc>
          <w:tcPr>
            <w:tcW w:type="dxa" w:w="2088"/>
            <w:vAlign w:val="top"/>
            <w:shd w:fill="F3F6F7"/>
            <w:tcMar>
              <w:top w:w="65" w:type="dxa"/>
              <w:bottom w:w="60" w:type="dxa"/>
              <w:left w:w="85" w:type="dxa"/>
              <w:right w:w="85" w:type="dxa"/>
            </w:tcMar>
          </w:tcPr>
          <w:p>
            <w:pPr>
              <w:pStyle w:val="TableText"/>
              <w:spacing w:after="100"/>
            </w:pPr>
            <w:r>
              <w:t>Energy Object</w:t>
            </w:r>
          </w:p>
        </w:tc>
        <w:tc>
          <w:tcPr>
            <w:tcW w:type="dxa" w:w="8064"/>
            <w:vAlign w:val="top"/>
            <w:shd w:fill="F3F6F7"/>
            <w:tcMar>
              <w:top w:w="65" w:type="dxa"/>
              <w:bottom w:w="60" w:type="dxa"/>
              <w:left w:w="85" w:type="dxa"/>
              <w:right w:w="85" w:type="dxa"/>
            </w:tcMar>
          </w:tcPr>
          <w:p>
            <w:pPr>
              <w:pStyle w:val="TableText"/>
              <w:spacing w:after="100"/>
            </w:pPr>
            <w:r>
              <w:t>The energy-relevant representation of a device, component or power interface. Preserve the distinction from the OGC resource or encoding class.</w:t>
            </w:r>
          </w:p>
        </w:tc>
      </w:tr>
      <w:tr>
        <w:trPr>
          <w:cantSplit/>
        </w:trPr>
        <w:tc>
          <w:tcPr>
            <w:tcW w:type="dxa" w:w="2088"/>
            <w:vAlign w:val="top"/>
            <w:tcMar>
              <w:top w:w="65" w:type="dxa"/>
              <w:bottom w:w="60" w:type="dxa"/>
              <w:left w:w="85" w:type="dxa"/>
              <w:right w:w="85" w:type="dxa"/>
            </w:tcMar>
          </w:tcPr>
          <w:p>
            <w:pPr>
              <w:pStyle w:val="TableText"/>
              <w:spacing w:after="100"/>
            </w:pPr>
            <w:r>
              <w:t>Device / Component</w:t>
            </w:r>
          </w:p>
        </w:tc>
        <w:tc>
          <w:tcPr>
            <w:tcW w:type="dxa" w:w="8064"/>
            <w:vAlign w:val="top"/>
            <w:tcMar>
              <w:top w:w="65" w:type="dxa"/>
              <w:bottom w:w="60" w:type="dxa"/>
              <w:left w:w="85" w:type="dxa"/>
              <w:right w:w="85" w:type="dxa"/>
            </w:tcMar>
          </w:tcPr>
          <w:p>
            <w:pPr>
              <w:pStyle w:val="TableText"/>
              <w:spacing w:after="100"/>
            </w:pPr>
            <w:r>
              <w:t>Select the engineering and management boundary. A separately managed power box can be an EMAN Device even when its SensorML encoding is PhysicalComponent.</w:t>
            </w:r>
          </w:p>
        </w:tc>
      </w:tr>
      <w:tr>
        <w:trPr>
          <w:cantSplit/>
        </w:trPr>
        <w:tc>
          <w:tcPr>
            <w:tcW w:type="dxa" w:w="2088"/>
            <w:vAlign w:val="top"/>
            <w:shd w:fill="F3F6F7"/>
            <w:tcMar>
              <w:top w:w="65" w:type="dxa"/>
              <w:bottom w:w="60" w:type="dxa"/>
              <w:left w:w="85" w:type="dxa"/>
              <w:right w:w="85" w:type="dxa"/>
            </w:tcMar>
          </w:tcPr>
          <w:p>
            <w:pPr>
              <w:pStyle w:val="TableText"/>
              <w:spacing w:after="100"/>
            </w:pPr>
            <w:r>
              <w:t>Power Interface</w:t>
            </w:r>
          </w:p>
        </w:tc>
        <w:tc>
          <w:tcPr>
            <w:tcW w:type="dxa" w:w="8064"/>
            <w:vAlign w:val="top"/>
            <w:shd w:fill="F3F6F7"/>
            <w:tcMar>
              <w:top w:w="65" w:type="dxa"/>
              <w:bottom w:w="60" w:type="dxa"/>
              <w:left w:w="85" w:type="dxa"/>
              <w:right w:w="85" w:type="dxa"/>
            </w:tcMar>
          </w:tcPr>
          <w:p>
            <w:pPr>
              <w:pStyle w:val="TableText"/>
              <w:spacing w:after="100"/>
            </w:pPr>
            <w:r>
              <w:t>An identified inlet, outlet or both, owned by equipment. Use a native id-bearing descriptive group; do not invent a top-level SensorML powerInterfaces member.</w:t>
            </w:r>
          </w:p>
        </w:tc>
      </w:tr>
      <w:tr>
        <w:trPr>
          <w:cantSplit/>
        </w:trPr>
        <w:tc>
          <w:tcPr>
            <w:tcW w:type="dxa" w:w="2088"/>
            <w:vAlign w:val="top"/>
            <w:tcMar>
              <w:top w:w="65" w:type="dxa"/>
              <w:bottom w:w="60" w:type="dxa"/>
              <w:left w:w="85" w:type="dxa"/>
              <w:right w:w="85" w:type="dxa"/>
            </w:tcMar>
          </w:tcPr>
          <w:p>
            <w:pPr>
              <w:pStyle w:val="TableText"/>
              <w:spacing w:after="100"/>
            </w:pPr>
            <w:r>
              <w:t>Category and function</w:t>
            </w:r>
          </w:p>
        </w:tc>
        <w:tc>
          <w:tcPr>
            <w:tcW w:type="dxa" w:w="8064"/>
            <w:vAlign w:val="top"/>
            <w:tcMar>
              <w:top w:w="65" w:type="dxa"/>
              <w:bottom w:w="60" w:type="dxa"/>
              <w:left w:w="85" w:type="dxa"/>
              <w:right w:w="85" w:type="dxa"/>
            </w:tcMar>
          </w:tcPr>
          <w:p>
            <w:pPr>
              <w:pStyle w:val="TableText"/>
              <w:spacing w:after="100"/>
            </w:pPr>
            <w:r>
              <w:t>Retain the framework’s consumer, producer, meter, distributor and store meanings as applicable. Category is not a substitute for the relationships or every function of a multifunction device.</w:t>
            </w:r>
          </w:p>
        </w:tc>
      </w:tr>
      <w:tr>
        <w:trPr>
          <w:cantSplit/>
        </w:trPr>
        <w:tc>
          <w:tcPr>
            <w:tcW w:type="dxa" w:w="2088"/>
            <w:vAlign w:val="top"/>
            <w:shd w:fill="F3F6F7"/>
            <w:tcMar>
              <w:top w:w="65" w:type="dxa"/>
              <w:bottom w:w="60" w:type="dxa"/>
              <w:left w:w="85" w:type="dxa"/>
              <w:right w:w="85" w:type="dxa"/>
            </w:tcMar>
          </w:tcPr>
          <w:p>
            <w:pPr>
              <w:pStyle w:val="TableText"/>
              <w:spacing w:after="100"/>
            </w:pPr>
            <w:r>
              <w:t>Battery or other store</w:t>
            </w:r>
          </w:p>
        </w:tc>
        <w:tc>
          <w:tcPr>
            <w:tcW w:type="dxa" w:w="8064"/>
            <w:vAlign w:val="top"/>
            <w:shd w:fill="F3F6F7"/>
            <w:tcMar>
              <w:top w:w="65" w:type="dxa"/>
              <w:bottom w:w="60" w:type="dxa"/>
              <w:left w:w="85" w:type="dxa"/>
              <w:right w:w="85" w:type="dxa"/>
            </w:tcMar>
          </w:tcPr>
          <w:p>
            <w:pPr>
              <w:pStyle w:val="TableText"/>
              <w:spacing w:after="100"/>
            </w:pPr>
            <w:r>
              <w:t>A specialization of an appropriate device/component subject. Track a managed pack independently when useful; cells need not all become CSAPI Systems.</w:t>
            </w:r>
          </w:p>
        </w:tc>
      </w:tr>
      <w:tr>
        <w:trPr>
          <w:cantSplit/>
        </w:trPr>
        <w:tc>
          <w:tcPr>
            <w:tcW w:type="dxa" w:w="2088"/>
            <w:vAlign w:val="top"/>
            <w:tcMar>
              <w:top w:w="65" w:type="dxa"/>
              <w:bottom w:w="60" w:type="dxa"/>
              <w:left w:w="85" w:type="dxa"/>
              <w:right w:w="85" w:type="dxa"/>
            </w:tcMar>
          </w:tcPr>
          <w:p>
            <w:pPr>
              <w:pStyle w:val="TableText"/>
              <w:spacing w:after="100"/>
            </w:pPr>
            <w:r>
              <w:t>Operating arrangement</w:t>
            </w:r>
          </w:p>
        </w:tc>
        <w:tc>
          <w:tcPr>
            <w:tcW w:type="dxa" w:w="8064"/>
            <w:vAlign w:val="top"/>
            <w:tcMar>
              <w:top w:w="65" w:type="dxa"/>
              <w:bottom w:w="60" w:type="dxa"/>
              <w:left w:w="85" w:type="dxa"/>
              <w:right w:w="85" w:type="dxa"/>
            </w:tcMar>
          </w:tcPr>
          <w:p>
            <w:pPr>
              <w:pStyle w:val="TableText"/>
              <w:spacing w:after="100"/>
            </w:pPr>
            <w:r>
              <w:t>The relevant equipment and relations assembled for a selected System, employment and time. It is not automatically identical to an EMAN domain or an OGC Deployment.</w:t>
            </w:r>
          </w:p>
        </w:tc>
      </w:tr>
    </w:tbl>
    <w:p>
      <w:pPr>
        <w:pStyle w:val="Small"/>
        <w:spacing w:after="20"/>
      </w:pPr>
    </w:p>
    <w:p>
      <w:pPr>
        <w:pStyle w:val="Small"/>
      </w:pPr>
      <w:r>
        <w:t>Source basis: Parello et al. 2014, §§6.1–6.3; selected OGC carriers and the separation of equipment boundary from encoding are this recommendation. Main Profile 2026, §§1–2, R01–R03, supplies the surrounding resource meaning.</w:t>
      </w:r>
    </w:p>
    <w:p>
      <w:pPr>
        <w:pStyle w:val="Heading2"/>
      </w:pPr>
      <w:r>
        <w:t>5.2 Preserve physical identity without multiplying resources</w:t>
      </w:r>
    </w:p>
    <w:p>
      <w:r>
        <w:t>For a subject explicitly modeled as an Energy Object, retain a persistent UUID as its model identifier, reusing an existing suitable identifier when possible. A new integration-assigned identifier is permissible as declared integration identity, not as a fabricated manufacturer serial number. Use normal OGC resource identity for independent equipment and owner-scoped native ids for embedded targets; the UUID identifies the subject, while those references locate its representation (Parello et al. 2014, §6.3.1).</w:t>
      </w:r>
    </w:p>
    <w:p>
      <w:r>
        <w:t>The slot or connector and the installed pack remain different subjects. When a replacement occurs, retain the slot identity but use a different installed-item identity; a native MIB index must not silently become a lifetime pack identifier. For an unmarked replaceable battery, identify the known installation occurrence and disclose that cross-installation physical identity is not established (Quittek, Winter, and Dietz 2015, §3.1).</w:t>
      </w:r>
    </w:p>
    <w:p>
      <w:pPr>
        <w:pStyle w:val="Heading1"/>
        <w:pageBreakBefore/>
      </w:pPr>
      <w:r>
        <w:t>6. Relationships that explain the power arrangement</w:t>
      </w:r>
    </w:p>
    <w:p>
      <w:pPr>
        <w:pStyle w:val="Heading2"/>
      </w:pPr>
      <w:r>
        <w:t>6.1 Replace one generic association with distinct semantics</w:t>
      </w:r>
    </w:p>
    <w:p>
      <w:r>
        <w:t>Recommend an energy-relationship group whose two identified subjects are related by one selected framework predicate. Its supply, metering and aggregation forms have different meanings and applicability rules; they are not merely alternate labels for “related equipment.” A profile-aware consumer uses the predicate and endpoint types to interpret the connection, while the main profile continues to supply equipment and deployment identity.</w:t>
      </w:r>
    </w:p>
    <w:tbl>
      <w:tblPr>
        <w:tblW w:type="auto" w:w="0"/>
        <w:jc w:val="center"/>
        <w:tblLayout w:type="fixed"/>
        <w:tblLook w:firstColumn="1" w:firstRow="1" w:lastColumn="0" w:lastRow="0" w:noHBand="0" w:noVBand="1" w:val="04A0"/>
      </w:tblPr>
      <w:tblGrid>
        <w:gridCol w:w="2088"/>
        <w:gridCol w:w="4032"/>
        <w:gridCol w:w="4032"/>
      </w:tblGrid>
      <w:tr>
        <w:trPr>
          <w:tblHeader/>
          <w:cantSplit/>
        </w:trPr>
        <w:tc>
          <w:tcPr>
            <w:tcW w:type="dxa" w:w="2088"/>
            <w:shd w:fill="DDE9EE"/>
            <w:tcMar>
              <w:top w:w="65" w:type="dxa"/>
              <w:bottom w:w="60" w:type="dxa"/>
              <w:left w:w="85" w:type="dxa"/>
              <w:right w:w="85" w:type="dxa"/>
            </w:tcMar>
          </w:tcPr>
          <w:p>
            <w:pPr>
              <w:pStyle w:val="TableText"/>
              <w:keepNext/>
            </w:pPr>
            <w:r>
              <w:rPr>
                <w:b/>
                <w:color w:val="153B4C"/>
              </w:rPr>
              <w:t>Relationship</w:t>
            </w:r>
          </w:p>
        </w:tc>
        <w:tc>
          <w:tcPr>
            <w:tcW w:type="dxa" w:w="4032"/>
            <w:shd w:fill="DDE9EE"/>
            <w:tcMar>
              <w:top w:w="65" w:type="dxa"/>
              <w:bottom w:w="60" w:type="dxa"/>
              <w:left w:w="85" w:type="dxa"/>
              <w:right w:w="85" w:type="dxa"/>
            </w:tcMar>
          </w:tcPr>
          <w:p>
            <w:pPr>
              <w:pStyle w:val="TableText"/>
              <w:keepNext/>
            </w:pPr>
            <w:r>
              <w:rPr>
                <w:b/>
                <w:color w:val="153B4C"/>
              </w:rPr>
              <w:t>Meaning to retain</w:t>
            </w:r>
          </w:p>
        </w:tc>
        <w:tc>
          <w:tcPr>
            <w:tcW w:type="dxa" w:w="4032"/>
            <w:shd w:fill="DDE9EE"/>
            <w:tcMar>
              <w:top w:w="65" w:type="dxa"/>
              <w:bottom w:w="60" w:type="dxa"/>
              <w:left w:w="85" w:type="dxa"/>
              <w:right w:w="85" w:type="dxa"/>
            </w:tcMar>
          </w:tcPr>
          <w:p>
            <w:pPr>
              <w:pStyle w:val="TableText"/>
              <w:keepNext/>
            </w:pPr>
            <w:r>
              <w:rPr>
                <w:b/>
                <w:color w:val="153B4C"/>
              </w:rPr>
              <w:t>Consequence for the profile</w:t>
            </w:r>
          </w:p>
        </w:tc>
      </w:tr>
      <w:tr>
        <w:trPr>
          <w:cantSplit/>
        </w:trPr>
        <w:tc>
          <w:tcPr>
            <w:tcW w:type="dxa" w:w="2088"/>
            <w:vAlign w:val="top"/>
            <w:shd w:fill="F3F6F7"/>
            <w:tcMar>
              <w:top w:w="65" w:type="dxa"/>
              <w:bottom w:w="60" w:type="dxa"/>
              <w:left w:w="85" w:type="dxa"/>
              <w:right w:w="85" w:type="dxa"/>
            </w:tcMar>
          </w:tcPr>
          <w:p>
            <w:pPr>
              <w:pStyle w:val="TableText"/>
              <w:spacing w:after="100"/>
            </w:pPr>
            <w:r>
              <w:t>Supply: powers / poweredby</w:t>
            </w:r>
          </w:p>
        </w:tc>
        <w:tc>
          <w:tcPr>
            <w:tcW w:type="dxa" w:w="4032"/>
            <w:vAlign w:val="top"/>
            <w:shd w:fill="F3F6F7"/>
            <w:tcMar>
              <w:top w:w="65" w:type="dxa"/>
              <w:bottom w:w="60" w:type="dxa"/>
              <w:left w:w="85" w:type="dxa"/>
              <w:right w:w="85" w:type="dxa"/>
            </w:tcMar>
          </w:tcPr>
          <w:p>
            <w:pPr>
              <w:pStyle w:val="TableText"/>
              <w:spacing w:after="100"/>
            </w:pPr>
            <w:r>
              <w:t>An electrical-supply connection, preferably between Power Interfaces. Framework guidance allows Energy Object fallback when interfaces cannot be modeled.</w:t>
            </w:r>
          </w:p>
        </w:tc>
        <w:tc>
          <w:tcPr>
            <w:tcW w:type="dxa" w:w="4032"/>
            <w:vAlign w:val="top"/>
            <w:shd w:fill="F3F6F7"/>
            <w:tcMar>
              <w:top w:w="65" w:type="dxa"/>
              <w:bottom w:w="60" w:type="dxa"/>
              <w:left w:w="85" w:type="dxa"/>
              <w:right w:w="85" w:type="dxa"/>
            </w:tcMar>
          </w:tcPr>
          <w:p>
            <w:pPr>
              <w:pStyle w:val="TableText"/>
              <w:spacing w:after="100"/>
            </w:pPr>
            <w:r>
              <w:t>Record known granularity. A device-level link is not proof of a fully specified connector, electrical compatibility or active flow.</w:t>
            </w:r>
          </w:p>
        </w:tc>
      </w:tr>
      <w:tr>
        <w:trPr>
          <w:cantSplit/>
        </w:trPr>
        <w:tc>
          <w:tcPr>
            <w:tcW w:type="dxa" w:w="2088"/>
            <w:vAlign w:val="top"/>
            <w:tcMar>
              <w:top w:w="65" w:type="dxa"/>
              <w:bottom w:w="60" w:type="dxa"/>
              <w:left w:w="85" w:type="dxa"/>
              <w:right w:w="85" w:type="dxa"/>
            </w:tcMar>
          </w:tcPr>
          <w:p>
            <w:pPr>
              <w:pStyle w:val="TableText"/>
              <w:spacing w:after="100"/>
            </w:pPr>
            <w:r>
              <w:t>Metering: meters / meteredby</w:t>
            </w:r>
          </w:p>
        </w:tc>
        <w:tc>
          <w:tcPr>
            <w:tcW w:type="dxa" w:w="4032"/>
            <w:vAlign w:val="top"/>
            <w:tcMar>
              <w:top w:w="65" w:type="dxa"/>
              <w:bottom w:w="60" w:type="dxa"/>
              <w:left w:w="85" w:type="dxa"/>
              <w:right w:w="85" w:type="dxa"/>
            </w:tcMar>
          </w:tcPr>
          <w:p>
            <w:pPr>
              <w:pStyle w:val="TableText"/>
              <w:spacing w:after="100"/>
            </w:pPr>
            <w:r>
              <w:t>Which Energy Object measures another object’s relevant power/energy information.</w:t>
            </w:r>
          </w:p>
        </w:tc>
        <w:tc>
          <w:tcPr>
            <w:tcW w:type="dxa" w:w="4032"/>
            <w:vAlign w:val="top"/>
            <w:tcMar>
              <w:top w:w="65" w:type="dxa"/>
              <w:bottom w:w="60" w:type="dxa"/>
              <w:left w:w="85" w:type="dxa"/>
              <w:right w:w="85" w:type="dxa"/>
            </w:tcMar>
          </w:tcPr>
          <w:p>
            <w:pPr>
              <w:pStyle w:val="TableText"/>
              <w:spacing w:after="100"/>
            </w:pPr>
            <w:r>
              <w:t>Identify the actual measurement subject and coverage; the gateway that relays data is not automatically the meter.</w:t>
            </w:r>
          </w:p>
        </w:tc>
      </w:tr>
      <w:tr>
        <w:trPr>
          <w:cantSplit/>
        </w:trPr>
        <w:tc>
          <w:tcPr>
            <w:tcW w:type="dxa" w:w="2088"/>
            <w:vAlign w:val="top"/>
            <w:shd w:fill="F3F6F7"/>
            <w:tcMar>
              <w:top w:w="65" w:type="dxa"/>
              <w:bottom w:w="60" w:type="dxa"/>
              <w:left w:w="85" w:type="dxa"/>
              <w:right w:w="85" w:type="dxa"/>
            </w:tcMar>
          </w:tcPr>
          <w:p>
            <w:pPr>
              <w:pStyle w:val="TableText"/>
              <w:spacing w:after="100"/>
            </w:pPr>
            <w:r>
              <w:t>Aggregation: aggregates / aggregatedby</w:t>
            </w:r>
          </w:p>
        </w:tc>
        <w:tc>
          <w:tcPr>
            <w:tcW w:type="dxa" w:w="4032"/>
            <w:vAlign w:val="top"/>
            <w:shd w:fill="F3F6F7"/>
            <w:tcMar>
              <w:top w:w="65" w:type="dxa"/>
              <w:bottom w:w="60" w:type="dxa"/>
              <w:left w:w="85" w:type="dxa"/>
              <w:right w:w="85" w:type="dxa"/>
            </w:tcMar>
          </w:tcPr>
          <w:p>
            <w:pPr>
              <w:pStyle w:val="TableText"/>
              <w:spacing w:after="100"/>
            </w:pPr>
            <w:r>
              <w:t>Which object provides an aggregation concerning other Energy Objects.</w:t>
            </w:r>
          </w:p>
        </w:tc>
        <w:tc>
          <w:tcPr>
            <w:tcW w:type="dxa" w:w="4032"/>
            <w:vAlign w:val="top"/>
            <w:shd w:fill="F3F6F7"/>
            <w:tcMar>
              <w:top w:w="65" w:type="dxa"/>
              <w:bottom w:w="60" w:type="dxa"/>
              <w:left w:w="85" w:type="dxa"/>
              <w:right w:w="85" w:type="dxa"/>
            </w:tcMar>
          </w:tcPr>
          <w:p>
            <w:pPr>
              <w:pStyle w:val="TableText"/>
              <w:spacing w:after="100"/>
            </w:pPr>
            <w:r>
              <w:t>Specify the property, interval, method and accounting boundary separately. Membership does not authorize summing arbitrary readings.</w:t>
            </w:r>
          </w:p>
        </w:tc>
      </w:tr>
      <w:tr>
        <w:trPr>
          <w:cantSplit/>
        </w:trPr>
        <w:tc>
          <w:tcPr>
            <w:tcW w:type="dxa" w:w="2088"/>
            <w:vAlign w:val="top"/>
            <w:tcMar>
              <w:top w:w="65" w:type="dxa"/>
              <w:bottom w:w="60" w:type="dxa"/>
              <w:left w:w="85" w:type="dxa"/>
              <w:right w:w="85" w:type="dxa"/>
            </w:tcMar>
          </w:tcPr>
          <w:p>
            <w:pPr>
              <w:pStyle w:val="TableText"/>
              <w:spacing w:after="100"/>
            </w:pPr>
            <w:r>
              <w:t>Internal power path — authored</w:t>
            </w:r>
          </w:p>
        </w:tc>
        <w:tc>
          <w:tcPr>
            <w:tcW w:type="dxa" w:w="4032"/>
            <w:vAlign w:val="top"/>
            <w:tcMar>
              <w:top w:w="65" w:type="dxa"/>
              <w:bottom w:w="60" w:type="dxa"/>
              <w:left w:w="85" w:type="dxa"/>
              <w:right w:w="85" w:type="dxa"/>
            </w:tcMar>
          </w:tcPr>
          <w:p>
            <w:pPr>
              <w:pStyle w:val="TableText"/>
              <w:spacing w:after="100"/>
            </w:pPr>
            <w:r>
              <w:t>Useful connection or functional path inside the selected device boundary.</w:t>
            </w:r>
          </w:p>
        </w:tc>
        <w:tc>
          <w:tcPr>
            <w:tcW w:type="dxa" w:w="4032"/>
            <w:vAlign w:val="top"/>
            <w:tcMar>
              <w:top w:w="65" w:type="dxa"/>
              <w:bottom w:w="60" w:type="dxa"/>
              <w:left w:w="85" w:type="dxa"/>
              <w:right w:w="85" w:type="dxa"/>
            </w:tcMar>
          </w:tcPr>
          <w:p>
            <w:pPr>
              <w:pStyle w:val="TableText"/>
              <w:spacing w:after="100"/>
            </w:pPr>
            <w:r>
              <w:t>Use an explicitly local specialization, not an inter-device EMAN relationship misapplied to every contained component.</w:t>
            </w:r>
          </w:p>
        </w:tc>
      </w:tr>
    </w:tbl>
    <w:p>
      <w:pPr>
        <w:pStyle w:val="Small"/>
        <w:spacing w:after="20"/>
      </w:pPr>
    </w:p>
    <w:p>
      <w:pPr>
        <w:pStyle w:val="Small"/>
      </w:pPr>
      <w:r>
        <w:t>Framework predicate spellings above follow the RFC 7326 model; RFC 7461’s MIB realization uses its own tokens, including powering and metering. A native adapter maps those named source elements explicitly rather than claiming identical wire values (Parello et al. 2014, §§6.6–7; Parello, Claise, and Chandramouli 2015, eoRelationType).</w:t>
      </w:r>
    </w:p>
    <w:p>
      <w:pPr>
        <w:pStyle w:val="Heading2"/>
      </w:pPr>
      <w:r>
        <w:t>6.2 Describe what is known, at the useful level</w:t>
      </w:r>
    </w:p>
    <w:p>
      <w:r>
        <w:t>Prefer the next modeled supply connection rather than adding every transitive upstream source as another direct edge. Where intermediate equipment is not modeled, preserve that limitation rather than describing a verified cable between endpoints. Interface detail improves the description, but it must not become a prerequisite that excludes legitimate equipment-level supply knowledge (Parello et al. 2014, §6.6.2).</w:t>
      </w:r>
    </w:p>
    <w:p>
      <w:r>
        <w:t>A stable supply connection and its live direction or energization are separate assertions. In a charging arrangement, the same bidirectional interface can remain connected while measured flow reverses. The profile should therefore retain an observed flow or charging state with its time, rather than derive “actively powering” from topology, presence or a selected source-priority setting alone.</w:t>
      </w:r>
    </w:p>
    <w:p>
      <w:pPr>
        <w:pStyle w:val="Heading1"/>
        <w:pageBreakBefore/>
      </w:pPr>
      <w:r>
        <w:t>6. Relationships: internal structure and shared boundaries</w:t>
      </w:r>
    </w:p>
    <w:p>
      <w:pPr>
        <w:pStyle w:val="Heading2"/>
      </w:pPr>
      <w:r>
        <w:t>6.3 Internal supply is not an inter-device topology fiction</w:t>
      </w:r>
    </w:p>
    <w:p>
      <w:r>
        <w:t>An internal battery, converter and radio can be described through the containing equipment and its components. Where the operator or integrator needs a specific internal path, add a defined internal-power-path group relating those subjects within the device boundary. This is a deliberate specialization beyond the framework’s treatment of internal transfer, not a claim that RFC 7326 requires an external supply relationship among all components (Parello et al. 2014, §6.6.2).</w:t>
      </w:r>
    </w:p>
    <w:p>
      <w:r>
        <w:t>The additional path should carry only meaningful engineering detail: its upstream and downstream subject, relevant conversion or distribution role, and applicable period when the arrangement changes. It need not reconstruct a circuit schematic, model each conductor, or turn an abstract processing input into a physical connector. A source-provided schematic or technical document can remain linked evidence for deeper inspection.</w:t>
      </w:r>
    </w:p>
    <w:p>
      <w:pPr>
        <w:pStyle w:val="Heading2"/>
      </w:pPr>
      <w:r>
        <w:t>6.4 Shared supply requires a measurement boundary</w:t>
      </w:r>
    </w:p>
    <w:p>
      <w:r>
        <w:t>A controller or distribution unit can supply both a sensing station and a gateway, while a single upstream meter observes their combined electrical power. The model should show the shared supply and the metering coverage as different relationships. It should not allocate the upstream total to the station simply because that station is the selected resource.</w:t>
      </w:r>
    </w:p>
    <w:p>
      <w:r>
        <w:t>For any derived aggregation, define the target quantity, included subjects, excluded or overlapping subjects, interval and calculation rule. Parent totals and child readings are not independent inputs when the parent already covers those children. Likewise, separate battery percentages are not generally additive, and deployment participation is not an electrical accounting boundary; an aggregated result requires an explicit method and a declared result subject.</w:t>
      </w:r>
    </w:p>
    <w:p>
      <w:pPr>
        <w:pStyle w:val="Heading2"/>
      </w:pPr>
      <w:r>
        <w:t>6.5 Preserve timing and arrangement authority</w:t>
      </w:r>
    </w:p>
    <w:p>
      <w:r>
        <w:t>Use the main profile’s authored effective-from and effective-until conditions to scope each arrangement assertion, including the inclusive-start and exclusive-end convention. A relationship can change within an otherwise continuing Deployment, so a source replacement does not require a new sensor identity or a fictitious second mission. Retain the origin of the relationship—engineering description, installation record, controller report or approved operator record—and do not merge conflicting claims without the integration’s authority rule (Main Profile 2026, §5.4).</w:t>
      </w:r>
    </w:p>
    <w:p>
      <w:pPr>
        <w:spacing w:before="100" w:after="180"/>
        <w:shd w:fill="EAF1F4"/>
      </w:pPr>
      <w:r>
        <w:rPr>
          <w:b/>
          <w:color w:val="153B4C"/>
        </w:rPr>
        <w:t>The operator-facing result is one understandable power arrangement. Containment, electrical connection, metering coverage, configuration and operating state remain distinct underneath it, without becoming five mandatory user-interface categories.</w:t>
      </w:r>
    </w:p>
    <w:p>
      <w:pPr>
        <w:pStyle w:val="Heading1"/>
        <w:pageBreakBefore/>
      </w:pPr>
      <w:r>
        <w:t>7. Operating information, estimates and service</w:t>
      </w:r>
    </w:p>
    <w:p>
      <w:pPr>
        <w:pStyle w:val="Heading2"/>
      </w:pPr>
      <w:r>
        <w:t>7.1 Readings and ratings are part of the model</w:t>
      </w:r>
    </w:p>
    <w:p>
      <w:r>
        <w:t>The domain should cover voltage, current, power, energy and demand where applicable, together with the subject and interpretation needed to use them. Ratings and operating limits describe an equipment or interface capability; samples and intervals describe operation. The power model provides a place for both without treating every value as a static characteristic or requiring one universal status stream.</w:t>
      </w:r>
    </w:p>
    <w:tbl>
      <w:tblPr>
        <w:tblW w:type="auto" w:w="0"/>
        <w:jc w:val="center"/>
        <w:tblLayout w:type="fixed"/>
        <w:tblLook w:firstColumn="1" w:firstRow="1" w:lastColumn="0" w:lastRow="0" w:noHBand="0" w:noVBand="1" w:val="04A0"/>
      </w:tblPr>
      <w:tblGrid>
        <w:gridCol w:w="2232"/>
        <w:gridCol w:w="7920"/>
      </w:tblGrid>
      <w:tr>
        <w:trPr>
          <w:tblHeader/>
          <w:cantSplit/>
        </w:trPr>
        <w:tc>
          <w:tcPr>
            <w:tcW w:type="dxa" w:w="2232"/>
            <w:shd w:fill="DDE9EE"/>
            <w:tcMar>
              <w:top w:w="65" w:type="dxa"/>
              <w:bottom w:w="60" w:type="dxa"/>
              <w:left w:w="85" w:type="dxa"/>
              <w:right w:w="85" w:type="dxa"/>
            </w:tcMar>
          </w:tcPr>
          <w:p>
            <w:pPr>
              <w:pStyle w:val="TableText"/>
              <w:keepNext/>
            </w:pPr>
            <w:r>
              <w:rPr>
                <w:b/>
                <w:color w:val="153B4C"/>
              </w:rPr>
              <w:t>Information family</w:t>
            </w:r>
          </w:p>
        </w:tc>
        <w:tc>
          <w:tcPr>
            <w:tcW w:type="dxa" w:w="7920"/>
            <w:shd w:fill="DDE9EE"/>
            <w:tcMar>
              <w:top w:w="65" w:type="dxa"/>
              <w:bottom w:w="60" w:type="dxa"/>
              <w:left w:w="85" w:type="dxa"/>
              <w:right w:w="85" w:type="dxa"/>
            </w:tcMar>
          </w:tcPr>
          <w:p>
            <w:pPr>
              <w:pStyle w:val="TableText"/>
              <w:keepNext/>
            </w:pPr>
            <w:r>
              <w:rPr>
                <w:b/>
                <w:color w:val="153B4C"/>
              </w:rPr>
              <w:t>Selected content and qualification</w:t>
            </w:r>
          </w:p>
        </w:tc>
      </w:tr>
      <w:tr>
        <w:trPr>
          <w:cantSplit/>
        </w:trPr>
        <w:tc>
          <w:tcPr>
            <w:tcW w:type="dxa" w:w="2232"/>
            <w:vAlign w:val="top"/>
            <w:shd w:fill="F3F6F7"/>
            <w:tcMar>
              <w:top w:w="65" w:type="dxa"/>
              <w:bottom w:w="60" w:type="dxa"/>
              <w:left w:w="85" w:type="dxa"/>
              <w:right w:w="85" w:type="dxa"/>
            </w:tcMar>
          </w:tcPr>
          <w:p>
            <w:pPr>
              <w:pStyle w:val="TableText"/>
              <w:spacing w:after="100"/>
            </w:pPr>
            <w:r>
              <w:t>Electrical interface and supply</w:t>
            </w:r>
          </w:p>
        </w:tc>
        <w:tc>
          <w:tcPr>
            <w:tcW w:type="dxa" w:w="7920"/>
            <w:vAlign w:val="top"/>
            <w:shd w:fill="F3F6F7"/>
            <w:tcMar>
              <w:top w:w="65" w:type="dxa"/>
              <w:bottom w:w="60" w:type="dxa"/>
              <w:left w:w="85" w:type="dxa"/>
              <w:right w:w="85" w:type="dxa"/>
            </w:tcMar>
          </w:tcPr>
          <w:p>
            <w:pPr>
              <w:pStyle w:val="TableText"/>
              <w:spacing w:after="100"/>
            </w:pPr>
            <w:r>
              <w:t>Voltage/current type and reference point; AC frequency or phase detail where needed; input/output or bidirectional role; applicable rated ranges and limits.</w:t>
            </w:r>
          </w:p>
        </w:tc>
      </w:tr>
      <w:tr>
        <w:trPr>
          <w:cantSplit/>
        </w:trPr>
        <w:tc>
          <w:tcPr>
            <w:tcW w:type="dxa" w:w="2232"/>
            <w:vAlign w:val="top"/>
            <w:tcMar>
              <w:top w:w="65" w:type="dxa"/>
              <w:bottom w:w="60" w:type="dxa"/>
              <w:left w:w="85" w:type="dxa"/>
              <w:right w:w="85" w:type="dxa"/>
            </w:tcMar>
          </w:tcPr>
          <w:p>
            <w:pPr>
              <w:pStyle w:val="TableText"/>
              <w:spacing w:after="100"/>
            </w:pPr>
            <w:r>
              <w:t>Power, energy and demand</w:t>
            </w:r>
          </w:p>
        </w:tc>
        <w:tc>
          <w:tcPr>
            <w:tcW w:type="dxa" w:w="7920"/>
            <w:vAlign w:val="top"/>
            <w:tcMar>
              <w:top w:w="65" w:type="dxa"/>
              <w:bottom w:w="60" w:type="dxa"/>
              <w:left w:w="85" w:type="dxa"/>
              <w:right w:w="85" w:type="dxa"/>
            </w:tcMar>
          </w:tcPr>
          <w:p>
            <w:pPr>
              <w:pStyle w:val="TableText"/>
              <w:spacing w:after="100"/>
            </w:pPr>
            <w:r>
              <w:t>Power in W; energy in W.h or another supported compatible unit; demand with a defined interval. Retain consumption/provision direction, coverage and counter discontinuities.</w:t>
            </w:r>
          </w:p>
        </w:tc>
      </w:tr>
      <w:tr>
        <w:trPr>
          <w:cantSplit/>
        </w:trPr>
        <w:tc>
          <w:tcPr>
            <w:tcW w:type="dxa" w:w="2232"/>
            <w:vAlign w:val="top"/>
            <w:shd w:fill="F3F6F7"/>
            <w:tcMar>
              <w:top w:w="65" w:type="dxa"/>
              <w:bottom w:w="60" w:type="dxa"/>
              <w:left w:w="85" w:type="dxa"/>
              <w:right w:w="85" w:type="dxa"/>
            </w:tcMar>
          </w:tcPr>
          <w:p>
            <w:pPr>
              <w:pStyle w:val="TableText"/>
              <w:spacing w:after="100"/>
            </w:pPr>
            <w:r>
              <w:t>Battery quantities</w:t>
            </w:r>
          </w:p>
        </w:tc>
        <w:tc>
          <w:tcPr>
            <w:tcW w:type="dxa" w:w="7920"/>
            <w:vAlign w:val="top"/>
            <w:shd w:fill="F3F6F7"/>
            <w:tcMar>
              <w:top w:w="65" w:type="dxa"/>
              <w:bottom w:w="60" w:type="dxa"/>
              <w:left w:w="85" w:type="dxa"/>
              <w:right w:w="85" w:type="dxa"/>
            </w:tcMar>
          </w:tcPr>
          <w:p>
            <w:pPr>
              <w:pStyle w:val="TableText"/>
              <w:spacing w:after="100"/>
            </w:pPr>
            <w:r>
              <w:t>Design charge capacity, current full-charge capacity and remaining charge remain separate. RFC 7577 uses charge units; CIM and other sources also define energy-capacity properties.</w:t>
            </w:r>
          </w:p>
        </w:tc>
      </w:tr>
      <w:tr>
        <w:trPr>
          <w:cantSplit/>
        </w:trPr>
        <w:tc>
          <w:tcPr>
            <w:tcW w:type="dxa" w:w="2232"/>
            <w:vAlign w:val="top"/>
            <w:tcMar>
              <w:top w:w="65" w:type="dxa"/>
              <w:bottom w:w="60" w:type="dxa"/>
              <w:left w:w="85" w:type="dxa"/>
              <w:right w:w="85" w:type="dxa"/>
            </w:tcMar>
          </w:tcPr>
          <w:p>
            <w:pPr>
              <w:pStyle w:val="TableText"/>
              <w:spacing w:after="100"/>
            </w:pPr>
            <w:r>
              <w:t>Charging and operating modes</w:t>
            </w:r>
          </w:p>
        </w:tc>
        <w:tc>
          <w:tcPr>
            <w:tcW w:type="dxa" w:w="7920"/>
            <w:vAlign w:val="top"/>
            <w:tcMar>
              <w:top w:w="65" w:type="dxa"/>
              <w:bottom w:w="60" w:type="dxa"/>
              <w:left w:w="85" w:type="dxa"/>
              <w:right w:w="85" w:type="dxa"/>
            </w:tcMar>
          </w:tcPr>
          <w:p>
            <w:pPr>
              <w:pStyle w:val="TableText"/>
              <w:spacing w:after="100"/>
            </w:pPr>
            <w:r>
              <w:t>Use a declared code space and actual source semantics. The requested charging state, actual charging state and power state are not one interchangeable status.</w:t>
            </w:r>
          </w:p>
        </w:tc>
      </w:tr>
      <w:tr>
        <w:trPr>
          <w:cantSplit/>
        </w:trPr>
        <w:tc>
          <w:tcPr>
            <w:tcW w:type="dxa" w:w="2232"/>
            <w:vAlign w:val="top"/>
            <w:shd w:fill="F3F6F7"/>
            <w:tcMar>
              <w:top w:w="65" w:type="dxa"/>
              <w:bottom w:w="60" w:type="dxa"/>
              <w:left w:w="85" w:type="dxa"/>
              <w:right w:w="85" w:type="dxa"/>
            </w:tcMar>
          </w:tcPr>
          <w:p>
            <w:pPr>
              <w:pStyle w:val="TableText"/>
              <w:spacing w:after="100"/>
            </w:pPr>
            <w:r>
              <w:t>Quality and estimation basis</w:t>
            </w:r>
          </w:p>
        </w:tc>
        <w:tc>
          <w:tcPr>
            <w:tcW w:type="dxa" w:w="7920"/>
            <w:vAlign w:val="top"/>
            <w:shd w:fill="F3F6F7"/>
            <w:tcMar>
              <w:top w:w="65" w:type="dxa"/>
              <w:bottom w:w="60" w:type="dxa"/>
              <w:left w:w="85" w:type="dxa"/>
              <w:right w:w="85" w:type="dxa"/>
            </w:tcMar>
          </w:tcPr>
          <w:p>
            <w:pPr>
              <w:pStyle w:val="TableText"/>
              <w:spacing w:after="100"/>
            </w:pPr>
            <w:r>
              <w:t>Preserve actual/estimated/static meaning, method and inputs where known. A donor property containing “actual” is not proof of direct hardware measurement.</w:t>
            </w:r>
          </w:p>
        </w:tc>
      </w:tr>
      <w:tr>
        <w:trPr>
          <w:cantSplit/>
        </w:trPr>
        <w:tc>
          <w:tcPr>
            <w:tcW w:type="dxa" w:w="2232"/>
            <w:vAlign w:val="top"/>
            <w:tcMar>
              <w:top w:w="65" w:type="dxa"/>
              <w:bottom w:w="60" w:type="dxa"/>
              <w:left w:w="85" w:type="dxa"/>
              <w:right w:w="85" w:type="dxa"/>
            </w:tcMar>
          </w:tcPr>
          <w:p>
            <w:pPr>
              <w:pStyle w:val="TableText"/>
              <w:spacing w:after="100"/>
            </w:pPr>
            <w:r>
              <w:t>Warnings and service information</w:t>
            </w:r>
          </w:p>
        </w:tc>
        <w:tc>
          <w:tcPr>
            <w:tcW w:type="dxa" w:w="7920"/>
            <w:vAlign w:val="top"/>
            <w:tcMar>
              <w:top w:w="65" w:type="dxa"/>
              <w:bottom w:w="60" w:type="dxa"/>
              <w:left w:w="85" w:type="dxa"/>
              <w:right w:w="85" w:type="dxa"/>
            </w:tcMar>
          </w:tcPr>
          <w:p>
            <w:pPr>
              <w:pStyle w:val="TableText"/>
              <w:spacing w:after="100"/>
            </w:pPr>
            <w:r>
              <w:t>Source alarms, applicable thresholds, cycle/service information, runtime and condition assessments. These are model coverage, not a required healthy/unhealthy score.</w:t>
            </w:r>
          </w:p>
        </w:tc>
      </w:tr>
    </w:tbl>
    <w:p>
      <w:pPr>
        <w:pStyle w:val="Small"/>
        <w:spacing w:after="20"/>
      </w:pPr>
    </w:p>
    <w:p>
      <w:pPr>
        <w:pStyle w:val="Small"/>
      </w:pPr>
      <w:r>
        <w:t>Basis: Chandramouli et al. 2015, §§5.4–5.7, 9; Quittek, Winter, and Dietz 2015, §§3–4; DMTF n.d.-a. The grouping, OGC placement and intended operating use in this table are this profile recommendation.</w:t>
      </w:r>
    </w:p>
    <w:p>
      <w:pPr>
        <w:pStyle w:val="Heading2"/>
      </w:pPr>
      <w:r>
        <w:t>7.2 Units are not the whole meaning</w:t>
      </w:r>
    </w:p>
    <w:p>
      <w:r>
        <w:t>Use explicit electrical quantity definitions and UCUM-compatible unit codes within SWE Common. Keep the base SensorML reference to UCUM 2.1 rather than silently replacing it with the bibliography’s inspected 2.2 edition; any edition update belongs in the later dependency decision. The familiar V, A, W, A.h and W.h examples are not a claim to have validated a complete unit-processing implementation (OGC 2025c, §3; Research Bibliography 2026, S14).</w:t>
      </w:r>
    </w:p>
    <w:p>
      <w:r>
        <w:t>QUDT Voltage can supply a generic potential-difference quantity kind, but a terminal reading still needs the electrical point, DC/AC qualification and data role. Select local qualified definitions where that richer meaning is essential, recording their connection to the generic quantity rather than declaring them synonymous. Do not exchange energy and charge capacity merely because their labels both include “capacity” (QUDT.org n.d.; Power PITON 2026, §7).</w:t>
      </w:r>
    </w:p>
    <w:p>
      <w:pPr>
        <w:pStyle w:val="Heading1"/>
        <w:pageBreakBefore/>
      </w:pPr>
      <w:r>
        <w:t>7. Operating information: runtime, condition and action</w:t>
      </w:r>
    </w:p>
    <w:p>
      <w:pPr>
        <w:pStyle w:val="Heading2"/>
      </w:pPr>
      <w:r>
        <w:t>7.3 Include estimates as legitimate information</w:t>
      </w:r>
    </w:p>
    <w:p>
      <w:r>
        <w:t>A runtime result should identify the subject expected to remain powered, the limiting condition and the load or scenario it assumes. A source’s existing estimator can be represented even when MERLIN does not implement that estimator. Known assumptions and method references improve interpretation; unavailable internal algorithm details do not require hiding a clearly labeled source estimate.</w:t>
      </w:r>
    </w:p>
    <w:p>
      <w:r>
        <w:t>Recommend one optional, exact translation of CIM_Battery.EstimatedRunTime for the present-load, external-power-absent scenario. A time-to-full-charge result can likewise use the separately defined CIM property when its current-rate and usage assumptions match. These are narrow semantic selections, not a decision to import CIM_Battery’s complete class hierarchy or its different capacity units (DMTF n.d.-a, EstimatedRunTime and TimeToFullCharge).</w:t>
      </w:r>
    </w:p>
    <w:p>
      <w:r>
        <w:t>Other estimates use a declared power-estimate record with the reported estimate, its defined endpoint/scenario, and whatever basis the producer supplies. For example, a harvesting forecast under an expected weather/load scenario is not the same result as battery-only time to depletion. A forecast or modeled energy amount must also remain distinct from the actual-energy measurement convention of RFC 7460; no new universal estimator or health percentage is selected (Chandramouli et al. 2015, §5.6).</w:t>
      </w:r>
    </w:p>
    <w:p>
      <w:pPr>
        <w:pStyle w:val="Heading2"/>
      </w:pPr>
      <w:r>
        <w:t>7.4 Condition and service retain their own meanings</w:t>
      </w:r>
    </w:p>
    <w:p>
      <w:r>
        <w:t>Battery deterioration, available charge and remaining mission operating time answer different questions. Preserve a supplier’s condition assessment and the evidence or service recommendation associated with it, but do not silently adopt a universal replacement threshold. The main profile’s assessment relationship can carry the finding; the power specialization supplies the evaluated subject and relevant electrical or storage meaning (Main Profile 2026, R20; DMTF n.d.-a, HealthPercent).</w:t>
      </w:r>
    </w:p>
    <w:p>
      <w:pPr>
        <w:pStyle w:val="Heading2"/>
      </w:pPr>
      <w:r>
        <w:t>7.5 Supported controls belong in coverage</w:t>
      </w:r>
    </w:p>
    <w:p>
      <w:r>
        <w:t>Retain charging requests, source selection, load shedding, power-state changes and applicable limits as possible supported interactions. A source must describe which interaction exists, its target and its effect; an available definition does not itself grant permission or make equipment respond. Reuse the main profile’s parameter/action bindings and CSAPI command resources rather than create a separate energy-control service.</w:t>
      </w:r>
    </w:p>
    <w:p>
      <w:r>
        <w:t>For a charging interaction based on RFC 7577, retain the difference between a requested state and the controller’s operational state. The model can explain an accepted request that has not yet produced the requested state, and a controller-driven change that occurs without that request. The integration determines actual control support and permissions; this recommendation neither executes nor mandates such an action (Quittek, Winter, and Dietz 2015, §3.5; OGC 2025b, §10).</w:t>
      </w:r>
    </w:p>
    <w:p>
      <w:pPr>
        <w:pStyle w:val="Heading1"/>
        <w:pageBreakBefore/>
      </w:pPr>
      <w:r>
        <w:t>8. Proposed OGC realization and group contracts</w:t>
      </w:r>
    </w:p>
    <w:p>
      <w:pPr>
        <w:pStyle w:val="Heading2"/>
      </w:pPr>
      <w:r>
        <w:t>8.1 Reuse the selected native structures</w:t>
      </w:r>
    </w:p>
    <w:p>
      <w:r>
        <w:t>Retain CSAPI Parts 1–2 v1.0, SensorML 3.0 JSON and SWE Common 3.0 as the binding foundation selected by the main draft. An independently represented source, controller or meter uses the appropriate System description; a reusable model uses a Procedure where that is its meaning. An embedded item stays in the owning equipment description unless its management and reuse justify a separate resource (Main Profile 2026, §§5.1–5.3).</w:t>
      </w:r>
    </w:p>
    <w:p>
      <w:r>
        <w:t>Use meaningful CharacteristicList and CapabilityList definitions, with their permitted typed properties, for the descriptive domain groups below. Do not place a bare DataRecord in SensorML AnyProperty or add undeclared top-level members for convenience. Structured operational results use DataRecord where the stream schema permits it; ordinary clients retain the underlying typed values and labels (OGC n.d.-a, DescribedObject.json and commonDefs.json; OGC 2025d, §§8–9).</w:t>
      </w:r>
    </w:p>
    <w:tbl>
      <w:tblPr>
        <w:tblW w:type="auto" w:w="0"/>
        <w:jc w:val="center"/>
        <w:tblLayout w:type="fixed"/>
        <w:tblLook w:firstColumn="1" w:firstRow="1" w:lastColumn="0" w:lastRow="0" w:noHBand="0" w:noVBand="1" w:val="04A0"/>
      </w:tblPr>
      <w:tblGrid>
        <w:gridCol w:w="1944"/>
        <w:gridCol w:w="5328"/>
        <w:gridCol w:w="2880"/>
      </w:tblGrid>
      <w:tr>
        <w:trPr>
          <w:tblHeader/>
          <w:cantSplit/>
        </w:trPr>
        <w:tc>
          <w:tcPr>
            <w:tcW w:type="dxa" w:w="1944"/>
            <w:shd w:fill="DDE9EE"/>
            <w:tcMar>
              <w:top w:w="65" w:type="dxa"/>
              <w:bottom w:w="60" w:type="dxa"/>
              <w:left w:w="85" w:type="dxa"/>
              <w:right w:w="85" w:type="dxa"/>
            </w:tcMar>
          </w:tcPr>
          <w:p>
            <w:pPr>
              <w:pStyle w:val="TableText"/>
              <w:keepNext/>
            </w:pPr>
            <w:r>
              <w:rPr>
                <w:b/>
                <w:color w:val="153B4C"/>
              </w:rPr>
              <w:t>Proposed group</w:t>
            </w:r>
          </w:p>
        </w:tc>
        <w:tc>
          <w:tcPr>
            <w:tcW w:type="dxa" w:w="5328"/>
            <w:shd w:fill="DDE9EE"/>
            <w:tcMar>
              <w:top w:w="65" w:type="dxa"/>
              <w:bottom w:w="60" w:type="dxa"/>
              <w:left w:w="85" w:type="dxa"/>
              <w:right w:w="85" w:type="dxa"/>
            </w:tcMar>
          </w:tcPr>
          <w:p>
            <w:pPr>
              <w:pStyle w:val="TableText"/>
              <w:keepNext/>
            </w:pPr>
            <w:r>
              <w:rPr>
                <w:b/>
                <w:color w:val="153B4C"/>
              </w:rPr>
              <w:t>Concrete content / selected carrier</w:t>
            </w:r>
          </w:p>
        </w:tc>
        <w:tc>
          <w:tcPr>
            <w:tcW w:type="dxa" w:w="2880"/>
            <w:shd w:fill="DDE9EE"/>
            <w:tcMar>
              <w:top w:w="65" w:type="dxa"/>
              <w:bottom w:w="60" w:type="dxa"/>
              <w:left w:w="85" w:type="dxa"/>
              <w:right w:w="85" w:type="dxa"/>
            </w:tcMar>
          </w:tcPr>
          <w:p>
            <w:pPr>
              <w:pStyle w:val="TableText"/>
              <w:keepNext/>
            </w:pPr>
            <w:r>
              <w:rPr>
                <w:b/>
                <w:color w:val="153B4C"/>
              </w:rPr>
              <w:t>Authorship and scope</w:t>
            </w:r>
          </w:p>
        </w:tc>
      </w:tr>
      <w:tr>
        <w:trPr>
          <w:cantSplit/>
        </w:trPr>
        <w:tc>
          <w:tcPr>
            <w:tcW w:type="dxa" w:w="1944"/>
            <w:vAlign w:val="top"/>
            <w:shd w:fill="F3F6F7"/>
            <w:tcMar>
              <w:top w:w="65" w:type="dxa"/>
              <w:bottom w:w="60" w:type="dxa"/>
              <w:left w:w="85" w:type="dxa"/>
              <w:right w:w="85" w:type="dxa"/>
            </w:tcMar>
          </w:tcPr>
          <w:p>
            <w:pPr>
              <w:pStyle w:val="TableText"/>
              <w:spacing w:after="100"/>
            </w:pPr>
            <w:r>
              <w:t>energy-object</w:t>
            </w:r>
          </w:p>
        </w:tc>
        <w:tc>
          <w:tcPr>
            <w:tcW w:type="dxa" w:w="5328"/>
            <w:vAlign w:val="top"/>
            <w:shd w:fill="F3F6F7"/>
            <w:tcMar>
              <w:top w:w="65" w:type="dxa"/>
              <w:bottom w:w="60" w:type="dxa"/>
              <w:left w:w="85" w:type="dxa"/>
              <w:right w:w="85" w:type="dxa"/>
            </w:tcMar>
          </w:tcPr>
          <w:p>
            <w:pPr>
              <w:pStyle w:val="TableText"/>
              <w:spacing w:after="100"/>
            </w:pPr>
            <w:r>
              <w:t>CharacteristicList on equipment: eo-identifier (UUID URI), eo-class and applicable eo-category; optional role/domain descriptors.</w:t>
            </w:r>
          </w:p>
        </w:tc>
        <w:tc>
          <w:tcPr>
            <w:tcW w:type="dxa" w:w="2880"/>
            <w:vAlign w:val="top"/>
            <w:shd w:fill="F3F6F7"/>
            <w:tcMar>
              <w:top w:w="65" w:type="dxa"/>
              <w:bottom w:w="60" w:type="dxa"/>
              <w:left w:w="85" w:type="dxa"/>
              <w:right w:w="85" w:type="dxa"/>
            </w:tcMar>
          </w:tcPr>
          <w:p>
            <w:pPr>
              <w:pStyle w:val="TableText"/>
              <w:spacing w:after="100"/>
            </w:pPr>
            <w:r>
              <w:t>OGC serialization authored; class/identifier/category meanings derived from RFC 7326.</w:t>
            </w:r>
          </w:p>
        </w:tc>
      </w:tr>
      <w:tr>
        <w:trPr>
          <w:cantSplit/>
        </w:trPr>
        <w:tc>
          <w:tcPr>
            <w:tcW w:type="dxa" w:w="1944"/>
            <w:vAlign w:val="top"/>
            <w:tcMar>
              <w:top w:w="65" w:type="dxa"/>
              <w:bottom w:w="60" w:type="dxa"/>
              <w:left w:w="85" w:type="dxa"/>
              <w:right w:w="85" w:type="dxa"/>
            </w:tcMar>
          </w:tcPr>
          <w:p>
            <w:pPr>
              <w:pStyle w:val="TableText"/>
              <w:spacing w:after="100"/>
            </w:pPr>
            <w:r>
              <w:t>power-interface</w:t>
            </w:r>
          </w:p>
        </w:tc>
        <w:tc>
          <w:tcPr>
            <w:tcW w:type="dxa" w:w="5328"/>
            <w:vAlign w:val="top"/>
            <w:tcMar>
              <w:top w:w="65" w:type="dxa"/>
              <w:bottom w:w="60" w:type="dxa"/>
              <w:left w:w="85" w:type="dxa"/>
              <w:right w:w="85" w:type="dxa"/>
            </w:tcMar>
          </w:tcPr>
          <w:p>
            <w:pPr>
              <w:pStyle w:val="TableText"/>
              <w:spacing w:after="100"/>
            </w:pPr>
            <w:r>
              <w:t>CharacteristicList with native id: eo-identifier; interface-kind (inlet/outlet/both); owner reference where not implicit; applicable rating/limit properties.</w:t>
            </w:r>
          </w:p>
        </w:tc>
        <w:tc>
          <w:tcPr>
            <w:tcW w:type="dxa" w:w="2880"/>
            <w:vAlign w:val="top"/>
            <w:tcMar>
              <w:top w:w="65" w:type="dxa"/>
              <w:bottom w:w="60" w:type="dxa"/>
              <w:left w:w="85" w:type="dxa"/>
              <w:right w:w="85" w:type="dxa"/>
            </w:tcMar>
          </w:tcPr>
          <w:p>
            <w:pPr>
              <w:pStyle w:val="TableText"/>
              <w:spacing w:after="100"/>
            </w:pPr>
            <w:r>
              <w:t>Interface concept inherited; group and qualified property bindings authored.</w:t>
            </w:r>
          </w:p>
        </w:tc>
      </w:tr>
      <w:tr>
        <w:trPr>
          <w:cantSplit/>
        </w:trPr>
        <w:tc>
          <w:tcPr>
            <w:tcW w:type="dxa" w:w="1944"/>
            <w:vAlign w:val="top"/>
            <w:shd w:fill="F3F6F7"/>
            <w:tcMar>
              <w:top w:w="65" w:type="dxa"/>
              <w:bottom w:w="60" w:type="dxa"/>
              <w:left w:w="85" w:type="dxa"/>
              <w:right w:w="85" w:type="dxa"/>
            </w:tcMar>
          </w:tcPr>
          <w:p>
            <w:pPr>
              <w:pStyle w:val="TableText"/>
              <w:spacing w:after="100"/>
            </w:pPr>
            <w:r>
              <w:t>energy-relationship</w:t>
            </w:r>
          </w:p>
        </w:tc>
        <w:tc>
          <w:tcPr>
            <w:tcW w:type="dxa" w:w="5328"/>
            <w:vAlign w:val="top"/>
            <w:shd w:fill="F3F6F7"/>
            <w:tcMar>
              <w:top w:w="65" w:type="dxa"/>
              <w:bottom w:w="60" w:type="dxa"/>
              <w:left w:w="85" w:type="dxa"/>
              <w:right w:w="85" w:type="dxa"/>
            </w:tcMar>
          </w:tcPr>
          <w:p>
            <w:pPr>
              <w:pStyle w:val="TableText"/>
              <w:spacing w:after="100"/>
            </w:pPr>
            <w:r>
              <w:t>CharacteristicList: relationship-subject-ref, energy-relationship-kind, relationship-object-ref; deployment reference when not implicit; time conditions.</w:t>
            </w:r>
          </w:p>
        </w:tc>
        <w:tc>
          <w:tcPr>
            <w:tcW w:type="dxa" w:w="2880"/>
            <w:vAlign w:val="top"/>
            <w:shd w:fill="F3F6F7"/>
            <w:tcMar>
              <w:top w:w="65" w:type="dxa"/>
              <w:bottom w:w="60" w:type="dxa"/>
              <w:left w:w="85" w:type="dxa"/>
              <w:right w:w="85" w:type="dxa"/>
            </w:tcMar>
          </w:tcPr>
          <w:p>
            <w:pPr>
              <w:pStyle w:val="TableText"/>
              <w:spacing w:after="100"/>
            </w:pPr>
            <w:r>
              <w:t>Replaces provisional power-association. Typed predicates translate framework relations.</w:t>
            </w:r>
          </w:p>
        </w:tc>
      </w:tr>
      <w:tr>
        <w:trPr>
          <w:cantSplit/>
        </w:trPr>
        <w:tc>
          <w:tcPr>
            <w:tcW w:type="dxa" w:w="1944"/>
            <w:vAlign w:val="top"/>
            <w:tcMar>
              <w:top w:w="65" w:type="dxa"/>
              <w:bottom w:w="60" w:type="dxa"/>
              <w:left w:w="85" w:type="dxa"/>
              <w:right w:w="85" w:type="dxa"/>
            </w:tcMar>
          </w:tcPr>
          <w:p>
            <w:pPr>
              <w:pStyle w:val="TableText"/>
              <w:spacing w:after="100"/>
            </w:pPr>
            <w:r>
              <w:t>internal-power-path</w:t>
            </w:r>
          </w:p>
        </w:tc>
        <w:tc>
          <w:tcPr>
            <w:tcW w:type="dxa" w:w="5328"/>
            <w:vAlign w:val="top"/>
            <w:tcMar>
              <w:top w:w="65" w:type="dxa"/>
              <w:bottom w:w="60" w:type="dxa"/>
              <w:left w:w="85" w:type="dxa"/>
              <w:right w:w="85" w:type="dxa"/>
            </w:tcMar>
          </w:tcPr>
          <w:p>
            <w:pPr>
              <w:pStyle w:val="TableText"/>
              <w:spacing w:after="100"/>
            </w:pPr>
            <w:r>
              <w:t>CharacteristicList: internal-owner-ref, from-ref, to-ref; useful function or path detail and applicable time.</w:t>
            </w:r>
          </w:p>
        </w:tc>
        <w:tc>
          <w:tcPr>
            <w:tcW w:type="dxa" w:w="2880"/>
            <w:vAlign w:val="top"/>
            <w:tcMar>
              <w:top w:w="65" w:type="dxa"/>
              <w:bottom w:w="60" w:type="dxa"/>
              <w:left w:w="85" w:type="dxa"/>
              <w:right w:w="85" w:type="dxa"/>
            </w:tcMar>
          </w:tcPr>
          <w:p>
            <w:pPr>
              <w:pStyle w:val="TableText"/>
              <w:spacing w:after="100"/>
            </w:pPr>
            <w:r>
              <w:t>Explicit local internal-arrangement specialization, not an inter-device EMAN edge.</w:t>
            </w:r>
          </w:p>
        </w:tc>
      </w:tr>
      <w:tr>
        <w:trPr>
          <w:cantSplit/>
        </w:trPr>
        <w:tc>
          <w:tcPr>
            <w:tcW w:type="dxa" w:w="1944"/>
            <w:vAlign w:val="top"/>
            <w:shd w:fill="F3F6F7"/>
            <w:tcMar>
              <w:top w:w="65" w:type="dxa"/>
              <w:bottom w:w="60" w:type="dxa"/>
              <w:left w:w="85" w:type="dxa"/>
              <w:right w:w="85" w:type="dxa"/>
            </w:tcMar>
          </w:tcPr>
          <w:p>
            <w:pPr>
              <w:pStyle w:val="TableText"/>
              <w:spacing w:after="100"/>
            </w:pPr>
            <w:r>
              <w:t>battery-characteristics</w:t>
            </w:r>
          </w:p>
        </w:tc>
        <w:tc>
          <w:tcPr>
            <w:tcW w:type="dxa" w:w="5328"/>
            <w:vAlign w:val="top"/>
            <w:shd w:fill="F3F6F7"/>
            <w:tcMar>
              <w:top w:w="65" w:type="dxa"/>
              <w:bottom w:w="60" w:type="dxa"/>
              <w:left w:w="85" w:type="dxa"/>
              <w:right w:w="85" w:type="dxa"/>
            </w:tcMar>
          </w:tcPr>
          <w:p>
            <w:pPr>
              <w:pStyle w:val="TableText"/>
              <w:spacing w:after="100"/>
            </w:pPr>
            <w:r>
              <w:t>CharacteristicList on the selected battery/store subject: applicable type, technology, design ratings, identity and service-related specifications.</w:t>
            </w:r>
          </w:p>
        </w:tc>
        <w:tc>
          <w:tcPr>
            <w:tcW w:type="dxa" w:w="2880"/>
            <w:vAlign w:val="top"/>
            <w:shd w:fill="F3F6F7"/>
            <w:tcMar>
              <w:top w:w="65" w:type="dxa"/>
              <w:bottom w:w="60" w:type="dxa"/>
              <w:left w:w="85" w:type="dxa"/>
              <w:right w:w="85" w:type="dxa"/>
            </w:tcMar>
          </w:tcPr>
          <w:p>
            <w:pPr>
              <w:pStyle w:val="TableText"/>
              <w:spacing w:after="100"/>
            </w:pPr>
            <w:r>
              <w:t>RFC 7577 specialization; changing capacity/charge and state normally use observations.</w:t>
            </w:r>
          </w:p>
        </w:tc>
      </w:tr>
      <w:tr>
        <w:trPr>
          <w:cantSplit/>
        </w:trPr>
        <w:tc>
          <w:tcPr>
            <w:tcW w:type="dxa" w:w="1944"/>
            <w:vAlign w:val="top"/>
            <w:tcMar>
              <w:top w:w="65" w:type="dxa"/>
              <w:bottom w:w="60" w:type="dxa"/>
              <w:left w:w="85" w:type="dxa"/>
              <w:right w:w="85" w:type="dxa"/>
            </w:tcMar>
          </w:tcPr>
          <w:p>
            <w:pPr>
              <w:pStyle w:val="TableText"/>
              <w:spacing w:after="100"/>
            </w:pPr>
            <w:r>
              <w:t>power-estimate</w:t>
            </w:r>
          </w:p>
        </w:tc>
        <w:tc>
          <w:tcPr>
            <w:tcW w:type="dxa" w:w="5328"/>
            <w:vAlign w:val="top"/>
            <w:tcMar>
              <w:top w:w="65" w:type="dxa"/>
              <w:bottom w:w="60" w:type="dxa"/>
              <w:left w:w="85" w:type="dxa"/>
              <w:right w:w="85" w:type="dxa"/>
            </w:tcMar>
          </w:tcPr>
          <w:p>
            <w:pPr>
              <w:pStyle w:val="TableText"/>
              <w:spacing w:after="100"/>
            </w:pPr>
            <w:r>
              <w:t>DataRecord in resultSchema: a defined estimate plus selected endpoint/scenario and basis; declared parameters or links for context.</w:t>
            </w:r>
          </w:p>
        </w:tc>
        <w:tc>
          <w:tcPr>
            <w:tcW w:type="dxa" w:w="2880"/>
            <w:vAlign w:val="top"/>
            <w:tcMar>
              <w:top w:w="65" w:type="dxa"/>
              <w:bottom w:w="60" w:type="dxa"/>
              <w:left w:w="85" w:type="dxa"/>
              <w:right w:w="85" w:type="dxa"/>
            </w:tcMar>
          </w:tcPr>
          <w:p>
            <w:pPr>
              <w:pStyle w:val="TableText"/>
              <w:spacing w:after="100"/>
            </w:pPr>
            <w:r>
              <w:t>Authored common form; exact estimate meaning can be translated or source-specific.</w:t>
            </w:r>
          </w:p>
        </w:tc>
      </w:tr>
    </w:tbl>
    <w:p>
      <w:pPr>
        <w:pStyle w:val="Small"/>
        <w:spacing w:after="20"/>
      </w:pPr>
    </w:p>
    <w:p>
      <w:pPr>
        <w:pStyle w:val="Small"/>
      </w:pPr>
      <w:r>
        <w:t>These tokens are proposed power-domain names, not published OGC definitions or a complete mandatory dictionary. Retain the main draft’s P namespace only when referring to existing placeholders; use a distinct example Q namespace for the proposed module until publication ownership and versioning are agreed. Section 10 gives a binding excerpt, not a replacement schema package.</w:t>
      </w:r>
    </w:p>
    <w:p>
      <w:pPr>
        <w:pStyle w:val="Heading1"/>
        <w:pageBreakBefore/>
      </w:pPr>
      <w:r>
        <w:t>8. Binding refinement: recognition and subject references</w:t>
      </w:r>
    </w:p>
    <w:p>
      <w:pPr>
        <w:pStyle w:val="Heading2"/>
      </w:pPr>
      <w:r>
        <w:t>8.2 Select owner#id; retain sourceKey only as an adapter alias</w:t>
      </w:r>
    </w:p>
    <w:p>
      <w:r>
        <w:t>Recommend the main profile’s owner-resource URL plus #id convention for embedded-reference serialization. It reuses native ids already present on the chosen groups or components, avoiding a second public sourceKey identification scheme for the same target. This remains a profile-defined lookup rule over the selected SensorML JSON representation, not universal fragment behavior implemented by every JSON or web client (Main Profile 2026, §5.3; Power Decision Sheet 2026, §3).</w:t>
      </w:r>
    </w:p>
    <w:p>
      <w:r>
        <w:t>The producer supplies an id unique within the complete owning representation and preserves it for the same target through revisions. The consumer fetches that owner in the agreed representation, locates the id within the declared native structures and checks the target’s expected kind. Use native XLinks for independent resources wherever the base carrier supports them; a relationship encoded as SWE Text remains an explicitly defined URI reference, not a disguised XLink.</w:t>
      </w:r>
    </w:p>
    <w:p>
      <w:r>
        <w:t>Keep sourceKey only in the integration’s mapping from legacy source identifiers to these references. An Energy Object UUID complements the location reference rather than competing with it: the UUID identifies the modeled subject, while owner#id identifies its current embedded representation. When equipment moves between owners, retain its persistent identifier and publish the new location through the integration’s known mappings; do not pretend an old owner-fragment automatically redirects.</w:t>
      </w:r>
    </w:p>
    <w:p>
      <w:pPr>
        <w:pStyle w:val="Heading2"/>
      </w:pPr>
      <w:r>
        <w:t>8.3 Replacement and historical resolution</w:t>
      </w:r>
    </w:p>
    <w:p>
      <w:r>
        <w:t>A replaced item receives neither the old pack’s id nor its UUID; the continuing slot or Power Interface retains its own identity. Historical relationships need a retained description revision, immutable representation link or equivalent source-supported history that still resolves the old target. This recommendation does not invent a universal version-query parameter, and it does not require all small replaceable items to be independently registered Systems.</w:t>
      </w:r>
    </w:p>
    <w:p>
      <w:pPr>
        <w:pStyle w:val="Heading2"/>
      </w:pPr>
      <w:r>
        <w:t>8.4 Profile declaration without a parallel API</w:t>
      </w:r>
    </w:p>
    <w:p>
      <w:r>
        <w:t>Retain RFC 6906 profile links for the additional representation semantics and use the selected group definitions to identify content. Propose a power-domain profile scope that imports the common reference rules, plus a separately stated service-access capability where native SystemEvents are required. Neither a profile URI nor a group label installs domain understanding; consumers implement the meaning and supported binding edition explicitly (Wilde 2013, §§3–5).</w:t>
      </w:r>
    </w:p>
    <w:p>
      <w:r>
        <w:t>A generic Features client can continue to use the feature representation and links it supports; a SensorML/SWE client can inspect typed domain content without understanding the specialized relationships. A profile-aware client can assemble those relationships into the working power arrangement. Unfamiliar content therefore remains readable without a promise that every existing client can navigate it or interpret an estimate correctly.</w:t>
      </w:r>
    </w:p>
    <w:p>
      <w:pPr>
        <w:pStyle w:val="Heading1"/>
        <w:pageBreakBefore/>
      </w:pPr>
      <w:r>
        <w:t>9. Binding operating records to the right subjects</w:t>
      </w:r>
    </w:p>
    <w:p>
      <w:pPr>
        <w:pStyle w:val="Heading2"/>
      </w:pPr>
      <w:r>
        <w:t>9.1 Producer, measured subject and metering role</w:t>
      </w:r>
    </w:p>
    <w:p>
      <w:r>
        <w:t>Use DataStream.system@link for the producing System, and the native feature-of-interest association for the observed equipment. Where a reading concerns an embedded interface or component, retain the main profile’s declared parametersSchema subjectRef refinement within that feature. The power domain adds the metering relationship and measurement coverage; the actual meter, a reporting system and an intermediary communications gateway must not be conflated (Main Profile 2026, R10–R11, R17; OGC 2025b, §§9, 16.1).</w:t>
      </w:r>
    </w:p>
    <w:p>
      <w:r>
        <w:t>The refinement remains contextual data, not a new top-level Observation field. A result concerning an unrelated battery cannot be redirected through subjectRef while leaving the native subject as the station. Equally, a voltage concerning a whole battery may remain associated with that battery without pretending that an unmodeled terminal has an independent identity.</w:t>
      </w:r>
    </w:p>
    <w:p>
      <w:pPr>
        <w:pStyle w:val="Heading2"/>
      </w:pPr>
      <w:r>
        <w:t>9.2 Precise location and schema of a value</w:t>
      </w:r>
    </w:p>
    <w:tbl>
      <w:tblPr>
        <w:tblW w:type="auto" w:w="0"/>
        <w:jc w:val="center"/>
        <w:tblLayout w:type="fixed"/>
        <w:tblLook w:firstColumn="1" w:firstRow="1" w:lastColumn="0" w:lastRow="0" w:noHBand="0" w:noVBand="1" w:val="04A0"/>
      </w:tblPr>
      <w:tblGrid>
        <w:gridCol w:w="2664"/>
        <w:gridCol w:w="7488"/>
      </w:tblGrid>
      <w:tr>
        <w:trPr>
          <w:tblHeader/>
          <w:cantSplit/>
        </w:trPr>
        <w:tc>
          <w:tcPr>
            <w:tcW w:type="dxa" w:w="2664"/>
            <w:shd w:fill="DDE9EE"/>
            <w:tcMar>
              <w:top w:w="65" w:type="dxa"/>
              <w:bottom w:w="60" w:type="dxa"/>
              <w:left w:w="85" w:type="dxa"/>
              <w:right w:w="85" w:type="dxa"/>
            </w:tcMar>
          </w:tcPr>
          <w:p>
            <w:pPr>
              <w:pStyle w:val="TableText"/>
              <w:keepNext/>
            </w:pPr>
            <w:r>
              <w:rPr>
                <w:b/>
                <w:color w:val="153B4C"/>
              </w:rPr>
              <w:t>Information</w:t>
            </w:r>
          </w:p>
        </w:tc>
        <w:tc>
          <w:tcPr>
            <w:tcW w:type="dxa" w:w="7488"/>
            <w:shd w:fill="DDE9EE"/>
            <w:tcMar>
              <w:top w:w="65" w:type="dxa"/>
              <w:bottom w:w="60" w:type="dxa"/>
              <w:left w:w="85" w:type="dxa"/>
              <w:right w:w="85" w:type="dxa"/>
            </w:tcMar>
          </w:tcPr>
          <w:p>
            <w:pPr>
              <w:pStyle w:val="TableText"/>
              <w:keepNext/>
            </w:pPr>
            <w:r>
              <w:rPr>
                <w:b/>
                <w:color w:val="153B4C"/>
              </w:rPr>
              <w:t>Proposed native binding</w:t>
            </w:r>
          </w:p>
        </w:tc>
      </w:tr>
      <w:tr>
        <w:trPr>
          <w:cantSplit/>
        </w:trPr>
        <w:tc>
          <w:tcPr>
            <w:tcW w:type="dxa" w:w="2664"/>
            <w:vAlign w:val="top"/>
            <w:shd w:fill="F3F6F7"/>
            <w:tcMar>
              <w:top w:w="65" w:type="dxa"/>
              <w:bottom w:w="60" w:type="dxa"/>
              <w:left w:w="85" w:type="dxa"/>
              <w:right w:w="85" w:type="dxa"/>
            </w:tcMar>
          </w:tcPr>
          <w:p>
            <w:pPr>
              <w:pStyle w:val="TableText"/>
              <w:spacing w:after="100"/>
            </w:pPr>
            <w:r>
              <w:t>Static source or interface ratings</w:t>
            </w:r>
          </w:p>
        </w:tc>
        <w:tc>
          <w:tcPr>
            <w:tcW w:type="dxa" w:w="7488"/>
            <w:vAlign w:val="top"/>
            <w:shd w:fill="F3F6F7"/>
            <w:tcMar>
              <w:top w:w="65" w:type="dxa"/>
              <w:bottom w:w="60" w:type="dxa"/>
              <w:left w:w="85" w:type="dxa"/>
              <w:right w:w="85" w:type="dxa"/>
            </w:tcMar>
          </w:tcPr>
          <w:p>
            <w:pPr>
              <w:pStyle w:val="TableText"/>
              <w:spacing w:after="100"/>
            </w:pPr>
            <w:r>
              <w:t>System/component characteristics[]; qualified groups and typed properties. Capabilities and their conditions describe supported limits where appropriate.</w:t>
            </w:r>
          </w:p>
        </w:tc>
      </w:tr>
      <w:tr>
        <w:trPr>
          <w:cantSplit/>
        </w:trPr>
        <w:tc>
          <w:tcPr>
            <w:tcW w:type="dxa" w:w="2664"/>
            <w:vAlign w:val="top"/>
            <w:tcMar>
              <w:top w:w="65" w:type="dxa"/>
              <w:bottom w:w="60" w:type="dxa"/>
              <w:left w:w="85" w:type="dxa"/>
              <w:right w:w="85" w:type="dxa"/>
            </w:tcMar>
          </w:tcPr>
          <w:p>
            <w:pPr>
              <w:pStyle w:val="TableText"/>
              <w:spacing w:after="100"/>
            </w:pPr>
            <w:r>
              <w:t>Operating electrical value</w:t>
            </w:r>
          </w:p>
        </w:tc>
        <w:tc>
          <w:tcPr>
            <w:tcW w:type="dxa" w:w="7488"/>
            <w:vAlign w:val="top"/>
            <w:tcMar>
              <w:top w:w="65" w:type="dxa"/>
              <w:bottom w:w="60" w:type="dxa"/>
              <w:left w:w="85" w:type="dxa"/>
              <w:right w:w="85" w:type="dxa"/>
            </w:tcMar>
          </w:tcPr>
          <w:p>
            <w:pPr>
              <w:pStyle w:val="TableText"/>
              <w:spacing w:after="100"/>
            </w:pPr>
            <w:r>
              <w:t>Observation.result; scalar Quantity or declared DataRecord in resultSchema. Match the DataStream outputName and producing System to the described output.</w:t>
            </w:r>
          </w:p>
        </w:tc>
      </w:tr>
      <w:tr>
        <w:trPr>
          <w:cantSplit/>
        </w:trPr>
        <w:tc>
          <w:tcPr>
            <w:tcW w:type="dxa" w:w="2664"/>
            <w:vAlign w:val="top"/>
            <w:shd w:fill="F3F6F7"/>
            <w:tcMar>
              <w:top w:w="65" w:type="dxa"/>
              <w:bottom w:w="60" w:type="dxa"/>
              <w:left w:w="85" w:type="dxa"/>
              <w:right w:w="85" w:type="dxa"/>
            </w:tcMar>
          </w:tcPr>
          <w:p>
            <w:pPr>
              <w:pStyle w:val="TableText"/>
              <w:spacing w:after="100"/>
            </w:pPr>
            <w:r>
              <w:t>Embedded measurement point</w:t>
            </w:r>
          </w:p>
        </w:tc>
        <w:tc>
          <w:tcPr>
            <w:tcW w:type="dxa" w:w="7488"/>
            <w:vAlign w:val="top"/>
            <w:shd w:fill="F3F6F7"/>
            <w:tcMar>
              <w:top w:w="65" w:type="dxa"/>
              <w:bottom w:w="60" w:type="dxa"/>
              <w:left w:w="85" w:type="dxa"/>
              <w:right w:w="85" w:type="dxa"/>
            </w:tcMar>
          </w:tcPr>
          <w:p>
            <w:pPr>
              <w:pStyle w:val="TableText"/>
              <w:spacing w:after="100"/>
            </w:pPr>
            <w:r>
              <w:t>Declared Text subjectRef in parametersSchema and Observation.parameters; target resolves within the native observed feature.</w:t>
            </w:r>
          </w:p>
        </w:tc>
      </w:tr>
      <w:tr>
        <w:trPr>
          <w:cantSplit/>
        </w:trPr>
        <w:tc>
          <w:tcPr>
            <w:tcW w:type="dxa" w:w="2664"/>
            <w:vAlign w:val="top"/>
            <w:tcMar>
              <w:top w:w="65" w:type="dxa"/>
              <w:bottom w:w="60" w:type="dxa"/>
              <w:left w:w="85" w:type="dxa"/>
              <w:right w:w="85" w:type="dxa"/>
            </w:tcMar>
          </w:tcPr>
          <w:p>
            <w:pPr>
              <w:pStyle w:val="TableText"/>
              <w:spacing w:after="100"/>
            </w:pPr>
            <w:r>
              <w:t>Employment and measurement basis</w:t>
            </w:r>
          </w:p>
        </w:tc>
        <w:tc>
          <w:tcPr>
            <w:tcW w:type="dxa" w:w="7488"/>
            <w:vAlign w:val="top"/>
            <w:tcMar>
              <w:top w:w="65" w:type="dxa"/>
              <w:bottom w:w="60" w:type="dxa"/>
              <w:left w:w="85" w:type="dxa"/>
              <w:right w:w="85" w:type="dxa"/>
            </w:tcMar>
          </w:tcPr>
          <w:p>
            <w:pPr>
              <w:pStyle w:val="TableText"/>
              <w:spacing w:after="100"/>
            </w:pPr>
            <w:r>
              <w:t>Declared deploymentRef and applicable method/scenario/input references in parametersSchema, or source-supported native links. An EMAN domain is not substituted for deploymentRef.</w:t>
            </w:r>
          </w:p>
        </w:tc>
      </w:tr>
      <w:tr>
        <w:trPr>
          <w:cantSplit/>
        </w:trPr>
        <w:tc>
          <w:tcPr>
            <w:tcW w:type="dxa" w:w="2664"/>
            <w:vAlign w:val="top"/>
            <w:shd w:fill="F3F6F7"/>
            <w:tcMar>
              <w:top w:w="65" w:type="dxa"/>
              <w:bottom w:w="60" w:type="dxa"/>
              <w:left w:w="85" w:type="dxa"/>
              <w:right w:w="85" w:type="dxa"/>
            </w:tcMar>
          </w:tcPr>
          <w:p>
            <w:pPr>
              <w:pStyle w:val="TableText"/>
              <w:spacing w:after="100"/>
            </w:pPr>
            <w:r>
              <w:t>Configuration or requested change</w:t>
            </w:r>
          </w:p>
        </w:tc>
        <w:tc>
          <w:tcPr>
            <w:tcW w:type="dxa" w:w="7488"/>
            <w:vAlign w:val="top"/>
            <w:shd w:fill="F3F6F7"/>
            <w:tcMar>
              <w:top w:w="65" w:type="dxa"/>
              <w:bottom w:w="60" w:type="dxa"/>
              <w:left w:w="85" w:type="dxa"/>
              <w:right w:w="85" w:type="dxa"/>
            </w:tcMar>
          </w:tcPr>
          <w:p>
            <w:pPr>
              <w:pStyle w:val="TableText"/>
              <w:spacing w:after="100"/>
            </w:pPr>
            <w:r>
              <w:t>Native parameters/modes and Settings; R09/R12 action bindings and ControlStream inputName. Preserve command, progress, result and later operational evidence.</w:t>
            </w:r>
          </w:p>
        </w:tc>
      </w:tr>
      <w:tr>
        <w:trPr>
          <w:cantSplit/>
        </w:trPr>
        <w:tc>
          <w:tcPr>
            <w:tcW w:type="dxa" w:w="2664"/>
            <w:vAlign w:val="top"/>
            <w:tcMar>
              <w:top w:w="65" w:type="dxa"/>
              <w:bottom w:w="60" w:type="dxa"/>
              <w:left w:w="85" w:type="dxa"/>
              <w:right w:w="85" w:type="dxa"/>
            </w:tcMar>
          </w:tcPr>
          <w:p>
            <w:pPr>
              <w:pStyle w:val="TableText"/>
              <w:spacing w:after="100"/>
            </w:pPr>
            <w:r>
              <w:t>Sample/interval time</w:t>
            </w:r>
          </w:p>
        </w:tc>
        <w:tc>
          <w:tcPr>
            <w:tcW w:type="dxa" w:w="7488"/>
            <w:vAlign w:val="top"/>
            <w:tcMar>
              <w:top w:w="65" w:type="dxa"/>
              <w:bottom w:w="60" w:type="dxa"/>
              <w:left w:w="85" w:type="dxa"/>
              <w:right w:w="85" w:type="dxa"/>
            </w:tcMar>
          </w:tcPr>
          <w:p>
            <w:pPr>
              <w:pStyle w:val="TableText"/>
              <w:spacing w:after="100"/>
            </w:pPr>
            <w:r>
              <w:t>Use native phenomenonTime and resultTime for their documented roles; retain named source times separately where their meaning differs or remains unresolved.</w:t>
            </w:r>
          </w:p>
        </w:tc>
      </w:tr>
    </w:tbl>
    <w:p>
      <w:pPr>
        <w:pStyle w:val="Small"/>
        <w:spacing w:after="20"/>
      </w:pPr>
    </w:p>
    <w:p>
      <w:pPr>
        <w:pStyle w:val="Heading2"/>
      </w:pPr>
      <w:r>
        <w:t>9.3 Source replacement must not rewrite the stream’s subject</w:t>
      </w:r>
    </w:p>
    <w:p>
      <w:r>
        <w:t>The existing power stream fixes its observed subject to power-b. Recommend source-scoped streams for the illustrated A/B replacement so historical readings retain their actual subject; an alternative variable-subject stream requires a deliberately specified native per-observation association. Do not update one fixed stream link to B and silently make its earlier A readings appear to describe B (Connected Example 2026, files 16–18).</w:t>
      </w:r>
    </w:p>
    <w:p>
      <w:r>
        <w:t>Use the observations’ actual times and the arrangement’s applicable period to assemble the historical view. A retrieved record is not thereby a new measurement, and an estimate’s result generation time is not necessarily the time of every input it uses. These binding rules support the operating picture without forcing the operator to browse separate schema families.</w:t>
      </w:r>
    </w:p>
    <w:p>
      <w:pPr>
        <w:pStyle w:val="Heading1"/>
        <w:pageBreakBefore/>
      </w:pPr>
      <w:r>
        <w:t>9. Binding refinement: quantities and compatibility</w:t>
      </w:r>
    </w:p>
    <w:p>
      <w:pPr>
        <w:pStyle w:val="Heading2"/>
      </w:pPr>
      <w:r>
        <w:t>9.4 Replace the illustrative voltage definition explicitly</w:t>
      </w:r>
    </w:p>
    <w:p>
      <w:r>
        <w:t>Recommend replacing P/term/supply-terminal-voltage in the enriched example with Q/term/dc-battery-terminal-voltage. Define the proposed quantity as the electrical potential of the identified battery’s positive terminal relative to its negative terminal at the stated observation time, expressed in volts. This is a locally qualified definition related to QUDT Voltage and checked against RFC 7577 batteryActualVoltage; it is not a claim that the new Q identifier is published by either organization (QUDT.org n.d.; Quittek, Winter, and Dietz 2015, batteryActualVoltage).</w:t>
      </w:r>
    </w:p>
    <w:p>
      <w:r>
        <w:t>For the pack-B example, use that definition in the described output, DataStream.observedProperties and resultSchema, retaining Quantity and uom.code=V. The Observation result remains the fictional 12.6 and its declared subject refinement identifies the modeled battery terminal. Do not generalize this definition to AC voltage, a regulated controller output, or a nominal nameplate value; those require their own qualified meaning and reference point.</w:t>
      </w:r>
    </w:p>
    <w:p>
      <w:pPr>
        <w:pStyle w:val="Heading2"/>
      </w:pPr>
      <w:r>
        <w:t>9.5 Ratings and compatibility need explicit scope</w:t>
      </w:r>
    </w:p>
    <w:p>
      <w:r>
        <w:t>Represent a supported input-voltage range with an applicable QuantityRange and rated output information with the appropriate typed property on the source or interface. Declare current type, polarity or terminal convention, connector/specification reference and applicable current/power limits where the engineering source supplies them. Those are proposed power-domain properties and constraints, not new mandatory fields that every source must populate, and they must not be confused with sampled Power Attributes (OGC 2025d, §9; Parello et al. 2014, terminology and §6).</w:t>
      </w:r>
    </w:p>
    <w:p>
      <w:r>
        <w:t>A matching nominal voltage does not establish a compatible replacement. The profile should make the relevant ratings and declared compatibility information available, but an automatic suitability decision would need an explicitly selected rule considering all applicable engineering constraints. Until such a rule is adopted, the client can explain the reported arrangement and link its technical evidence without certifying that a proposed cable, charger or pack is safe to use.</w:t>
      </w:r>
    </w:p>
    <w:p>
      <w:pPr>
        <w:pStyle w:val="Heading2"/>
      </w:pPr>
      <w:r>
        <w:t>9.6 Complete the estimate record without inventing its method</w:t>
      </w:r>
    </w:p>
    <w:p>
      <w:r>
        <w:t>The proposed power-estimate result uses a DataRecord whose estimate field has an exact quantity definition and unit, plus declared fields for the endpoint or scenario when the estimate definition does not already fix them. Its parametersSchema can carry subjectRef, deploymentRef, a method reference and source-provided input references or snapshots, each with a defined meaning. Required content for a recognized estimate must identify what is estimated and its subject; the profile should distinguish an undisclosed method from an absent estimate, rather than discard the result.</w:t>
      </w:r>
    </w:p>
    <w:p>
      <w:r>
        <w:t>For the selected CIM runtime translation, the definition fixes depletion under present load and the stated absence of external power, with minutes as its source unit. A different operational-runtime forecast receives a different definition and retains its own load or charging assumptions. This is how the model includes runtime now without importing a universal algorithm or repurposing every battery-life label into the same property (DMTF n.d.-a, EstimatedRunTime).</w:t>
      </w:r>
    </w:p>
    <w:p>
      <w:pPr>
        <w:pStyle w:val="Heading1"/>
        <w:pageBreakBefore/>
      </w:pPr>
      <w:r>
        <w:t>10. Service history: select access without duplicating events</w:t>
      </w:r>
    </w:p>
    <w:p>
      <w:pPr>
        <w:pStyle w:val="Heading2"/>
      </w:pPr>
      <w:r>
        <w:t>10.1 Prefer native SystemEvent for operational service history</w:t>
      </w:r>
    </w:p>
    <w:p>
      <w:r>
        <w:t>CSAPI Part 2 already defines SystemEvent access, including system-specific event collections and canonical event resources. Its examples include part replacement and other lifecycle changes; the JSON encoding extends SensorML Event and requires definition, label and time. Recommend that a claimed operational service-history capability use this native access where supported, rather than relying exclusively on an ever-growing embedded history array (OGC 2025b, §§12, 16.1.11; OGC n.d.-b, systemEvent.json).</w:t>
      </w:r>
    </w:p>
    <w:p>
      <w:r>
        <w:t>Embedded SensorML history remains a valid descriptive or archive representation, including for a server without the optional System Events capability. Its absence must not exclude an otherwise useful power description. The main profile should therefore distinguish descriptive history support from the stronger native service-access scope, and state what each producer and consumer promises.</w:t>
      </w:r>
    </w:p>
    <w:tbl>
      <w:tblPr>
        <w:tblW w:type="auto" w:w="0"/>
        <w:jc w:val="center"/>
        <w:tblLayout w:type="fixed"/>
        <w:tblLook w:firstColumn="1" w:firstRow="1" w:lastColumn="0" w:lastRow="0" w:noHBand="0" w:noVBand="1" w:val="04A0"/>
      </w:tblPr>
      <w:tblGrid>
        <w:gridCol w:w="1872"/>
        <w:gridCol w:w="4392"/>
        <w:gridCol w:w="3888"/>
      </w:tblGrid>
      <w:tr>
        <w:trPr>
          <w:tblHeader/>
          <w:cantSplit/>
        </w:trPr>
        <w:tc>
          <w:tcPr>
            <w:tcW w:type="dxa" w:w="1872"/>
            <w:shd w:fill="DDE9EE"/>
            <w:tcMar>
              <w:top w:w="65" w:type="dxa"/>
              <w:bottom w:w="60" w:type="dxa"/>
              <w:left w:w="85" w:type="dxa"/>
              <w:right w:w="85" w:type="dxa"/>
            </w:tcMar>
          </w:tcPr>
          <w:p>
            <w:pPr>
              <w:pStyle w:val="TableText"/>
              <w:keepNext/>
            </w:pPr>
            <w:r>
              <w:rPr>
                <w:b/>
                <w:color w:val="153B4C"/>
              </w:rPr>
              <w:t>Option</w:t>
            </w:r>
          </w:p>
        </w:tc>
        <w:tc>
          <w:tcPr>
            <w:tcW w:type="dxa" w:w="4392"/>
            <w:shd w:fill="DDE9EE"/>
            <w:tcMar>
              <w:top w:w="65" w:type="dxa"/>
              <w:bottom w:w="60" w:type="dxa"/>
              <w:left w:w="85" w:type="dxa"/>
              <w:right w:w="85" w:type="dxa"/>
            </w:tcMar>
          </w:tcPr>
          <w:p>
            <w:pPr>
              <w:pStyle w:val="TableText"/>
              <w:keepNext/>
            </w:pPr>
            <w:r>
              <w:rPr>
                <w:b/>
                <w:color w:val="153B4C"/>
              </w:rPr>
              <w:t>Recommended role</w:t>
            </w:r>
          </w:p>
        </w:tc>
        <w:tc>
          <w:tcPr>
            <w:tcW w:type="dxa" w:w="3888"/>
            <w:shd w:fill="DDE9EE"/>
            <w:tcMar>
              <w:top w:w="65" w:type="dxa"/>
              <w:bottom w:w="60" w:type="dxa"/>
              <w:left w:w="85" w:type="dxa"/>
              <w:right w:w="85" w:type="dxa"/>
            </w:tcMar>
          </w:tcPr>
          <w:p>
            <w:pPr>
              <w:pStyle w:val="TableText"/>
              <w:keepNext/>
            </w:pPr>
            <w:r>
              <w:rPr>
                <w:b/>
                <w:color w:val="153B4C"/>
              </w:rPr>
              <w:t>Reference treatment</w:t>
            </w:r>
          </w:p>
        </w:tc>
      </w:tr>
      <w:tr>
        <w:trPr>
          <w:cantSplit/>
        </w:trPr>
        <w:tc>
          <w:tcPr>
            <w:tcW w:type="dxa" w:w="1872"/>
            <w:vAlign w:val="top"/>
            <w:shd w:fill="F3F6F7"/>
            <w:tcMar>
              <w:top w:w="65" w:type="dxa"/>
              <w:bottom w:w="60" w:type="dxa"/>
              <w:left w:w="85" w:type="dxa"/>
              <w:right w:w="85" w:type="dxa"/>
            </w:tcMar>
          </w:tcPr>
          <w:p>
            <w:pPr>
              <w:pStyle w:val="TableText"/>
              <w:spacing w:after="100"/>
            </w:pPr>
            <w:r>
              <w:t>Native SystemEvent</w:t>
            </w:r>
          </w:p>
        </w:tc>
        <w:tc>
          <w:tcPr>
            <w:tcW w:type="dxa" w:w="4392"/>
            <w:vAlign w:val="top"/>
            <w:shd w:fill="F3F6F7"/>
            <w:tcMar>
              <w:top w:w="65" w:type="dxa"/>
              <w:bottom w:w="60" w:type="dxa"/>
              <w:left w:w="85" w:type="dxa"/>
              <w:right w:w="85" w:type="dxa"/>
            </w:tcMar>
          </w:tcPr>
          <w:p>
            <w:pPr>
              <w:pStyle w:val="TableText"/>
              <w:spacing w:after="100"/>
            </w:pPr>
            <w:r>
              <w:t>Preferred for queryable operating/service history when the relevant optional class is implemented.</w:t>
            </w:r>
          </w:p>
        </w:tc>
        <w:tc>
          <w:tcPr>
            <w:tcW w:type="dxa" w:w="3888"/>
            <w:vAlign w:val="top"/>
            <w:shd w:fill="F3F6F7"/>
            <w:tcMar>
              <w:top w:w="65" w:type="dxa"/>
              <w:bottom w:w="60" w:type="dxa"/>
              <w:left w:w="85" w:type="dxa"/>
              <w:right w:w="85" w:type="dxa"/>
            </w:tcMar>
          </w:tcPr>
          <w:p>
            <w:pPr>
              <w:pStyle w:val="TableText"/>
              <w:spacing w:after="100"/>
            </w:pPr>
            <w:r>
              <w:t>Use the canonical event URI and system event association; preserve affected subjects and deployment context.</w:t>
            </w:r>
          </w:p>
        </w:tc>
      </w:tr>
      <w:tr>
        <w:trPr>
          <w:cantSplit/>
        </w:trPr>
        <w:tc>
          <w:tcPr>
            <w:tcW w:type="dxa" w:w="1872"/>
            <w:vAlign w:val="top"/>
            <w:tcMar>
              <w:top w:w="65" w:type="dxa"/>
              <w:bottom w:w="60" w:type="dxa"/>
              <w:left w:w="85" w:type="dxa"/>
              <w:right w:w="85" w:type="dxa"/>
            </w:tcMar>
          </w:tcPr>
          <w:p>
            <w:pPr>
              <w:pStyle w:val="TableText"/>
              <w:spacing w:after="100"/>
            </w:pPr>
            <w:r>
              <w:t>Embedded history[] Event</w:t>
            </w:r>
          </w:p>
        </w:tc>
        <w:tc>
          <w:tcPr>
            <w:tcW w:type="dxa" w:w="4392"/>
            <w:vAlign w:val="top"/>
            <w:tcMar>
              <w:top w:w="65" w:type="dxa"/>
              <w:bottom w:w="60" w:type="dxa"/>
              <w:left w:w="85" w:type="dxa"/>
              <w:right w:w="85" w:type="dxa"/>
            </w:tcMar>
          </w:tcPr>
          <w:p>
            <w:pPr>
              <w:pStyle w:val="TableText"/>
              <w:spacing w:after="100"/>
            </w:pPr>
            <w:r>
              <w:t>Supported descriptive/archive alternative and a possible selected snapshot.</w:t>
            </w:r>
          </w:p>
        </w:tc>
        <w:tc>
          <w:tcPr>
            <w:tcW w:type="dxa" w:w="3888"/>
            <w:vAlign w:val="top"/>
            <w:tcMar>
              <w:top w:w="65" w:type="dxa"/>
              <w:bottom w:w="60" w:type="dxa"/>
              <w:left w:w="85" w:type="dxa"/>
              <w:right w:w="85" w:type="dxa"/>
            </w:tcMar>
          </w:tcPr>
          <w:p>
            <w:pPr>
              <w:pStyle w:val="TableText"/>
              <w:spacing w:after="100"/>
            </w:pPr>
            <w:r>
              <w:t>Use owner#event-id with a stable cross-representation event identifier when needed.</w:t>
            </w:r>
          </w:p>
        </w:tc>
      </w:tr>
      <w:tr>
        <w:trPr>
          <w:cantSplit/>
        </w:trPr>
        <w:tc>
          <w:tcPr>
            <w:tcW w:type="dxa" w:w="1872"/>
            <w:vAlign w:val="top"/>
            <w:shd w:fill="F3F6F7"/>
            <w:tcMar>
              <w:top w:w="65" w:type="dxa"/>
              <w:bottom w:w="60" w:type="dxa"/>
              <w:left w:w="85" w:type="dxa"/>
              <w:right w:w="85" w:type="dxa"/>
            </w:tcMar>
          </w:tcPr>
          <w:p>
            <w:pPr>
              <w:pStyle w:val="TableText"/>
              <w:spacing w:after="100"/>
            </w:pPr>
            <w:r>
              <w:t>Both representations</w:t>
            </w:r>
          </w:p>
        </w:tc>
        <w:tc>
          <w:tcPr>
            <w:tcW w:type="dxa" w:w="4392"/>
            <w:vAlign w:val="top"/>
            <w:shd w:fill="F3F6F7"/>
            <w:tcMar>
              <w:top w:w="65" w:type="dxa"/>
              <w:bottom w:w="60" w:type="dxa"/>
              <w:left w:w="85" w:type="dxa"/>
              <w:right w:w="85" w:type="dxa"/>
            </w:tcMar>
          </w:tcPr>
          <w:p>
            <w:pPr>
              <w:pStyle w:val="TableText"/>
              <w:spacing w:after="100"/>
            </w:pPr>
            <w:r>
              <w:t>Permitted for a useful summary plus native event access, not mandatory duplication.</w:t>
            </w:r>
          </w:p>
        </w:tc>
        <w:tc>
          <w:tcPr>
            <w:tcW w:type="dxa" w:w="3888"/>
            <w:vAlign w:val="top"/>
            <w:shd w:fill="F3F6F7"/>
            <w:tcMar>
              <w:top w:w="65" w:type="dxa"/>
              <w:bottom w:w="60" w:type="dxa"/>
              <w:left w:w="85" w:type="dxa"/>
              <w:right w:w="85" w:type="dxa"/>
            </w:tcMar>
          </w:tcPr>
          <w:p>
            <w:pPr>
              <w:pStyle w:val="TableText"/>
              <w:spacing w:after="100"/>
            </w:pPr>
            <w:r>
              <w:t>One domain event identity; relate copies explicitly and define which is authoritative for updates.</w:t>
            </w:r>
          </w:p>
        </w:tc>
      </w:tr>
    </w:tbl>
    <w:p>
      <w:pPr>
        <w:pStyle w:val="Small"/>
        <w:spacing w:after="20"/>
      </w:pPr>
    </w:p>
    <w:p>
      <w:pPr>
        <w:pStyle w:val="Heading2"/>
      </w:pPr>
      <w:r>
        <w:t>10.2 Correlation and event meaning</w:t>
      </w:r>
    </w:p>
    <w:p>
      <w:r>
        <w:t>Use Event.identifiers[] with an explicitly defined event-identity Term when the same event has both a canonical SystemEvent and an embedded form. The API’s local id and the embedded native id can differ while that domain identifier remains the same. A producer must not create two unrelated maintenance actions simply to expose two representations; a consumer must not count correlated copies twice.</w:t>
      </w:r>
    </w:p>
    <w:p>
      <w:r>
        <w:t>For replacement, retain the primary associated system, the affected equipment, removed and installed subjects, relevant slot or interface, deployment, actor and event time. If removal and installation happened at different times, use a time interval or linked constituent events rather than inventing instantaneous continuity. The MIMOSA installation/removal scenario supports the useful location/asset/time/actor pattern, but this is an authored OGC binding, not a native CCOM BOD or ISBM implementation (MIMOSA n.d.).</w:t>
      </w:r>
    </w:p>
    <w:p>
      <w:pPr>
        <w:pStyle w:val="Heading1"/>
        <w:pageBreakBefore/>
      </w:pPr>
      <w:r>
        <w:t>10. Event binding details and illustrative group</w:t>
      </w:r>
    </w:p>
    <w:p>
      <w:pPr>
        <w:pStyle w:val="Heading2"/>
      </w:pPr>
      <w:r>
        <w:t>10.3 Do not freeze provisional event or relationship syntax</w:t>
      </w:r>
    </w:p>
    <w:p>
      <w:r>
        <w:t>The published Part 2 event-type examples include identifiers containing x-OGC/TBD. Do not present those as a resolved production dictionary; use a clearly authored, versioned event definition until the exact normative vocabulary is settled. The main workstream owns the common event decision, while this document recommends the power-service content and access choice (OGC 2025b, §12.2.1; Power Restart PITON 2026, §8).</w:t>
      </w:r>
    </w:p>
    <w:p>
      <w:r>
        <w:t>In JSON, use the actual definition, label and time members rather than copying the conceptual names eventTime or eventType into the wire representation. Put subject and deployment refinements in permitted typed properties and actors in the native contacts structure. SensorML history[] accepts Event content, not an arbitrary event-link object; a link-only summary belongs in a permitted document/link carrier (OGC n.d.-a, Event.json and DescribedObject.json).</w:t>
      </w:r>
    </w:p>
    <w:p>
      <w:pPr>
        <w:pStyle w:val="Heading2"/>
      </w:pPr>
      <w:r>
        <w:t>10.4 A concrete proposed relationship carrier</w:t>
      </w:r>
    </w:p>
    <w:p>
      <w:r>
        <w:t>The following is a complete illustrative CharacteristicList group, to be placed in characteristics[] of the fictional deployment. Q expands to https://schemas.example/merlin/power/0.1/ and is an unpublished example namespace. All three Q term definitions and the group are authored bindings; the category’s powers token selects the RFC 7326 meaning, not a native CSAPI relationship member.</w:t>
      </w:r>
    </w:p>
    <w:p>
      <w:pPr>
        <w:pStyle w:val="Code"/>
        <w:shd w:fill="F1F5F7"/>
      </w:pPr>
      <w:r>
        <w:t>{</w:t>
      </w:r>
    </w:p>
    <w:p>
      <w:pPr>
        <w:pStyle w:val="Code"/>
        <w:shd w:fill="F1F5F7"/>
      </w:pPr>
      <w:r>
        <w:t xml:space="preserve">  "id": "controller-to-station",</w:t>
      </w:r>
    </w:p>
    <w:p>
      <w:pPr>
        <w:pStyle w:val="Code"/>
        <w:shd w:fill="F1F5F7"/>
      </w:pPr>
      <w:r>
        <w:t xml:space="preserve">  "label": "Controller outlet to station inlet",</w:t>
      </w:r>
    </w:p>
    <w:p>
      <w:pPr>
        <w:pStyle w:val="Code"/>
        <w:shd w:fill="F1F5F7"/>
      </w:pPr>
      <w:r>
        <w:t xml:space="preserve">  "definition": "https://schemas.example/merlin/power/0.1/group/energy-relationship",</w:t>
      </w:r>
    </w:p>
    <w:p>
      <w:pPr>
        <w:pStyle w:val="Code"/>
        <w:shd w:fill="F1F5F7"/>
      </w:pPr>
      <w:r>
        <w:t xml:space="preserve">  "characteristics": [</w:t>
      </w:r>
    </w:p>
    <w:p>
      <w:pPr>
        <w:pStyle w:val="Code"/>
        <w:shd w:fill="F1F5F7"/>
      </w:pPr>
      <w:r>
        <w:t xml:space="preserve">    {"type": "Text", "label": "Relationship subject",</w:t>
      </w:r>
    </w:p>
    <w:p>
      <w:pPr>
        <w:pStyle w:val="Code"/>
        <w:shd w:fill="F1F5F7"/>
      </w:pPr>
      <w:r>
        <w:t xml:space="preserve">     "definition": "https://schemas.example/merlin/power/0.1/term/relationship-subject-ref",</w:t>
      </w:r>
    </w:p>
    <w:p>
      <w:pPr>
        <w:pStyle w:val="Code"/>
        <w:shd w:fill="F1F5F7"/>
      </w:pPr>
      <w:r>
        <w:t xml:space="preserve">     "value": "https://demo.example/csapi/systems/controller-01#out-station"},</w:t>
      </w:r>
    </w:p>
    <w:p>
      <w:pPr>
        <w:pStyle w:val="Code"/>
        <w:shd w:fill="F1F5F7"/>
      </w:pPr>
      <w:r>
        <w:t xml:space="preserve">    {"type": "Category", "label": "Relationship",</w:t>
      </w:r>
    </w:p>
    <w:p>
      <w:pPr>
        <w:pStyle w:val="Code"/>
        <w:shd w:fill="F1F5F7"/>
      </w:pPr>
      <w:r>
        <w:t xml:space="preserve">     "definition": "https://schemas.example/merlin/power/0.1/term/energy-relationship-kind",</w:t>
      </w:r>
    </w:p>
    <w:p>
      <w:pPr>
        <w:pStyle w:val="Code"/>
        <w:shd w:fill="F1F5F7"/>
      </w:pPr>
      <w:r>
        <w:t xml:space="preserve">     "codeSpace": "https://schemas.example/merlin/power/0.1/codes/energy-relationship-kind",</w:t>
      </w:r>
    </w:p>
    <w:p>
      <w:pPr>
        <w:pStyle w:val="Code"/>
        <w:shd w:fill="F1F5F7"/>
      </w:pPr>
      <w:r>
        <w:t xml:space="preserve">     "value": "powers"},</w:t>
      </w:r>
    </w:p>
    <w:p>
      <w:pPr>
        <w:pStyle w:val="Code"/>
        <w:shd w:fill="F1F5F7"/>
      </w:pPr>
      <w:r>
        <w:t xml:space="preserve">    {"type": "Text", "label": "Relationship object",</w:t>
      </w:r>
    </w:p>
    <w:p>
      <w:pPr>
        <w:pStyle w:val="Code"/>
        <w:shd w:fill="F1F5F7"/>
      </w:pPr>
      <w:r>
        <w:t xml:space="preserve">     "definition": "https://schemas.example/merlin/power/0.1/term/relationship-object-ref",</w:t>
      </w:r>
    </w:p>
    <w:p>
      <w:pPr>
        <w:pStyle w:val="Code"/>
        <w:shd w:fill="F1F5F7"/>
      </w:pPr>
      <w:r>
        <w:t xml:space="preserve">     "value": "https://demo.example/csapi/systems/station-01#in-power"}</w:t>
      </w:r>
    </w:p>
    <w:p>
      <w:pPr>
        <w:pStyle w:val="Code"/>
        <w:shd w:fill="F1F5F7"/>
      </w:pPr>
      <w:r>
        <w:t xml:space="preserve">  ]</w:t>
      </w:r>
    </w:p>
    <w:p>
      <w:pPr>
        <w:pStyle w:val="Code"/>
        <w:shd w:fill="F1F5F7"/>
      </w:pPr>
      <w:r>
        <w:t>}</w:t>
      </w:r>
    </w:p>
    <w:p>
      <w:pPr>
        <w:pStyle w:val="Small"/>
      </w:pPr>
      <w:r>
        <w:t>The owning Deployment supplies employment scope; the group can add the main profile’s named Time conditions when the connection has a narrower period. Each endpoint must resolve to a declared Power Interface. This example illustrates a carrier and reference contract only; no endpoint exists at these reserved example addresses and no complete base-schema validation is claimed.</w:t>
      </w:r>
    </w:p>
    <w:p>
      <w:pPr>
        <w:pStyle w:val="Heading1"/>
        <w:pageBreakBefore/>
      </w:pPr>
      <w:r>
        <w:t>11. Connected example: the whole operating arrangement</w:t>
      </w:r>
    </w:p>
    <w:p>
      <w:pPr>
        <w:pStyle w:val="Heading2"/>
      </w:pPr>
      <w:r>
        <w:t>11.1 Extend the current fictional example—not the vendor evidence</w:t>
      </w:r>
    </w:p>
    <w:p>
      <w:r>
        <w:t>Use the main draft’s station-01, gateway-01 and site-01 as the starting identities, but enrich the power arrangement deliberately. In this proposed revision, the environmental station and gateway share a managed controller/distributor supplied by a solar unit and a serviceable storage pack. Existing power-a and power-b become the two separately identified packs used successively; this is a proposed fictional specialization, not a newly recovered fact about the original package (Connected Example 2026, files 02–08).</w:t>
      </w:r>
    </w:p>
    <w:tbl>
      <w:tblPr>
        <w:tblW w:type="auto" w:w="0"/>
        <w:jc w:val="center"/>
        <w:tblLayout w:type="fixed"/>
        <w:tblLook w:firstColumn="1" w:firstRow="1" w:lastColumn="0" w:lastRow="0" w:noHBand="0" w:noVBand="1" w:val="04A0"/>
      </w:tblPr>
      <w:tblGrid>
        <w:gridCol w:w="2088"/>
        <w:gridCol w:w="4176"/>
        <w:gridCol w:w="3888"/>
      </w:tblGrid>
      <w:tr>
        <w:trPr>
          <w:tblHeader/>
          <w:cantSplit/>
        </w:trPr>
        <w:tc>
          <w:tcPr>
            <w:tcW w:type="dxa" w:w="2088"/>
            <w:shd w:fill="DDE9EE"/>
            <w:tcMar>
              <w:top w:w="65" w:type="dxa"/>
              <w:bottom w:w="60" w:type="dxa"/>
              <w:left w:w="85" w:type="dxa"/>
              <w:right w:w="85" w:type="dxa"/>
            </w:tcMar>
          </w:tcPr>
          <w:p>
            <w:pPr>
              <w:pStyle w:val="TableText"/>
              <w:keepNext/>
            </w:pPr>
            <w:r>
              <w:rPr>
                <w:b/>
                <w:color w:val="153B4C"/>
              </w:rPr>
              <w:t>Subject</w:t>
            </w:r>
          </w:p>
        </w:tc>
        <w:tc>
          <w:tcPr>
            <w:tcW w:type="dxa" w:w="4176"/>
            <w:shd w:fill="DDE9EE"/>
            <w:tcMar>
              <w:top w:w="65" w:type="dxa"/>
              <w:bottom w:w="60" w:type="dxa"/>
              <w:left w:w="85" w:type="dxa"/>
              <w:right w:w="85" w:type="dxa"/>
            </w:tcMar>
          </w:tcPr>
          <w:p>
            <w:pPr>
              <w:pStyle w:val="TableText"/>
              <w:keepNext/>
            </w:pPr>
            <w:r>
              <w:rPr>
                <w:b/>
                <w:color w:val="153B4C"/>
              </w:rPr>
              <w:t>Model role and representation</w:t>
            </w:r>
          </w:p>
        </w:tc>
        <w:tc>
          <w:tcPr>
            <w:tcW w:type="dxa" w:w="3888"/>
            <w:shd w:fill="DDE9EE"/>
            <w:tcMar>
              <w:top w:w="65" w:type="dxa"/>
              <w:bottom w:w="60" w:type="dxa"/>
              <w:left w:w="85" w:type="dxa"/>
              <w:right w:w="85" w:type="dxa"/>
            </w:tcMar>
          </w:tcPr>
          <w:p>
            <w:pPr>
              <w:pStyle w:val="TableText"/>
              <w:keepNext/>
            </w:pPr>
            <w:r>
              <w:rPr>
                <w:b/>
                <w:color w:val="153B4C"/>
              </w:rPr>
              <w:t>Connection in the example</w:t>
            </w:r>
          </w:p>
        </w:tc>
      </w:tr>
      <w:tr>
        <w:trPr>
          <w:cantSplit/>
        </w:trPr>
        <w:tc>
          <w:tcPr>
            <w:tcW w:type="dxa" w:w="2088"/>
            <w:vAlign w:val="top"/>
            <w:shd w:fill="F3F6F7"/>
            <w:tcMar>
              <w:top w:w="65" w:type="dxa"/>
              <w:bottom w:w="60" w:type="dxa"/>
              <w:left w:w="85" w:type="dxa"/>
              <w:right w:w="85" w:type="dxa"/>
            </w:tcMar>
          </w:tcPr>
          <w:p>
            <w:pPr>
              <w:pStyle w:val="TableText"/>
              <w:spacing w:after="100"/>
            </w:pPr>
            <w:r>
              <w:t>station-01</w:t>
            </w:r>
          </w:p>
        </w:tc>
        <w:tc>
          <w:tcPr>
            <w:tcW w:type="dxa" w:w="4176"/>
            <w:vAlign w:val="top"/>
            <w:shd w:fill="F3F6F7"/>
            <w:tcMar>
              <w:top w:w="65" w:type="dxa"/>
              <w:bottom w:w="60" w:type="dxa"/>
              <w:left w:w="85" w:type="dxa"/>
              <w:right w:w="85" w:type="dxa"/>
            </w:tcMar>
          </w:tcPr>
          <w:p>
            <w:pPr>
              <w:pStyle w:val="TableText"/>
              <w:spacing w:after="100"/>
            </w:pPr>
            <w:r>
              <w:t>Sensing System; Energy Object Device/consumer. Embedded in-power Power Interface.</w:t>
            </w:r>
          </w:p>
        </w:tc>
        <w:tc>
          <w:tcPr>
            <w:tcW w:type="dxa" w:w="3888"/>
            <w:vAlign w:val="top"/>
            <w:shd w:fill="F3F6F7"/>
            <w:tcMar>
              <w:top w:w="65" w:type="dxa"/>
              <w:bottom w:w="60" w:type="dxa"/>
              <w:left w:w="85" w:type="dxa"/>
              <w:right w:w="85" w:type="dxa"/>
            </w:tcMar>
          </w:tcPr>
          <w:p>
            <w:pPr>
              <w:pStyle w:val="TableText"/>
              <w:spacing w:after="100"/>
            </w:pPr>
            <w:r>
              <w:t>Receives a regulated supply from controller-01#out-station.</w:t>
            </w:r>
          </w:p>
        </w:tc>
      </w:tr>
      <w:tr>
        <w:trPr>
          <w:cantSplit/>
        </w:trPr>
        <w:tc>
          <w:tcPr>
            <w:tcW w:type="dxa" w:w="2088"/>
            <w:vAlign w:val="top"/>
            <w:tcMar>
              <w:top w:w="65" w:type="dxa"/>
              <w:bottom w:w="60" w:type="dxa"/>
              <w:left w:w="85" w:type="dxa"/>
              <w:right w:w="85" w:type="dxa"/>
            </w:tcMar>
          </w:tcPr>
          <w:p>
            <w:pPr>
              <w:pStyle w:val="TableText"/>
              <w:spacing w:after="100"/>
            </w:pPr>
            <w:r>
              <w:t>gateway-01</w:t>
            </w:r>
          </w:p>
        </w:tc>
        <w:tc>
          <w:tcPr>
            <w:tcW w:type="dxa" w:w="4176"/>
            <w:vAlign w:val="top"/>
            <w:tcMar>
              <w:top w:w="65" w:type="dxa"/>
              <w:bottom w:w="60" w:type="dxa"/>
              <w:left w:w="85" w:type="dxa"/>
              <w:right w:w="85" w:type="dxa"/>
            </w:tcMar>
          </w:tcPr>
          <w:p>
            <w:pPr>
              <w:pStyle w:val="TableText"/>
              <w:spacing w:after="100"/>
            </w:pPr>
            <w:r>
              <w:t>Communications System; Device/consumer with its own inlet.</w:t>
            </w:r>
          </w:p>
        </w:tc>
        <w:tc>
          <w:tcPr>
            <w:tcW w:type="dxa" w:w="3888"/>
            <w:vAlign w:val="top"/>
            <w:tcMar>
              <w:top w:w="65" w:type="dxa"/>
              <w:bottom w:w="60" w:type="dxa"/>
              <w:left w:w="85" w:type="dxa"/>
              <w:right w:w="85" w:type="dxa"/>
            </w:tcMar>
          </w:tcPr>
          <w:p>
            <w:pPr>
              <w:pStyle w:val="TableText"/>
              <w:spacing w:after="100"/>
            </w:pPr>
            <w:r>
              <w:t>Shares controller-01 through a different outlet; communications mediation remains separate.</w:t>
            </w:r>
          </w:p>
        </w:tc>
      </w:tr>
      <w:tr>
        <w:trPr>
          <w:cantSplit/>
        </w:trPr>
        <w:tc>
          <w:tcPr>
            <w:tcW w:type="dxa" w:w="2088"/>
            <w:vAlign w:val="top"/>
            <w:shd w:fill="F3F6F7"/>
            <w:tcMar>
              <w:top w:w="65" w:type="dxa"/>
              <w:bottom w:w="60" w:type="dxa"/>
              <w:left w:w="85" w:type="dxa"/>
              <w:right w:w="85" w:type="dxa"/>
            </w:tcMar>
          </w:tcPr>
          <w:p>
            <w:pPr>
              <w:pStyle w:val="TableText"/>
              <w:spacing w:after="100"/>
            </w:pPr>
            <w:r>
              <w:t>solar-01</w:t>
            </w:r>
          </w:p>
        </w:tc>
        <w:tc>
          <w:tcPr>
            <w:tcW w:type="dxa" w:w="4176"/>
            <w:vAlign w:val="top"/>
            <w:shd w:fill="F3F6F7"/>
            <w:tcMar>
              <w:top w:w="65" w:type="dxa"/>
              <w:bottom w:w="60" w:type="dxa"/>
              <w:left w:w="85" w:type="dxa"/>
              <w:right w:w="85" w:type="dxa"/>
            </w:tcMar>
          </w:tcPr>
          <w:p>
            <w:pPr>
              <w:pStyle w:val="TableText"/>
              <w:spacing w:after="100"/>
            </w:pPr>
            <w:r>
              <w:t>Supporting System; Device/producer with an outlet.</w:t>
            </w:r>
          </w:p>
        </w:tc>
        <w:tc>
          <w:tcPr>
            <w:tcW w:type="dxa" w:w="3888"/>
            <w:vAlign w:val="top"/>
            <w:shd w:fill="F3F6F7"/>
            <w:tcMar>
              <w:top w:w="65" w:type="dxa"/>
              <w:bottom w:w="60" w:type="dxa"/>
              <w:left w:w="85" w:type="dxa"/>
              <w:right w:w="85" w:type="dxa"/>
            </w:tcMar>
          </w:tcPr>
          <w:p>
            <w:pPr>
              <w:pStyle w:val="TableText"/>
              <w:spacing w:after="100"/>
            </w:pPr>
            <w:r>
              <w:t>Supplies controller-01#in-solar. No invented forecast or generation value is required.</w:t>
            </w:r>
          </w:p>
        </w:tc>
      </w:tr>
      <w:tr>
        <w:trPr>
          <w:cantSplit/>
        </w:trPr>
        <w:tc>
          <w:tcPr>
            <w:tcW w:type="dxa" w:w="2088"/>
            <w:vAlign w:val="top"/>
            <w:tcMar>
              <w:top w:w="65" w:type="dxa"/>
              <w:bottom w:w="60" w:type="dxa"/>
              <w:left w:w="85" w:type="dxa"/>
              <w:right w:w="85" w:type="dxa"/>
            </w:tcMar>
          </w:tcPr>
          <w:p>
            <w:pPr>
              <w:pStyle w:val="TableText"/>
              <w:spacing w:after="100"/>
            </w:pPr>
            <w:r>
              <w:t>controller-01</w:t>
            </w:r>
          </w:p>
        </w:tc>
        <w:tc>
          <w:tcPr>
            <w:tcW w:type="dxa" w:w="4176"/>
            <w:vAlign w:val="top"/>
            <w:tcMar>
              <w:top w:w="65" w:type="dxa"/>
              <w:bottom w:w="60" w:type="dxa"/>
              <w:left w:w="85" w:type="dxa"/>
              <w:right w:w="85" w:type="dxa"/>
            </w:tcMar>
          </w:tcPr>
          <w:p>
            <w:pPr>
              <w:pStyle w:val="TableText"/>
              <w:spacing w:after="100"/>
            </w:pPr>
            <w:r>
              <w:t>Supporting System; Device/distributor with conversion/charging functions and power interfaces.</w:t>
            </w:r>
          </w:p>
        </w:tc>
        <w:tc>
          <w:tcPr>
            <w:tcW w:type="dxa" w:w="3888"/>
            <w:vAlign w:val="top"/>
            <w:tcMar>
              <w:top w:w="65" w:type="dxa"/>
              <w:bottom w:w="60" w:type="dxa"/>
              <w:left w:w="85" w:type="dxa"/>
              <w:right w:w="85" w:type="dxa"/>
            </w:tcMar>
          </w:tcPr>
          <w:p>
            <w:pPr>
              <w:pStyle w:val="TableText"/>
              <w:spacing w:after="100"/>
            </w:pPr>
            <w:r>
              <w:t>Connects generation, storage and loads. Internal converter, charger and meter remain components.</w:t>
            </w:r>
          </w:p>
        </w:tc>
      </w:tr>
      <w:tr>
        <w:trPr>
          <w:cantSplit/>
        </w:trPr>
        <w:tc>
          <w:tcPr>
            <w:tcW w:type="dxa" w:w="2088"/>
            <w:vAlign w:val="top"/>
            <w:shd w:fill="F3F6F7"/>
            <w:tcMar>
              <w:top w:w="65" w:type="dxa"/>
              <w:bottom w:w="60" w:type="dxa"/>
              <w:left w:w="85" w:type="dxa"/>
              <w:right w:w="85" w:type="dxa"/>
            </w:tcMar>
          </w:tcPr>
          <w:p>
            <w:pPr>
              <w:pStyle w:val="TableText"/>
              <w:spacing w:after="100"/>
            </w:pPr>
            <w:r>
              <w:t>power-a / power-b</w:t>
            </w:r>
          </w:p>
        </w:tc>
        <w:tc>
          <w:tcPr>
            <w:tcW w:type="dxa" w:w="4176"/>
            <w:vAlign w:val="top"/>
            <w:shd w:fill="F3F6F7"/>
            <w:tcMar>
              <w:top w:w="65" w:type="dxa"/>
              <w:bottom w:w="60" w:type="dxa"/>
              <w:left w:w="85" w:type="dxa"/>
              <w:right w:w="85" w:type="dxa"/>
            </w:tcMar>
          </w:tcPr>
          <w:p>
            <w:pPr>
              <w:pStyle w:val="TableText"/>
              <w:spacing w:after="100"/>
            </w:pPr>
            <w:r>
              <w:t>Supporting storage Systems; Device/store with the selected battery specialization.</w:t>
            </w:r>
          </w:p>
        </w:tc>
        <w:tc>
          <w:tcPr>
            <w:tcW w:type="dxa" w:w="3888"/>
            <w:vAlign w:val="top"/>
            <w:shd w:fill="F3F6F7"/>
            <w:tcMar>
              <w:top w:w="65" w:type="dxa"/>
              <w:bottom w:w="60" w:type="dxa"/>
              <w:left w:w="85" w:type="dxa"/>
              <w:right w:w="85" w:type="dxa"/>
            </w:tcMar>
          </w:tcPr>
          <w:p>
            <w:pPr>
              <w:pStyle w:val="TableText"/>
              <w:spacing w:after="100"/>
            </w:pPr>
            <w:r>
              <w:t>Each has a bidirectional terminal. Only the applicable pack connection is present for a given service interval.</w:t>
            </w:r>
          </w:p>
        </w:tc>
      </w:tr>
      <w:tr>
        <w:trPr>
          <w:cantSplit/>
        </w:trPr>
        <w:tc>
          <w:tcPr>
            <w:tcW w:type="dxa" w:w="2088"/>
            <w:vAlign w:val="top"/>
            <w:tcMar>
              <w:top w:w="65" w:type="dxa"/>
              <w:bottom w:w="60" w:type="dxa"/>
              <w:left w:w="85" w:type="dxa"/>
              <w:right w:w="85" w:type="dxa"/>
            </w:tcMar>
          </w:tcPr>
          <w:p>
            <w:pPr>
              <w:pStyle w:val="TableText"/>
              <w:spacing w:after="100"/>
            </w:pPr>
            <w:r>
              <w:t>Controller metering components</w:t>
            </w:r>
          </w:p>
        </w:tc>
        <w:tc>
          <w:tcPr>
            <w:tcW w:type="dxa" w:w="4176"/>
            <w:vAlign w:val="top"/>
            <w:tcMar>
              <w:top w:w="65" w:type="dxa"/>
              <w:bottom w:w="60" w:type="dxa"/>
              <w:left w:w="85" w:type="dxa"/>
              <w:right w:w="85" w:type="dxa"/>
            </w:tcMar>
          </w:tcPr>
          <w:p>
            <w:pPr>
              <w:pStyle w:val="TableText"/>
              <w:spacing w:after="100"/>
            </w:pPr>
            <w:r>
              <w:t>meter-output measures load-bus; meter-battery measures the attached battery terminals. Each is an embedded Component.</w:t>
            </w:r>
          </w:p>
        </w:tc>
        <w:tc>
          <w:tcPr>
            <w:tcW w:type="dxa" w:w="3888"/>
            <w:vAlign w:val="top"/>
            <w:tcMar>
              <w:top w:w="65" w:type="dxa"/>
              <w:bottom w:w="60" w:type="dxa"/>
              <w:left w:w="85" w:type="dxa"/>
              <w:right w:w="85" w:type="dxa"/>
            </w:tcMar>
          </w:tcPr>
          <w:p>
            <w:pPr>
              <w:pStyle w:val="TableText"/>
              <w:spacing w:after="100"/>
            </w:pPr>
            <w:r>
              <w:t>Separate measurement points and coverage. The shared-load result is not a per-load allocation or a battery-terminal reading.</w:t>
            </w:r>
          </w:p>
        </w:tc>
      </w:tr>
    </w:tbl>
    <w:p>
      <w:pPr>
        <w:pStyle w:val="Small"/>
        <w:spacing w:after="20"/>
      </w:pPr>
    </w:p>
    <w:p>
      <w:pPr>
        <w:pStyle w:val="Heading2"/>
      </w:pPr>
      <w:r>
        <w:t>11.2 What the relationship model contributes</w:t>
      </w:r>
    </w:p>
    <w:p>
      <w:r>
        <w:t>Supply relationships connect the solar outlet, the controller’s interfaces and the two consumer inlets. The pack/controller connection is oriented by its declared normal supply role, while observed charging or discharge direction can change without rewriting the physical connection. The controller’s internal conversion and charging path uses the separate authored internal specialization; none of these electrical relations is inferred from a communications link.</w:t>
      </w:r>
    </w:p>
    <w:p>
      <w:r>
        <w:t>A measurement of the shared output concerns that accounting boundary. The station and gateway can both display the shared dependency, but neither receives an invented allocation of the total. The example therefore exercises sources, storage, mediation, multiple consumers and metering, rather than merely putting two unrelated values in the same table.</w:t>
      </w:r>
    </w:p>
    <w:p>
      <w:pPr>
        <w:pStyle w:val="Heading1"/>
        <w:pageBreakBefore/>
      </w:pPr>
      <w:r>
        <w:t>11. Connected example: service, readings and interpretation</w:t>
      </w:r>
    </w:p>
    <w:p>
      <w:pPr>
        <w:pStyle w:val="Heading2"/>
      </w:pPr>
      <w:r>
        <w:t>11.3 A replacement within the same employment</w:t>
      </w:r>
    </w:p>
    <w:p>
      <w:r>
        <w:t>At the fictional service time of 2 September 2026 at 10:00 UTC, a recorded completed replacement removes power-a and installs power-b. The old pack connection ends and the new one begins under the draft’s half-open applicability convention; the controller’s storage interface, station identity and site deployment continue. This is an event-record abstraction of the completed service, not evidence that the operation was instantaneous, hot-swappable or interruption-free.</w:t>
      </w:r>
    </w:p>
    <w:p>
      <w:r>
        <w:t>A power-source-replacement SystemEvent is associated with station-01 as the focal affected system and includes the controller, gateway and both packs as affected subjects. It retains the deployment and maintainer, the replaced and replacement item references, and the relevant continuing storage interface. If native event access is absent, the same domain event can be represented in retained SensorML history with the reference discipline in Section 10.</w:t>
      </w:r>
    </w:p>
    <w:p>
      <w:pPr>
        <w:pStyle w:val="Heading2"/>
      </w:pPr>
      <w:r>
        <w:t>11.4 Rebind the post-service observation deliberately</w:t>
      </w:r>
    </w:p>
    <w:p>
      <w:r>
        <w:t>The existing package’s 12.6 V value remains explicitly fictional, but in this enriched arrangement the controller’s battery-monitoring function is the proposed producer and power-b the observed feature. A declared subjectRef can refine that feature to power-b#dc-terminal if the interface is actually modeled. The meter-battery component measures this terminal point, separately from meter-output and load-bus. The stream is source-scoped to pack B; the corresponding A stream and its earlier readings retain their A subject rather than being relabeled by the replacement.</w:t>
      </w:r>
    </w:p>
    <w:p>
      <w:r>
        <w:t>This intentionally changes the existing example, where station-01 produces the power stream. It is a design choice reflecting the newly introduced battery-monitoring component, not a claim that the original file already contained that equipment. The profile-aware client can now follow the reading to its battery terminal, the battery to the controller, and the controller to both deployed loads.</w:t>
      </w:r>
    </w:p>
    <w:p>
      <w:pPr>
        <w:pStyle w:val="Heading2"/>
      </w:pPr>
      <w:r>
        <w:t>11.5 Recharge, inspection and continued operation</w:t>
      </w:r>
    </w:p>
    <w:p>
      <w:r>
        <w:t>Later recharge of removed pack A concerns the same pack identity and a distinct service arrangement, not a newly invented battery instance. An actual recharge-completed event must be grounded in completion evidence; submitting a charging command is insufficient. An inspection assessment can reference the replacement event and post-service observation, while retaining the assessor and reported finding instead of being promoted into a universal ready-for-mission status.</w:t>
      </w:r>
    </w:p>
    <w:p>
      <w:pPr>
        <w:spacing w:before="100" w:after="180"/>
        <w:shd w:fill="EAF1F4"/>
      </w:pPr>
      <w:r>
        <w:rPr>
          <w:b/>
          <w:color w:val="153B4C"/>
        </w:rPr>
        <w:t>At the selected post-service time, the operator can understand the shared power path, identify pack B, inspect the correctly scoped voltage and see why the installed source changed. The model supplies that connected explanation even before a compact presentation is designed.</w:t>
      </w:r>
    </w:p>
    <w:p>
      <w:pPr>
        <w:pStyle w:val="Small"/>
      </w:pPr>
      <w:r>
        <w:t>All equipment roles added here, times, relationships and observations are fictional design examples. The supplied JSON archive is unchanged. Section 14 identifies the exact files that an approved revision would need to update; this narrative is not a live integration or a full executable example package.</w:t>
      </w:r>
    </w:p>
    <w:p>
      <w:pPr>
        <w:pStyle w:val="Heading1"/>
        <w:pageBreakBefore/>
      </w:pPr>
      <w:r>
        <w:t>11. Applicability checks beyond the connected example</w:t>
      </w:r>
    </w:p>
    <w:p>
      <w:pPr>
        <w:pStyle w:val="Heading2"/>
      </w:pPr>
      <w:r>
        <w:t>11.6 Preserve useful TRSS and OmniSense evidence</w:t>
      </w:r>
    </w:p>
    <w:p>
      <w:r>
        <w:t>TRSS remains an important check because some of its equipment supplies a qualified capacity/life estimate rather than voltage. The model accommodates the estimator as a producing process, its battery or operating-system subject, installation information, and relevant assumptions without inventing a sensor measurement. The previously reviewed ETU-II example’s unsupported voltage and the RR example’s not-yet-reported voltage remain different integration states (Power PITON 2026, §4).</w:t>
      </w:r>
    </w:p>
    <w:p>
      <w:r>
        <w:t>OmniSense remains a different check: its recorded battery voltage, Status Time and history should bind to the relevant subject, and the separately powered PTZ equipment must not share the sensor battery’s identity by default. The electrical measurement point and timestamp convention still need an exact provider mapping. Those open vendor details do not prevent the profile from describing chargers, shared sources or other families supported by the selected model (Power PITON 2026, §4; Power Restart PITON 2026, §9).</w:t>
      </w:r>
    </w:p>
    <w:p>
      <w:pPr>
        <w:pStyle w:val="Heading2"/>
      </w:pPr>
      <w:r>
        <w:t>11.7 A camera and a platform test different boundaries</w:t>
      </w:r>
    </w:p>
    <w:p>
      <w:r>
        <w:t>In a camera installation, an electrical interface may coincide physically with an Ethernet connector, but its power and communication relationships remain different aspects of that equipment. The model can describe a PoE supply path from a switch while preserving an independent PTZ supply when present. This follows the framework’s allowance for separate electrical and network-management relationships, rather than assuming every data connection provides power (Parello et al. 2014, §§6.2, 6.6.2).</w:t>
      </w:r>
    </w:p>
    <w:p>
      <w:r>
        <w:t>For a platform payload, the relevant description may stop at the platform’s published power interface, leaving its internal generator or battery unmodeled. The payload can still expose input limits, operating consumption and supported modes. A platform-wide energy reading cannot be silently assigned to that payload, and a payload state cannot establish the readiness of the whole platform.</w:t>
      </w:r>
    </w:p>
    <w:p>
      <w:pPr>
        <w:pStyle w:val="Heading2"/>
      </w:pPr>
      <w:r>
        <w:t>11.8 What these checks establish</w:t>
      </w:r>
    </w:p>
    <w:p>
      <w:r>
        <w:t>These cases test the explanatory reach of the proposed model, not the availability of source payloads or a measured cross-vendor implementation. They show why a common domain must accommodate differing levels of equipment detail and different kinds of operating information. The deciding criterion is whether the connections retain their meaning across those arrangements, not whether every case can populate the same battery field list.</w:t>
      </w:r>
    </w:p>
    <w:p>
      <w:pPr>
        <w:pStyle w:val="Heading1"/>
        <w:pageBreakBefore/>
      </w:pPr>
      <w:r>
        <w:t>12. DISR standing and the adoption decision</w:t>
      </w:r>
    </w:p>
    <w:p>
      <w:pPr>
        <w:pStyle w:val="Heading2"/>
      </w:pPr>
      <w:r>
        <w:t>12.1 Exact supplied baseline, not inherited family status</w:t>
      </w:r>
    </w:p>
    <w:p>
      <w:r>
        <w:t>The 10 October 2026 export is the complete authoritative baseline for this investigation. This pass parsed all 5,253 records and checked the identifiers and titles relevant to the selected and assessed power sources. DoD and IC statuses remain separate; a listed metamodel or neighboring RFC does not confer its status on a translated property, another edition or this proposed profile (StandardsReport 2026).</w:t>
      </w:r>
    </w:p>
    <w:tbl>
      <w:tblPr>
        <w:tblW w:type="auto" w:w="0"/>
        <w:jc w:val="center"/>
        <w:tblLayout w:type="fixed"/>
        <w:tblLook w:firstColumn="1" w:firstRow="1" w:lastColumn="0" w:lastRow="0" w:noHBand="0" w:noVBand="1" w:val="04A0"/>
      </w:tblPr>
      <w:tblGrid>
        <w:gridCol w:w="2880"/>
        <w:gridCol w:w="2952"/>
        <w:gridCol w:w="4320"/>
      </w:tblGrid>
      <w:tr>
        <w:trPr>
          <w:tblHeader/>
          <w:cantSplit/>
        </w:trPr>
        <w:tc>
          <w:tcPr>
            <w:tcW w:type="dxa" w:w="2880"/>
            <w:shd w:fill="DDE9EE"/>
            <w:tcMar>
              <w:top w:w="65" w:type="dxa"/>
              <w:bottom w:w="60" w:type="dxa"/>
              <w:left w:w="85" w:type="dxa"/>
              <w:right w:w="85" w:type="dxa"/>
            </w:tcMar>
          </w:tcPr>
          <w:p>
            <w:pPr>
              <w:pStyle w:val="TableText"/>
              <w:keepNext/>
            </w:pPr>
            <w:r>
              <w:rPr>
                <w:b/>
                <w:color w:val="153B4C"/>
              </w:rPr>
              <w:t>Artifact / exact scope</w:t>
            </w:r>
          </w:p>
        </w:tc>
        <w:tc>
          <w:tcPr>
            <w:tcW w:type="dxa" w:w="2952"/>
            <w:shd w:fill="DDE9EE"/>
            <w:tcMar>
              <w:top w:w="65" w:type="dxa"/>
              <w:bottom w:w="60" w:type="dxa"/>
              <w:left w:w="85" w:type="dxa"/>
              <w:right w:w="85" w:type="dxa"/>
            </w:tcMar>
          </w:tcPr>
          <w:p>
            <w:pPr>
              <w:pStyle w:val="TableText"/>
              <w:keepNext/>
            </w:pPr>
            <w:r>
              <w:rPr>
                <w:b/>
                <w:color w:val="153B4C"/>
              </w:rPr>
              <w:t>DoD / IC in supplied export</w:t>
            </w:r>
          </w:p>
        </w:tc>
        <w:tc>
          <w:tcPr>
            <w:tcW w:type="dxa" w:w="4320"/>
            <w:shd w:fill="DDE9EE"/>
            <w:tcMar>
              <w:top w:w="65" w:type="dxa"/>
              <w:bottom w:w="60" w:type="dxa"/>
              <w:left w:w="85" w:type="dxa"/>
              <w:right w:w="85" w:type="dxa"/>
            </w:tcMar>
          </w:tcPr>
          <w:p>
            <w:pPr>
              <w:pStyle w:val="TableText"/>
              <w:keepNext/>
            </w:pPr>
            <w:r>
              <w:rPr>
                <w:b/>
                <w:color w:val="153B4C"/>
              </w:rPr>
              <w:t>Recommendation now</w:t>
            </w:r>
          </w:p>
        </w:tc>
      </w:tr>
      <w:tr>
        <w:trPr>
          <w:cantSplit/>
        </w:trPr>
        <w:tc>
          <w:tcPr>
            <w:tcW w:type="dxa" w:w="2880"/>
            <w:vAlign w:val="top"/>
            <w:shd w:fill="F3F6F7"/>
            <w:tcMar>
              <w:top w:w="65" w:type="dxa"/>
              <w:bottom w:w="60" w:type="dxa"/>
              <w:left w:w="85" w:type="dxa"/>
              <w:right w:w="85" w:type="dxa"/>
            </w:tcMar>
          </w:tcPr>
          <w:p>
            <w:pPr>
              <w:pStyle w:val="TableText"/>
              <w:spacing w:after="100"/>
            </w:pPr>
            <w:r>
              <w:t>CSAPI Parts 1–2 v1.0; SensorML 3.0; SWE Common 3.0</w:t>
            </w:r>
          </w:p>
        </w:tc>
        <w:tc>
          <w:tcPr>
            <w:tcW w:type="dxa" w:w="2952"/>
            <w:vAlign w:val="top"/>
            <w:shd w:fill="F3F6F7"/>
            <w:tcMar>
              <w:top w:w="65" w:type="dxa"/>
              <w:bottom w:w="60" w:type="dxa"/>
              <w:left w:w="85" w:type="dxa"/>
              <w:right w:w="85" w:type="dxa"/>
            </w:tcMar>
          </w:tcPr>
          <w:p>
            <w:pPr>
              <w:pStyle w:val="TableText"/>
              <w:spacing w:after="100"/>
            </w:pPr>
            <w:r>
              <w:t>Emerging / IC-Emerging</w:t>
            </w:r>
          </w:p>
        </w:tc>
        <w:tc>
          <w:tcPr>
            <w:tcW w:type="dxa" w:w="4320"/>
            <w:vAlign w:val="top"/>
            <w:shd w:fill="F3F6F7"/>
            <w:tcMar>
              <w:top w:w="65" w:type="dxa"/>
              <w:bottom w:w="60" w:type="dxa"/>
              <w:left w:w="85" w:type="dxa"/>
              <w:right w:w="85" w:type="dxa"/>
            </w:tcMar>
          </w:tcPr>
          <w:p>
            <w:pPr>
              <w:pStyle w:val="TableText"/>
              <w:spacing w:after="100"/>
            </w:pPr>
            <w:r>
              <w:t>Retain agreed foundation; no duplicate addition request or new status claim.</w:t>
            </w:r>
          </w:p>
        </w:tc>
      </w:tr>
      <w:tr>
        <w:trPr>
          <w:cantSplit/>
        </w:trPr>
        <w:tc>
          <w:tcPr>
            <w:tcW w:type="dxa" w:w="2880"/>
            <w:vAlign w:val="top"/>
            <w:tcMar>
              <w:top w:w="65" w:type="dxa"/>
              <w:bottom w:w="60" w:type="dxa"/>
              <w:left w:w="85" w:type="dxa"/>
              <w:right w:w="85" w:type="dxa"/>
            </w:tcMar>
          </w:tcPr>
          <w:p>
            <w:pPr>
              <w:pStyle w:val="TableText"/>
              <w:spacing w:after="100"/>
            </w:pPr>
            <w:r>
              <w:t>RFC 7326; RFC 7577</w:t>
            </w:r>
          </w:p>
        </w:tc>
        <w:tc>
          <w:tcPr>
            <w:tcW w:type="dxa" w:w="2952"/>
            <w:vAlign w:val="top"/>
            <w:tcMar>
              <w:top w:w="65" w:type="dxa"/>
              <w:bottom w:w="60" w:type="dxa"/>
              <w:left w:w="85" w:type="dxa"/>
              <w:right w:w="85" w:type="dxa"/>
            </w:tcMar>
          </w:tcPr>
          <w:p>
            <w:pPr>
              <w:pStyle w:val="TableText"/>
              <w:spacing w:after="100"/>
            </w:pPr>
            <w:r>
              <w:t>Absent / no separate IC status</w:t>
            </w:r>
          </w:p>
        </w:tc>
        <w:tc>
          <w:tcPr>
            <w:tcW w:type="dxa" w:w="4320"/>
            <w:vAlign w:val="top"/>
            <w:tcMar>
              <w:top w:w="65" w:type="dxa"/>
              <w:bottom w:w="60" w:type="dxa"/>
              <w:left w:w="85" w:type="dxa"/>
              <w:right w:w="85" w:type="dxa"/>
            </w:tcMar>
          </w:tcPr>
          <w:p>
            <w:pPr>
              <w:pStyle w:val="TableText"/>
              <w:spacing w:after="100"/>
            </w:pPr>
            <w:r>
              <w:t>If adopted as drafting basis, prepare one scoped profile/dependency applicability case. Do not submit merely because referenced here.</w:t>
            </w:r>
          </w:p>
        </w:tc>
      </w:tr>
      <w:tr>
        <w:trPr>
          <w:cantSplit/>
        </w:trPr>
        <w:tc>
          <w:tcPr>
            <w:tcW w:type="dxa" w:w="2880"/>
            <w:vAlign w:val="top"/>
            <w:shd w:fill="F3F6F7"/>
            <w:tcMar>
              <w:top w:w="65" w:type="dxa"/>
              <w:bottom w:w="60" w:type="dxa"/>
              <w:left w:w="85" w:type="dxa"/>
              <w:right w:w="85" w:type="dxa"/>
            </w:tcMar>
          </w:tcPr>
          <w:p>
            <w:pPr>
              <w:pStyle w:val="TableText"/>
              <w:spacing w:after="100"/>
            </w:pPr>
            <w:r>
              <w:t>RFC 7460; RFC 7461</w:t>
            </w:r>
          </w:p>
        </w:tc>
        <w:tc>
          <w:tcPr>
            <w:tcW w:type="dxa" w:w="2952"/>
            <w:vAlign w:val="top"/>
            <w:shd w:fill="F3F6F7"/>
            <w:tcMar>
              <w:top w:w="65" w:type="dxa"/>
              <w:bottom w:w="60" w:type="dxa"/>
              <w:left w:w="85" w:type="dxa"/>
              <w:right w:w="85" w:type="dxa"/>
            </w:tcMar>
          </w:tcPr>
          <w:p>
            <w:pPr>
              <w:pStyle w:val="TableText"/>
              <w:spacing w:after="100"/>
            </w:pPr>
            <w:r>
              <w:t>Absent / no separate IC status</w:t>
            </w:r>
          </w:p>
        </w:tc>
        <w:tc>
          <w:tcPr>
            <w:tcW w:type="dxa" w:w="4320"/>
            <w:vAlign w:val="top"/>
            <w:shd w:fill="F3F6F7"/>
            <w:tcMar>
              <w:top w:w="65" w:type="dxa"/>
              <w:bottom w:w="60" w:type="dxa"/>
              <w:left w:w="85" w:type="dxa"/>
              <w:right w:w="85" w:type="dxa"/>
            </w:tcMar>
          </w:tcPr>
          <w:p>
            <w:pPr>
              <w:pStyle w:val="TableText"/>
              <w:spacing w:after="100"/>
            </w:pPr>
            <w:r>
              <w:t>Record selected semantic reliance and native-adapter boundary. Include only actual dependencies in the same review.</w:t>
            </w:r>
          </w:p>
        </w:tc>
      </w:tr>
      <w:tr>
        <w:trPr>
          <w:cantSplit/>
        </w:trPr>
        <w:tc>
          <w:tcPr>
            <w:tcW w:type="dxa" w:w="2880"/>
            <w:vAlign w:val="top"/>
            <w:tcMar>
              <w:top w:w="65" w:type="dxa"/>
              <w:bottom w:w="60" w:type="dxa"/>
              <w:left w:w="85" w:type="dxa"/>
              <w:right w:w="85" w:type="dxa"/>
            </w:tcMar>
          </w:tcPr>
          <w:p>
            <w:pPr>
              <w:pStyle w:val="TableText"/>
              <w:spacing w:after="100"/>
            </w:pPr>
            <w:r>
              <w:t>RFC 6933; RFC 8348</w:t>
            </w:r>
          </w:p>
        </w:tc>
        <w:tc>
          <w:tcPr>
            <w:tcW w:type="dxa" w:w="2952"/>
            <w:vAlign w:val="top"/>
            <w:tcMar>
              <w:top w:w="65" w:type="dxa"/>
              <w:bottom w:w="60" w:type="dxa"/>
              <w:left w:w="85" w:type="dxa"/>
              <w:right w:w="85" w:type="dxa"/>
            </w:tcMar>
          </w:tcPr>
          <w:p>
            <w:pPr>
              <w:pStyle w:val="TableText"/>
              <w:spacing w:after="100"/>
            </w:pPr>
            <w:r>
              <w:t>Mandated / IC-Mandated</w:t>
            </w:r>
          </w:p>
        </w:tc>
        <w:tc>
          <w:tcPr>
            <w:tcW w:type="dxa" w:w="4320"/>
            <w:vAlign w:val="top"/>
            <w:tcMar>
              <w:top w:w="65" w:type="dxa"/>
              <w:bottom w:w="60" w:type="dxa"/>
              <w:left w:w="85" w:type="dxa"/>
              <w:right w:w="85" w:type="dxa"/>
            </w:tcMar>
          </w:tcPr>
          <w:p>
            <w:pPr>
              <w:pStyle w:val="TableText"/>
              <w:spacing w:after="100"/>
            </w:pPr>
            <w:r>
              <w:t>Use applicable equipment/identity content and inspect interface competition. No duplicate listing request; no transferred status to EMAN.</w:t>
            </w:r>
          </w:p>
        </w:tc>
      </w:tr>
      <w:tr>
        <w:trPr>
          <w:cantSplit/>
        </w:trPr>
        <w:tc>
          <w:tcPr>
            <w:tcW w:type="dxa" w:w="2880"/>
            <w:vAlign w:val="top"/>
            <w:shd w:fill="F3F6F7"/>
            <w:tcMar>
              <w:top w:w="65" w:type="dxa"/>
              <w:bottom w:w="60" w:type="dxa"/>
              <w:left w:w="85" w:type="dxa"/>
              <w:right w:w="85" w:type="dxa"/>
            </w:tcMar>
          </w:tcPr>
          <w:p>
            <w:pPr>
              <w:pStyle w:val="TableText"/>
              <w:spacing w:after="100"/>
            </w:pPr>
            <w:r>
              <w:t>ISO 80000-1:2022; IEC 80000-6:2022</w:t>
            </w:r>
          </w:p>
        </w:tc>
        <w:tc>
          <w:tcPr>
            <w:tcW w:type="dxa" w:w="2952"/>
            <w:vAlign w:val="top"/>
            <w:shd w:fill="F3F6F7"/>
            <w:tcMar>
              <w:top w:w="65" w:type="dxa"/>
              <w:bottom w:w="60" w:type="dxa"/>
              <w:left w:w="85" w:type="dxa"/>
              <w:right w:w="85" w:type="dxa"/>
            </w:tcMar>
          </w:tcPr>
          <w:p>
            <w:pPr>
              <w:pStyle w:val="TableText"/>
              <w:spacing w:after="100"/>
            </w:pPr>
            <w:r>
              <w:t>Mandated / IC-Mandated</w:t>
            </w:r>
          </w:p>
        </w:tc>
        <w:tc>
          <w:tcPr>
            <w:tcW w:type="dxa" w:w="4320"/>
            <w:vAlign w:val="top"/>
            <w:shd w:fill="F3F6F7"/>
            <w:tcMar>
              <w:top w:w="65" w:type="dxa"/>
              <w:bottom w:w="60" w:type="dxa"/>
              <w:left w:w="85" w:type="dxa"/>
              <w:right w:w="85" w:type="dxa"/>
            </w:tcMar>
          </w:tcPr>
          <w:p>
            <w:pPr>
              <w:pStyle w:val="TableText"/>
              <w:spacing w:after="100"/>
            </w:pPr>
            <w:r>
              <w:t>Use applicable quantity foundations. Full purchased texts were not inspected in this task.</w:t>
            </w:r>
          </w:p>
        </w:tc>
      </w:tr>
      <w:tr>
        <w:trPr>
          <w:cantSplit/>
        </w:trPr>
        <w:tc>
          <w:tcPr>
            <w:tcW w:type="dxa" w:w="2880"/>
            <w:vAlign w:val="top"/>
            <w:tcMar>
              <w:top w:w="65" w:type="dxa"/>
              <w:bottom w:w="60" w:type="dxa"/>
              <w:left w:w="85" w:type="dxa"/>
              <w:right w:w="85" w:type="dxa"/>
            </w:tcMar>
          </w:tcPr>
          <w:p>
            <w:pPr>
              <w:pStyle w:val="TableText"/>
              <w:spacing w:after="100"/>
            </w:pPr>
            <w:r>
              <w:t>UCUM; QUDT; RFC 6906</w:t>
            </w:r>
          </w:p>
        </w:tc>
        <w:tc>
          <w:tcPr>
            <w:tcW w:type="dxa" w:w="2952"/>
            <w:vAlign w:val="top"/>
            <w:tcMar>
              <w:top w:w="65" w:type="dxa"/>
              <w:bottom w:w="60" w:type="dxa"/>
              <w:left w:w="85" w:type="dxa"/>
              <w:right w:w="85" w:type="dxa"/>
            </w:tcMar>
          </w:tcPr>
          <w:p>
            <w:pPr>
              <w:pStyle w:val="TableText"/>
              <w:spacing w:after="100"/>
            </w:pPr>
            <w:r>
              <w:t>Absent / no separate IC status</w:t>
            </w:r>
          </w:p>
        </w:tc>
        <w:tc>
          <w:tcPr>
            <w:tcW w:type="dxa" w:w="4320"/>
            <w:vAlign w:val="top"/>
            <w:tcMar>
              <w:top w:w="65" w:type="dxa"/>
              <w:bottom w:w="60" w:type="dxa"/>
              <w:left w:w="85" w:type="dxa"/>
              <w:right w:w="85" w:type="dxa"/>
            </w:tcMar>
          </w:tcPr>
          <w:p>
            <w:pPr>
              <w:pStyle w:val="TableText"/>
              <w:spacing w:after="100"/>
            </w:pPr>
            <w:r>
              <w:t>Record units/definitions/declaration roles and edition choices. Do not request a new listing for every vocabulary term.</w:t>
            </w:r>
          </w:p>
        </w:tc>
      </w:tr>
      <w:tr>
        <w:trPr>
          <w:cantSplit/>
        </w:trPr>
        <w:tc>
          <w:tcPr>
            <w:tcW w:type="dxa" w:w="2880"/>
            <w:vAlign w:val="top"/>
            <w:shd w:fill="F3F6F7"/>
            <w:tcMar>
              <w:top w:w="65" w:type="dxa"/>
              <w:bottom w:w="60" w:type="dxa"/>
              <w:left w:w="85" w:type="dxa"/>
              <w:right w:w="85" w:type="dxa"/>
            </w:tcMar>
          </w:tcPr>
          <w:p>
            <w:pPr>
              <w:pStyle w:val="TableText"/>
              <w:spacing w:after="100"/>
            </w:pPr>
            <w:r>
              <w:t>Matter R1.3; OMA Device 3 v1.2; assessed Redfish schemas</w:t>
            </w:r>
          </w:p>
        </w:tc>
        <w:tc>
          <w:tcPr>
            <w:tcW w:type="dxa" w:w="2952"/>
            <w:vAlign w:val="top"/>
            <w:shd w:fill="F3F6F7"/>
            <w:tcMar>
              <w:top w:w="65" w:type="dxa"/>
              <w:bottom w:w="60" w:type="dxa"/>
              <w:left w:w="85" w:type="dxa"/>
              <w:right w:w="85" w:type="dxa"/>
            </w:tcMar>
          </w:tcPr>
          <w:p>
            <w:pPr>
              <w:pStyle w:val="TableText"/>
              <w:spacing w:after="100"/>
            </w:pPr>
            <w:r>
              <w:t>Absent / no separate IC status</w:t>
            </w:r>
          </w:p>
        </w:tc>
        <w:tc>
          <w:tcPr>
            <w:tcW w:type="dxa" w:w="4320"/>
            <w:vAlign w:val="top"/>
            <w:shd w:fill="F3F6F7"/>
            <w:tcMar>
              <w:top w:w="65" w:type="dxa"/>
              <w:bottom w:w="60" w:type="dxa"/>
              <w:left w:w="85" w:type="dxa"/>
              <w:right w:w="85" w:type="dxa"/>
            </w:tcMar>
          </w:tcPr>
          <w:p>
            <w:pPr>
              <w:pStyle w:val="TableText"/>
              <w:spacing w:after="100"/>
            </w:pPr>
            <w:r>
              <w:t>No addition recommendation for comparison alone; reconsider for a selected native interface or normative dependency.</w:t>
            </w:r>
          </w:p>
        </w:tc>
      </w:tr>
      <w:tr>
        <w:trPr>
          <w:cantSplit/>
        </w:trPr>
        <w:tc>
          <w:tcPr>
            <w:tcW w:type="dxa" w:w="2880"/>
            <w:vAlign w:val="top"/>
            <w:tcMar>
              <w:top w:w="65" w:type="dxa"/>
              <w:bottom w:w="60" w:type="dxa"/>
              <w:left w:w="85" w:type="dxa"/>
              <w:right w:w="85" w:type="dxa"/>
            </w:tcMar>
          </w:tcPr>
          <w:p>
            <w:pPr>
              <w:pStyle w:val="TableText"/>
              <w:spacing w:after="100"/>
            </w:pPr>
            <w:r>
              <w:t>CIM_Battery in schema 2.31.0</w:t>
            </w:r>
          </w:p>
        </w:tc>
        <w:tc>
          <w:tcPr>
            <w:tcW w:type="dxa" w:w="2952"/>
            <w:vAlign w:val="top"/>
            <w:tcMar>
              <w:top w:w="65" w:type="dxa"/>
              <w:bottom w:w="60" w:type="dxa"/>
              <w:left w:w="85" w:type="dxa"/>
              <w:right w:w="85" w:type="dxa"/>
            </w:tcMar>
          </w:tcPr>
          <w:p>
            <w:pPr>
              <w:pStyle w:val="TableText"/>
              <w:spacing w:after="100"/>
            </w:pPr>
            <w:r>
              <w:t>No exact entry. Listed schema 2.10.1 is Retired / IC-Retired.</w:t>
            </w:r>
          </w:p>
        </w:tc>
        <w:tc>
          <w:tcPr>
            <w:tcW w:type="dxa" w:w="4320"/>
            <w:vAlign w:val="top"/>
            <w:tcMar>
              <w:top w:w="65" w:type="dxa"/>
              <w:bottom w:w="60" w:type="dxa"/>
              <w:left w:w="85" w:type="dxa"/>
              <w:right w:w="85" w:type="dxa"/>
            </w:tcMar>
          </w:tcPr>
          <w:p>
            <w:pPr>
              <w:pStyle w:val="TableText"/>
              <w:spacing w:after="100"/>
            </w:pPr>
            <w:r>
              <w:t>Bounded runtime translation requires explicit dependency treatment; do not claim the class is Mandated.</w:t>
            </w:r>
          </w:p>
        </w:tc>
      </w:tr>
      <w:tr>
        <w:trPr>
          <w:cantSplit/>
        </w:trPr>
        <w:tc>
          <w:tcPr>
            <w:tcW w:type="dxa" w:w="2880"/>
            <w:vAlign w:val="top"/>
            <w:shd w:fill="F3F6F7"/>
            <w:tcMar>
              <w:top w:w="65" w:type="dxa"/>
              <w:bottom w:w="60" w:type="dxa"/>
              <w:left w:w="85" w:type="dxa"/>
              <w:right w:w="85" w:type="dxa"/>
            </w:tcMar>
          </w:tcPr>
          <w:p>
            <w:pPr>
              <w:pStyle w:val="TableText"/>
              <w:spacing w:after="100"/>
            </w:pPr>
            <w:r>
              <w:t>DSP0004 2.8.0 and 3.0.1</w:t>
            </w:r>
          </w:p>
        </w:tc>
        <w:tc>
          <w:tcPr>
            <w:tcW w:type="dxa" w:w="2952"/>
            <w:vAlign w:val="top"/>
            <w:shd w:fill="F3F6F7"/>
            <w:tcMar>
              <w:top w:w="65" w:type="dxa"/>
              <w:bottom w:w="60" w:type="dxa"/>
              <w:left w:w="85" w:type="dxa"/>
              <w:right w:w="85" w:type="dxa"/>
            </w:tcMar>
          </w:tcPr>
          <w:p>
            <w:pPr>
              <w:pStyle w:val="TableText"/>
              <w:spacing w:after="100"/>
            </w:pPr>
            <w:r>
              <w:t>Mandated / IC-Mandated</w:t>
            </w:r>
          </w:p>
        </w:tc>
        <w:tc>
          <w:tcPr>
            <w:tcW w:type="dxa" w:w="4320"/>
            <w:vAlign w:val="top"/>
            <w:shd w:fill="F3F6F7"/>
            <w:tcMar>
              <w:top w:w="65" w:type="dxa"/>
              <w:bottom w:w="60" w:type="dxa"/>
              <w:left w:w="85" w:type="dxa"/>
              <w:right w:w="85" w:type="dxa"/>
            </w:tcMar>
          </w:tcPr>
          <w:p>
            <w:pPr>
              <w:pStyle w:val="TableText"/>
              <w:spacing w:after="100"/>
            </w:pPr>
            <w:r>
              <w:t>Infrastructure/metamodel entries; they do not determine the status of CIM_Battery or Redfish.</w:t>
            </w:r>
          </w:p>
        </w:tc>
      </w:tr>
      <w:tr>
        <w:trPr>
          <w:cantSplit/>
        </w:trPr>
        <w:tc>
          <w:tcPr>
            <w:tcW w:type="dxa" w:w="2880"/>
            <w:vAlign w:val="top"/>
            <w:tcMar>
              <w:top w:w="65" w:type="dxa"/>
              <w:bottom w:w="60" w:type="dxa"/>
              <w:left w:w="85" w:type="dxa"/>
              <w:right w:w="85" w:type="dxa"/>
            </w:tcMar>
          </w:tcPr>
          <w:p>
            <w:pPr>
              <w:pStyle w:val="TableText"/>
              <w:spacing w:after="100"/>
            </w:pPr>
            <w:r>
              <w:t>OSA-EAI 3.2.3a; OSA-CBM 3.3.1</w:t>
            </w:r>
          </w:p>
        </w:tc>
        <w:tc>
          <w:tcPr>
            <w:tcW w:type="dxa" w:w="2952"/>
            <w:vAlign w:val="top"/>
            <w:tcMar>
              <w:top w:w="65" w:type="dxa"/>
              <w:bottom w:w="60" w:type="dxa"/>
              <w:left w:w="85" w:type="dxa"/>
              <w:right w:w="85" w:type="dxa"/>
            </w:tcMar>
          </w:tcPr>
          <w:p>
            <w:pPr>
              <w:pStyle w:val="TableText"/>
              <w:spacing w:after="100"/>
            </w:pPr>
            <w:r>
              <w:t>EAI: Mandated / IC-Not Applicable. CBM: Mandated / IC-Mandated.</w:t>
            </w:r>
          </w:p>
        </w:tc>
        <w:tc>
          <w:tcPr>
            <w:tcW w:type="dxa" w:w="4320"/>
            <w:vAlign w:val="top"/>
            <w:tcMar>
              <w:top w:w="65" w:type="dxa"/>
              <w:bottom w:w="60" w:type="dxa"/>
              <w:left w:w="85" w:type="dxa"/>
              <w:right w:w="85" w:type="dxa"/>
            </w:tcMar>
          </w:tcPr>
          <w:p>
            <w:pPr>
              <w:pStyle w:val="TableText"/>
              <w:spacing w:after="100"/>
            </w:pPr>
            <w:r>
              <w:t>Retain lifecycle coordination; do not transfer these statuses to CCOM 4.1.0-RC1 or the proposed OGC event translation.</w:t>
            </w:r>
          </w:p>
        </w:tc>
      </w:tr>
    </w:tbl>
    <w:p>
      <w:pPr>
        <w:pStyle w:val="Small"/>
        <w:spacing w:after="20"/>
      </w:pPr>
    </w:p>
    <w:p>
      <w:pPr>
        <w:pStyle w:val="Small"/>
      </w:pPr>
      <w:r>
        <w:t>DLA gives Mandated standards precedence over competing or similar choices; Emerging standards cannot displace them. Apply that rule to the actual requirement and edition, not a family name. No program-specific waiver determination is made here (Defense Standardization Program n.d.).</w:t>
      </w:r>
    </w:p>
    <w:p>
      <w:pPr>
        <w:pStyle w:val="Heading1"/>
        <w:pageBreakBefore/>
      </w:pPr>
      <w:r>
        <w:t>13. NATO, openness and reuse implications</w:t>
      </w:r>
    </w:p>
    <w:p>
      <w:pPr>
        <w:pStyle w:val="Heading2"/>
      </w:pPr>
      <w:r>
        <w:t>13.1 Keep NATO findings separate and evidence-bounded</w:t>
      </w:r>
    </w:p>
    <w:p>
      <w:r>
        <w:t>The recovered research retains the STANAG 4789 custodial context and a supplied ratification package as the starting point for sensor-profile coordination. It does not establish current independent NATO adoption of RFC 7326, RFC 7577, the selected runtime property or the other power donors. No new NATO status assertion is made in this recommendation; the precise AEP edition clauses and any later adoption evidence remain separate from the technical model decision (Research Bibliography 2026, S01–S04, S09–S10; Power Restart PITON 2026, §10).</w:t>
      </w:r>
    </w:p>
    <w:p>
      <w:r>
        <w:t>For the OGC foundation, coordinate any eventual power-profile requirement through the existing main-profile and custodial route rather than propose a duplicate STANAG. For the IETF and CIM semantic selections, identify the exact adopted dependency and whether the required behavior is in the new profile or a native external interface before requesting an Alliance-facing action. For Matter, OMA and Redfish comparison-only material, recommend no action because this design does not require those native interfaces; absence of adoption evidence is not evidence of NATO rejection.</w:t>
      </w:r>
    </w:p>
    <w:p>
      <w:pPr>
        <w:pStyle w:val="Heading2"/>
      </w:pPr>
      <w:r>
        <w:t>13.2 Prefer open development and inspectable artifacts</w:t>
      </w:r>
    </w:p>
    <w:p>
      <w:r>
        <w:t>The IETF’s open participation and public documents support the selection preference, while the OGC foundation is published on a royalty-free, non-discriminatory basis. Those advantages do not erase the separate permissions for document copying, translated definitions, code components and patented technology. Record the actual source and permission relevant to any distributed artifact; a standards-family name is not a blanket reuse license (IETF n.d.-a–b; OGC 2025c, notice).</w:t>
      </w:r>
    </w:p>
    <w:p>
      <w:r>
        <w:t>The selected RFCs identify IETF Trust terms, with distinct conditions for extracted code components. UCUM permits implementation while protecting the integrity of its unit definitions; a client should not redefine a unit under the same code. The new OGC groups and documentation can be authored as our own clearly attributed binding, but any copied machine-readable content still needs the applicable rights review (IETF n.d.-b; UCUM Organization n.d.).</w:t>
      </w:r>
    </w:p>
    <w:p>
      <w:pPr>
        <w:pStyle w:val="Heading2"/>
      </w:pPr>
      <w:r>
        <w:t>13.3 Do not confuse comparison access with implementation clearance</w:t>
      </w:r>
    </w:p>
    <w:p>
      <w:r>
        <w:t>DMTF’s published Redfish documentation permits attributed reproduction and separately warns about patent rights. That is evidence of inspectable standard content, not a blanket patent clearance for a full Redfish implementation. Here the new Redfish review is confined to named schema artifacts; it does not silently adopt their linked schema dependencies or certification requirements (DMTF 2025).</w:t>
      </w:r>
    </w:p>
    <w:p>
      <w:r>
        <w:t>Matter’s inherited R1.3 findings remain useful, but the official PDF could not be freshly retrieved in this pass; no detailed Matter obligation is selected on that basis. MIMOSA remains valuable for service semantics, but this work neither imports its licensed archives nor treats the earlier license concern as a reason to discard lifecycle coverage. A native MIMOSA, Matter or OMA implementation would require its own exact artifact and terms, beyond the selected semantic recommendation.</w:t>
      </w:r>
    </w:p>
    <w:p>
      <w:pPr>
        <w:pStyle w:val="Heading1"/>
        <w:pageBreakBefore/>
      </w:pPr>
      <w:r>
        <w:t>14. Main-profile reconciliation: proposed changes</w:t>
      </w:r>
    </w:p>
    <w:p>
      <w:r>
        <w:t>The table is a change recommendation, not an edit to the main profile. Each row identifies the current v0.3 choice, the proposed replacement or refinement, and why it is needed. R identifiers remain the main document’s local review references; none becomes a newly registered OGC class (Main Profile 2026, §5).</w:t>
      </w:r>
    </w:p>
    <w:tbl>
      <w:tblPr>
        <w:tblW w:type="auto" w:w="0"/>
        <w:jc w:val="center"/>
        <w:tblLayout w:type="fixed"/>
        <w:tblLook w:firstColumn="1" w:firstRow="1" w:lastColumn="0" w:lastRow="0" w:noHBand="0" w:noVBand="1" w:val="04A0"/>
      </w:tblPr>
      <w:tblGrid>
        <w:gridCol w:w="1944"/>
        <w:gridCol w:w="4968"/>
        <w:gridCol w:w="3240"/>
      </w:tblGrid>
      <w:tr>
        <w:trPr>
          <w:tblHeader/>
          <w:cantSplit/>
        </w:trPr>
        <w:tc>
          <w:tcPr>
            <w:tcW w:type="dxa" w:w="1944"/>
            <w:shd w:fill="DDE9EE"/>
            <w:tcMar>
              <w:top w:w="65" w:type="dxa"/>
              <w:bottom w:w="60" w:type="dxa"/>
              <w:left w:w="85" w:type="dxa"/>
              <w:right w:w="85" w:type="dxa"/>
            </w:tcMar>
          </w:tcPr>
          <w:p>
            <w:pPr>
              <w:pStyle w:val="TableText"/>
              <w:keepNext/>
            </w:pPr>
            <w:r>
              <w:rPr>
                <w:b/>
                <w:color w:val="153B4C"/>
              </w:rPr>
              <w:t>Affected baseline</w:t>
            </w:r>
          </w:p>
        </w:tc>
        <w:tc>
          <w:tcPr>
            <w:tcW w:type="dxa" w:w="4968"/>
            <w:shd w:fill="DDE9EE"/>
            <w:tcMar>
              <w:top w:w="65" w:type="dxa"/>
              <w:bottom w:w="60" w:type="dxa"/>
              <w:left w:w="85" w:type="dxa"/>
              <w:right w:w="85" w:type="dxa"/>
            </w:tcMar>
          </w:tcPr>
          <w:p>
            <w:pPr>
              <w:pStyle w:val="TableText"/>
              <w:keepNext/>
            </w:pPr>
            <w:r>
              <w:rPr>
                <w:b/>
                <w:color w:val="153B4C"/>
              </w:rPr>
              <w:t>Recommended change</w:t>
            </w:r>
          </w:p>
        </w:tc>
        <w:tc>
          <w:tcPr>
            <w:tcW w:type="dxa" w:w="3240"/>
            <w:shd w:fill="DDE9EE"/>
            <w:tcMar>
              <w:top w:w="65" w:type="dxa"/>
              <w:bottom w:w="60" w:type="dxa"/>
              <w:left w:w="85" w:type="dxa"/>
              <w:right w:w="85" w:type="dxa"/>
            </w:tcMar>
          </w:tcPr>
          <w:p>
            <w:pPr>
              <w:pStyle w:val="TableText"/>
              <w:keepNext/>
            </w:pPr>
            <w:r>
              <w:rPr>
                <w:b/>
                <w:color w:val="153B4C"/>
              </w:rPr>
              <w:t>Reason / coordination impact</w:t>
            </w:r>
          </w:p>
        </w:tc>
      </w:tr>
      <w:tr>
        <w:trPr>
          <w:cantSplit/>
        </w:trPr>
        <w:tc>
          <w:tcPr>
            <w:tcW w:type="dxa" w:w="1944"/>
            <w:vAlign w:val="top"/>
            <w:shd w:fill="F3F6F7"/>
            <w:tcMar>
              <w:top w:w="65" w:type="dxa"/>
              <w:bottom w:w="60" w:type="dxa"/>
              <w:left w:w="85" w:type="dxa"/>
              <w:right w:w="85" w:type="dxa"/>
            </w:tcMar>
          </w:tcPr>
          <w:p>
            <w:pPr>
              <w:pStyle w:val="TableText"/>
              <w:spacing w:after="100"/>
            </w:pPr>
            <w:r>
              <w:t>§4.7; §5.10 R16</w:t>
            </w:r>
          </w:p>
        </w:tc>
        <w:tc>
          <w:tcPr>
            <w:tcW w:type="dxa" w:w="4968"/>
            <w:vAlign w:val="top"/>
            <w:shd w:fill="F3F6F7"/>
            <w:tcMar>
              <w:top w:w="65" w:type="dxa"/>
              <w:bottom w:w="60" w:type="dxa"/>
              <w:left w:w="85" w:type="dxa"/>
              <w:right w:w="85" w:type="dxa"/>
            </w:tcMar>
          </w:tcPr>
          <w:p>
            <w:pPr>
              <w:pStyle w:val="TableText"/>
              <w:spacing w:after="100"/>
            </w:pPr>
            <w:r>
              <w:t>Select RFC 7326 as the organizing basis and replace P/group/power-association with the typed energy-relationship group.</w:t>
            </w:r>
          </w:p>
        </w:tc>
        <w:tc>
          <w:tcPr>
            <w:tcW w:type="dxa" w:w="3240"/>
            <w:vAlign w:val="top"/>
            <w:shd w:fill="F3F6F7"/>
            <w:tcMar>
              <w:top w:w="65" w:type="dxa"/>
              <w:bottom w:w="60" w:type="dxa"/>
              <w:left w:w="85" w:type="dxa"/>
              <w:right w:w="85" w:type="dxa"/>
            </w:tcMar>
          </w:tcPr>
          <w:p>
            <w:pPr>
              <w:pStyle w:val="TableText"/>
              <w:spacing w:after="100"/>
            </w:pPr>
            <w:r>
              <w:t>Supports distinct supply, metering and aggregation; retain equipment-level fallback and explicit internal specialization.</w:t>
            </w:r>
          </w:p>
        </w:tc>
      </w:tr>
      <w:tr>
        <w:trPr>
          <w:cantSplit/>
        </w:trPr>
        <w:tc>
          <w:tcPr>
            <w:tcW w:type="dxa" w:w="1944"/>
            <w:vAlign w:val="top"/>
            <w:tcMar>
              <w:top w:w="65" w:type="dxa"/>
              <w:bottom w:w="60" w:type="dxa"/>
              <w:left w:w="85" w:type="dxa"/>
              <w:right w:w="85" w:type="dxa"/>
            </w:tcMar>
          </w:tcPr>
          <w:p>
            <w:pPr>
              <w:pStyle w:val="TableText"/>
              <w:spacing w:after="100"/>
            </w:pPr>
            <w:r>
              <w:t>§5.5; §5.12 catalogue</w:t>
            </w:r>
          </w:p>
        </w:tc>
        <w:tc>
          <w:tcPr>
            <w:tcW w:type="dxa" w:w="4968"/>
            <w:vAlign w:val="top"/>
            <w:tcMar>
              <w:top w:w="65" w:type="dxa"/>
              <w:bottom w:w="60" w:type="dxa"/>
              <w:left w:w="85" w:type="dxa"/>
              <w:right w:w="85" w:type="dxa"/>
            </w:tcMar>
          </w:tcPr>
          <w:p>
            <w:pPr>
              <w:pStyle w:val="TableText"/>
              <w:spacing w:after="100"/>
            </w:pPr>
            <w:r>
              <w:t>Add energy-object, power-interface, battery-characteristics and internal-power-path definitions; retire the illustrative external-supply code as a supposed complete model.</w:t>
            </w:r>
          </w:p>
        </w:tc>
        <w:tc>
          <w:tcPr>
            <w:tcW w:type="dxa" w:w="3240"/>
            <w:vAlign w:val="top"/>
            <w:tcMar>
              <w:top w:w="65" w:type="dxa"/>
              <w:bottom w:w="60" w:type="dxa"/>
              <w:left w:w="85" w:type="dxa"/>
              <w:right w:w="85" w:type="dxa"/>
            </w:tcMar>
          </w:tcPr>
          <w:p>
            <w:pPr>
              <w:pStyle w:val="TableText"/>
              <w:spacing w:after="100"/>
            </w:pPr>
            <w:r>
              <w:t>Domain meaning now drives the groups. Do not automatically migrate a coarse old assertion to an interface-level one.</w:t>
            </w:r>
          </w:p>
        </w:tc>
      </w:tr>
      <w:tr>
        <w:trPr>
          <w:cantSplit/>
        </w:trPr>
        <w:tc>
          <w:tcPr>
            <w:tcW w:type="dxa" w:w="1944"/>
            <w:vAlign w:val="top"/>
            <w:shd w:fill="F3F6F7"/>
            <w:tcMar>
              <w:top w:w="65" w:type="dxa"/>
              <w:bottom w:w="60" w:type="dxa"/>
              <w:left w:w="85" w:type="dxa"/>
              <w:right w:w="85" w:type="dxa"/>
            </w:tcMar>
          </w:tcPr>
          <w:p>
            <w:pPr>
              <w:pStyle w:val="TableText"/>
              <w:spacing w:after="100"/>
            </w:pPr>
            <w:r>
              <w:t>R01–R03; §5.3</w:t>
            </w:r>
          </w:p>
        </w:tc>
        <w:tc>
          <w:tcPr>
            <w:tcW w:type="dxa" w:w="4968"/>
            <w:vAlign w:val="top"/>
            <w:shd w:fill="F3F6F7"/>
            <w:tcMar>
              <w:top w:w="65" w:type="dxa"/>
              <w:bottom w:w="60" w:type="dxa"/>
              <w:left w:w="85" w:type="dxa"/>
              <w:right w:w="85" w:type="dxa"/>
            </w:tcMar>
          </w:tcPr>
          <w:p>
            <w:pPr>
              <w:pStyle w:val="TableText"/>
              <w:spacing w:after="100"/>
            </w:pPr>
            <w:r>
              <w:t>Preserve native equipment identities; add explicit Energy Object class/UUID semantics and owner#id lookup. Keep sourceKey private to adapters.</w:t>
            </w:r>
          </w:p>
        </w:tc>
        <w:tc>
          <w:tcPr>
            <w:tcW w:type="dxa" w:w="3240"/>
            <w:vAlign w:val="top"/>
            <w:shd w:fill="F3F6F7"/>
            <w:tcMar>
              <w:top w:w="65" w:type="dxa"/>
              <w:bottom w:w="60" w:type="dxa"/>
              <w:left w:w="85" w:type="dxa"/>
              <w:right w:w="85" w:type="dxa"/>
            </w:tcMar>
          </w:tcPr>
          <w:p>
            <w:pPr>
              <w:pStyle w:val="TableText"/>
              <w:spacing w:after="100"/>
            </w:pPr>
            <w:r>
              <w:t>Encoding class is not an energy-object class; physical identity and representation location are complementary.</w:t>
            </w:r>
          </w:p>
        </w:tc>
      </w:tr>
      <w:tr>
        <w:trPr>
          <w:cantSplit/>
        </w:trPr>
        <w:tc>
          <w:tcPr>
            <w:tcW w:type="dxa" w:w="1944"/>
            <w:vAlign w:val="top"/>
            <w:tcMar>
              <w:top w:w="65" w:type="dxa"/>
              <w:bottom w:w="60" w:type="dxa"/>
              <w:left w:w="85" w:type="dxa"/>
              <w:right w:w="85" w:type="dxa"/>
            </w:tcMar>
          </w:tcPr>
          <w:p>
            <w:pPr>
              <w:pStyle w:val="TableText"/>
              <w:spacing w:after="100"/>
            </w:pPr>
            <w:r>
              <w:t>R05–R09; §5.4</w:t>
            </w:r>
          </w:p>
        </w:tc>
        <w:tc>
          <w:tcPr>
            <w:tcW w:type="dxa" w:w="4968"/>
            <w:vAlign w:val="top"/>
            <w:tcMar>
              <w:top w:w="65" w:type="dxa"/>
              <w:bottom w:w="60" w:type="dxa"/>
              <w:left w:w="85" w:type="dxa"/>
              <w:right w:w="85" w:type="dxa"/>
            </w:tcMar>
          </w:tcPr>
          <w:p>
            <w:pPr>
              <w:pStyle w:val="TableText"/>
              <w:spacing w:after="100"/>
            </w:pPr>
            <w:r>
              <w:t>Scope arrangement changes to the employment and relation period; keep source-priority/charging settings linked to actual configurable elements.</w:t>
            </w:r>
          </w:p>
        </w:tc>
        <w:tc>
          <w:tcPr>
            <w:tcW w:type="dxa" w:w="3240"/>
            <w:vAlign w:val="top"/>
            <w:tcMar>
              <w:top w:w="65" w:type="dxa"/>
              <w:bottom w:w="60" w:type="dxa"/>
              <w:left w:w="85" w:type="dxa"/>
              <w:right w:w="85" w:type="dxa"/>
            </w:tcMar>
          </w:tcPr>
          <w:p>
            <w:pPr>
              <w:pStyle w:val="TableText"/>
              <w:spacing w:after="100"/>
            </w:pPr>
            <w:r>
              <w:t>A power change can occur during one deployment; settings do not automatically establish active supply.</w:t>
            </w:r>
          </w:p>
        </w:tc>
      </w:tr>
      <w:tr>
        <w:trPr>
          <w:cantSplit/>
        </w:trPr>
        <w:tc>
          <w:tcPr>
            <w:tcW w:type="dxa" w:w="1944"/>
            <w:vAlign w:val="top"/>
            <w:shd w:fill="F3F6F7"/>
            <w:tcMar>
              <w:top w:w="65" w:type="dxa"/>
              <w:bottom w:w="60" w:type="dxa"/>
              <w:left w:w="85" w:type="dxa"/>
              <w:right w:w="85" w:type="dxa"/>
            </w:tcMar>
          </w:tcPr>
          <w:p>
            <w:pPr>
              <w:pStyle w:val="TableText"/>
              <w:spacing w:after="100"/>
            </w:pPr>
            <w:r>
              <w:t>R10–R11; R17</w:t>
            </w:r>
          </w:p>
        </w:tc>
        <w:tc>
          <w:tcPr>
            <w:tcW w:type="dxa" w:w="4968"/>
            <w:vAlign w:val="top"/>
            <w:shd w:fill="F3F6F7"/>
            <w:tcMar>
              <w:top w:w="65" w:type="dxa"/>
              <w:bottom w:w="60" w:type="dxa"/>
              <w:left w:w="85" w:type="dxa"/>
              <w:right w:w="85" w:type="dxa"/>
            </w:tcMar>
          </w:tcPr>
          <w:p>
            <w:pPr>
              <w:pStyle w:val="TableText"/>
              <w:spacing w:after="100"/>
            </w:pPr>
            <w:r>
              <w:t>Use native producer/subject roles, declared embedded refinements and metering coverage. Replace the illustrative voltage term as in §9.4; split fixed-subject A/B streams.</w:t>
            </w:r>
          </w:p>
        </w:tc>
        <w:tc>
          <w:tcPr>
            <w:tcW w:type="dxa" w:w="3240"/>
            <w:vAlign w:val="top"/>
            <w:shd w:fill="F3F6F7"/>
            <w:tcMar>
              <w:top w:w="65" w:type="dxa"/>
              <w:bottom w:w="60" w:type="dxa"/>
              <w:left w:w="85" w:type="dxa"/>
              <w:right w:w="85" w:type="dxa"/>
            </w:tcMar>
          </w:tcPr>
          <w:p>
            <w:pPr>
              <w:pStyle w:val="TableText"/>
              <w:spacing w:after="100"/>
            </w:pPr>
            <w:r>
              <w:t>Prevents reporting-system, battery and meter conflation and retrospective subject reassignment.</w:t>
            </w:r>
          </w:p>
        </w:tc>
      </w:tr>
      <w:tr>
        <w:trPr>
          <w:cantSplit/>
        </w:trPr>
        <w:tc>
          <w:tcPr>
            <w:tcW w:type="dxa" w:w="1944"/>
            <w:vAlign w:val="top"/>
            <w:tcMar>
              <w:top w:w="65" w:type="dxa"/>
              <w:bottom w:w="60" w:type="dxa"/>
              <w:left w:w="85" w:type="dxa"/>
              <w:right w:w="85" w:type="dxa"/>
            </w:tcMar>
          </w:tcPr>
          <w:p>
            <w:pPr>
              <w:pStyle w:val="TableText"/>
              <w:spacing w:after="100"/>
            </w:pPr>
            <w:r>
              <w:t>R12</w:t>
            </w:r>
          </w:p>
        </w:tc>
        <w:tc>
          <w:tcPr>
            <w:tcW w:type="dxa" w:w="4968"/>
            <w:vAlign w:val="top"/>
            <w:tcMar>
              <w:top w:w="65" w:type="dxa"/>
              <w:bottom w:w="60" w:type="dxa"/>
              <w:left w:w="85" w:type="dxa"/>
              <w:right w:w="85" w:type="dxa"/>
            </w:tcMar>
          </w:tcPr>
          <w:p>
            <w:pPr>
              <w:pStyle w:val="TableText"/>
              <w:spacing w:after="100"/>
            </w:pPr>
            <w:r>
              <w:t>Retain supported power actions in model coverage, with explicit input/effect/target binding and command-state evidence.</w:t>
            </w:r>
          </w:p>
        </w:tc>
        <w:tc>
          <w:tcPr>
            <w:tcW w:type="dxa" w:w="3240"/>
            <w:vAlign w:val="top"/>
            <w:tcMar>
              <w:top w:w="65" w:type="dxa"/>
              <w:bottom w:w="60" w:type="dxa"/>
              <w:left w:w="85" w:type="dxa"/>
              <w:right w:w="85" w:type="dxa"/>
            </w:tcMar>
          </w:tcPr>
          <w:p>
            <w:pPr>
              <w:pStyle w:val="TableText"/>
              <w:spacing w:after="100"/>
            </w:pPr>
            <w:r>
              <w:t>Earlier read-only increment is not the permanent capability boundary; no native controls presumed.</w:t>
            </w:r>
          </w:p>
        </w:tc>
      </w:tr>
      <w:tr>
        <w:trPr>
          <w:cantSplit/>
        </w:trPr>
        <w:tc>
          <w:tcPr>
            <w:tcW w:type="dxa" w:w="1944"/>
            <w:vAlign w:val="top"/>
            <w:shd w:fill="F3F6F7"/>
            <w:tcMar>
              <w:top w:w="65" w:type="dxa"/>
              <w:bottom w:w="60" w:type="dxa"/>
              <w:left w:w="85" w:type="dxa"/>
              <w:right w:w="85" w:type="dxa"/>
            </w:tcMar>
          </w:tcPr>
          <w:p>
            <w:pPr>
              <w:pStyle w:val="TableText"/>
              <w:spacing w:after="100"/>
            </w:pPr>
            <w:r>
              <w:t>R18–R19; §5.11</w:t>
            </w:r>
          </w:p>
        </w:tc>
        <w:tc>
          <w:tcPr>
            <w:tcW w:type="dxa" w:w="4968"/>
            <w:vAlign w:val="top"/>
            <w:shd w:fill="F3F6F7"/>
            <w:tcMar>
              <w:top w:w="65" w:type="dxa"/>
              <w:bottom w:w="60" w:type="dxa"/>
              <w:left w:w="85" w:type="dxa"/>
              <w:right w:w="85" w:type="dxa"/>
            </w:tcMar>
          </w:tcPr>
          <w:p>
            <w:pPr>
              <w:pStyle w:val="TableText"/>
              <w:spacing w:after="100"/>
            </w:pPr>
            <w:r>
              <w:t>Prefer SystemEvent for a claimed operating service-access scope; allow embedded history and correlated coexistence.</w:t>
            </w:r>
          </w:p>
        </w:tc>
        <w:tc>
          <w:tcPr>
            <w:tcW w:type="dxa" w:w="3240"/>
            <w:vAlign w:val="top"/>
            <w:shd w:fill="F3F6F7"/>
            <w:tcMar>
              <w:top w:w="65" w:type="dxa"/>
              <w:bottom w:w="60" w:type="dxa"/>
              <w:left w:w="85" w:type="dxa"/>
              <w:right w:w="85" w:type="dxa"/>
            </w:tcMar>
          </w:tcPr>
          <w:p>
            <w:pPr>
              <w:pStyle w:val="TableText"/>
              <w:spacing w:after="100"/>
            </w:pPr>
            <w:r>
              <w:t>Corrects missed native capability; one event identity, actual JSON member names and no unrelated duplicate actions.</w:t>
            </w:r>
          </w:p>
        </w:tc>
      </w:tr>
      <w:tr>
        <w:trPr>
          <w:cantSplit/>
        </w:trPr>
        <w:tc>
          <w:tcPr>
            <w:tcW w:type="dxa" w:w="1944"/>
            <w:vAlign w:val="top"/>
            <w:tcMar>
              <w:top w:w="65" w:type="dxa"/>
              <w:bottom w:w="60" w:type="dxa"/>
              <w:left w:w="85" w:type="dxa"/>
              <w:right w:w="85" w:type="dxa"/>
            </w:tcMar>
          </w:tcPr>
          <w:p>
            <w:pPr>
              <w:pStyle w:val="TableText"/>
              <w:spacing w:after="100"/>
            </w:pPr>
            <w:r>
              <w:t>R20</w:t>
            </w:r>
          </w:p>
        </w:tc>
        <w:tc>
          <w:tcPr>
            <w:tcW w:type="dxa" w:w="4968"/>
            <w:vAlign w:val="top"/>
            <w:tcMar>
              <w:top w:w="65" w:type="dxa"/>
              <w:bottom w:w="60" w:type="dxa"/>
              <w:left w:w="85" w:type="dxa"/>
              <w:right w:w="85" w:type="dxa"/>
            </w:tcMar>
          </w:tcPr>
          <w:p>
            <w:pPr>
              <w:pStyle w:val="TableText"/>
              <w:spacing w:after="100"/>
            </w:pPr>
            <w:r>
              <w:t>Connect source-provided power condition/runtime assessments to the actual subject and evidence.</w:t>
            </w:r>
          </w:p>
        </w:tc>
        <w:tc>
          <w:tcPr>
            <w:tcW w:type="dxa" w:w="3240"/>
            <w:vAlign w:val="top"/>
            <w:tcMar>
              <w:top w:w="65" w:type="dxa"/>
              <w:bottom w:w="60" w:type="dxa"/>
              <w:left w:w="85" w:type="dxa"/>
              <w:right w:w="85" w:type="dxa"/>
            </w:tcMar>
          </w:tcPr>
          <w:p>
            <w:pPr>
              <w:pStyle w:val="TableText"/>
              <w:spacing w:after="100"/>
            </w:pPr>
            <w:r>
              <w:t>No universal readiness score; qualified estimates remain useful domain information.</w:t>
            </w:r>
          </w:p>
        </w:tc>
      </w:tr>
      <w:tr>
        <w:trPr>
          <w:cantSplit/>
        </w:trPr>
        <w:tc>
          <w:tcPr>
            <w:tcW w:type="dxa" w:w="1944"/>
            <w:vAlign w:val="top"/>
            <w:shd w:fill="F3F6F7"/>
            <w:tcMar>
              <w:top w:w="65" w:type="dxa"/>
              <w:bottom w:w="60" w:type="dxa"/>
              <w:left w:w="85" w:type="dxa"/>
              <w:right w:w="85" w:type="dxa"/>
            </w:tcMar>
          </w:tcPr>
          <w:p>
            <w:pPr>
              <w:pStyle w:val="TableText"/>
              <w:spacing w:after="100"/>
            </w:pPr>
            <w:r>
              <w:t>§5.2; §7; §8</w:t>
            </w:r>
          </w:p>
        </w:tc>
        <w:tc>
          <w:tcPr>
            <w:tcW w:type="dxa" w:w="4968"/>
            <w:vAlign w:val="top"/>
            <w:shd w:fill="F3F6F7"/>
            <w:tcMar>
              <w:top w:w="65" w:type="dxa"/>
              <w:bottom w:w="60" w:type="dxa"/>
              <w:left w:w="85" w:type="dxa"/>
              <w:right w:w="85" w:type="dxa"/>
            </w:tcMar>
          </w:tcPr>
          <w:p>
            <w:pPr>
              <w:pStyle w:val="TableText"/>
              <w:spacing w:after="100"/>
            </w:pPr>
            <w:r>
              <w:t>Define power-domain and optional service-access scopes with versioned identifiers and common reference rules.</w:t>
            </w:r>
          </w:p>
        </w:tc>
        <w:tc>
          <w:tcPr>
            <w:tcW w:type="dxa" w:w="3240"/>
            <w:vAlign w:val="top"/>
            <w:shd w:fill="F3F6F7"/>
            <w:tcMar>
              <w:top w:w="65" w:type="dxa"/>
              <w:bottom w:w="60" w:type="dxa"/>
              <w:left w:w="85" w:type="dxa"/>
              <w:right w:w="85" w:type="dxa"/>
            </w:tcMar>
          </w:tcPr>
          <w:p>
            <w:pPr>
              <w:pStyle w:val="TableText"/>
              <w:spacing w:after="100"/>
            </w:pPr>
            <w:r>
              <w:t>Profiles signal implemented meaning; they are not new endpoints or automatic decoders.</w:t>
            </w:r>
          </w:p>
        </w:tc>
      </w:tr>
    </w:tbl>
    <w:p>
      <w:pPr>
        <w:pStyle w:val="Small"/>
        <w:spacing w:after="20"/>
      </w:pPr>
    </w:p>
    <w:p>
      <w:pPr>
        <w:pStyle w:val="Small"/>
      </w:pPr>
      <w:r>
        <w:t>Source rationale is developed in §§4–10. Existing communications and sensing groups need no redesign merely because power shares their equipment. The main document should approve and integrate these common changes before the detailed power constraint package is treated as an implementation contract.</w:t>
      </w:r>
    </w:p>
    <w:p>
      <w:pPr>
        <w:pStyle w:val="Heading1"/>
        <w:pageBreakBefore/>
      </w:pPr>
      <w:r>
        <w:t>14. Coordination note and connected-example changes</w:t>
      </w:r>
    </w:p>
    <w:p>
      <w:pPr>
        <w:pStyle w:val="Heading2"/>
      </w:pPr>
      <w:r>
        <w:t>14.1 Concise note for the main-profile workstream</w:t>
      </w:r>
    </w:p>
    <w:p>
      <w:pPr>
        <w:spacing w:before="100" w:after="180"/>
        <w:shd w:fill="EAF1F4"/>
      </w:pPr>
      <w:r>
        <w:rPr>
          <w:b/>
          <w:color w:val="153B4C"/>
        </w:rPr>
        <w:t>Power Source recommends an RFC 7326-based OGC realization with RFC 7577 battery specialization, scoped measurement semantics and locally authored operating-arrangement detail. Replace the provisional power-association group; align public embedded references on owner#id with persistent subject identity; and add an explicit native SystemEvent service-access option with correlation to embedded history. Retain the whole-system scope and shared deployment/actor/assessment relationships. The recommendation does not change the main-profile files or approve the draft bindings.</w:t>
      </w:r>
    </w:p>
    <w:p>
      <w:pPr>
        <w:pStyle w:val="Heading2"/>
      </w:pPr>
      <w:r>
        <w:t>14.2 Exact changes to the supplied example package</w:t>
      </w:r>
    </w:p>
    <w:tbl>
      <w:tblPr>
        <w:tblW w:type="auto" w:w="0"/>
        <w:jc w:val="center"/>
        <w:tblLayout w:type="fixed"/>
        <w:tblLook w:firstColumn="1" w:firstRow="1" w:lastColumn="0" w:lastRow="0" w:noHBand="0" w:noVBand="1" w:val="04A0"/>
      </w:tblPr>
      <w:tblGrid>
        <w:gridCol w:w="3024"/>
        <w:gridCol w:w="7128"/>
      </w:tblGrid>
      <w:tr>
        <w:trPr>
          <w:tblHeader/>
          <w:cantSplit/>
        </w:trPr>
        <w:tc>
          <w:tcPr>
            <w:tcW w:type="dxa" w:w="3024"/>
            <w:shd w:fill="DDE9EE"/>
            <w:tcMar>
              <w:top w:w="65" w:type="dxa"/>
              <w:bottom w:w="60" w:type="dxa"/>
              <w:left w:w="85" w:type="dxa"/>
              <w:right w:w="85" w:type="dxa"/>
            </w:tcMar>
          </w:tcPr>
          <w:p>
            <w:pPr>
              <w:pStyle w:val="TableText"/>
              <w:keepNext/>
            </w:pPr>
            <w:r>
              <w:rPr>
                <w:b/>
                <w:color w:val="153B4C"/>
              </w:rPr>
              <w:t>Current artifact</w:t>
            </w:r>
          </w:p>
        </w:tc>
        <w:tc>
          <w:tcPr>
            <w:tcW w:type="dxa" w:w="7128"/>
            <w:shd w:fill="DDE9EE"/>
            <w:tcMar>
              <w:top w:w="65" w:type="dxa"/>
              <w:bottom w:w="60" w:type="dxa"/>
              <w:left w:w="85" w:type="dxa"/>
              <w:right w:w="85" w:type="dxa"/>
            </w:tcMar>
          </w:tcPr>
          <w:p>
            <w:pPr>
              <w:pStyle w:val="TableText"/>
              <w:keepNext/>
            </w:pPr>
            <w:r>
              <w:rPr>
                <w:b/>
                <w:color w:val="153B4C"/>
              </w:rPr>
              <w:t>Required proposed revision if approved</w:t>
            </w:r>
          </w:p>
        </w:tc>
      </w:tr>
      <w:tr>
        <w:trPr>
          <w:cantSplit/>
        </w:trPr>
        <w:tc>
          <w:tcPr>
            <w:tcW w:type="dxa" w:w="3024"/>
            <w:vAlign w:val="top"/>
            <w:shd w:fill="F3F6F7"/>
            <w:tcMar>
              <w:top w:w="65" w:type="dxa"/>
              <w:bottom w:w="60" w:type="dxa"/>
              <w:left w:w="85" w:type="dxa"/>
              <w:right w:w="85" w:type="dxa"/>
            </w:tcMar>
          </w:tcPr>
          <w:p>
            <w:pPr>
              <w:pStyle w:val="TableText"/>
              <w:spacing w:after="100"/>
            </w:pPr>
            <w:r>
              <w:t>05_power_a.sml.json; 06_power_b.sml.json</w:t>
            </w:r>
          </w:p>
        </w:tc>
        <w:tc>
          <w:tcPr>
            <w:tcW w:type="dxa" w:w="7128"/>
            <w:vAlign w:val="top"/>
            <w:shd w:fill="F3F6F7"/>
            <w:tcMar>
              <w:top w:w="65" w:type="dxa"/>
              <w:bottom w:w="60" w:type="dxa"/>
              <w:left w:w="85" w:type="dxa"/>
              <w:right w:w="85" w:type="dxa"/>
            </w:tcMar>
          </w:tcPr>
          <w:p>
            <w:pPr>
              <w:pStyle w:val="TableText"/>
              <w:spacing w:after="100"/>
            </w:pPr>
            <w:r>
              <w:t>Currently identity-only external-source descriptions. Add the deliberately selected fictional store/battery descriptions, Energy Object identity and terminal groups; do not claim those fields already exist.</w:t>
            </w:r>
          </w:p>
        </w:tc>
      </w:tr>
      <w:tr>
        <w:trPr>
          <w:cantSplit/>
        </w:trPr>
        <w:tc>
          <w:tcPr>
            <w:tcW w:type="dxa" w:w="3024"/>
            <w:vAlign w:val="top"/>
            <w:tcMar>
              <w:top w:w="65" w:type="dxa"/>
              <w:bottom w:w="60" w:type="dxa"/>
              <w:left w:w="85" w:type="dxa"/>
              <w:right w:w="85" w:type="dxa"/>
            </w:tcMar>
          </w:tcPr>
          <w:p>
            <w:pPr>
              <w:pStyle w:val="TableText"/>
              <w:spacing w:after="100"/>
            </w:pPr>
            <w:r>
              <w:t>02_station.sml.json; 03_gateway.sml.json</w:t>
            </w:r>
          </w:p>
        </w:tc>
        <w:tc>
          <w:tcPr>
            <w:tcW w:type="dxa" w:w="7128"/>
            <w:vAlign w:val="top"/>
            <w:tcMar>
              <w:top w:w="65" w:type="dxa"/>
              <w:bottom w:w="60" w:type="dxa"/>
              <w:left w:w="85" w:type="dxa"/>
              <w:right w:w="85" w:type="dxa"/>
            </w:tcMar>
          </w:tcPr>
          <w:p>
            <w:pPr>
              <w:pStyle w:val="TableText"/>
              <w:spacing w:after="100"/>
            </w:pPr>
            <w:r>
              <w:t>Add the applicable power interfaces and function/output correspondences. Preserve existing equipment and communications content.</w:t>
            </w:r>
          </w:p>
        </w:tc>
      </w:tr>
      <w:tr>
        <w:trPr>
          <w:cantSplit/>
        </w:trPr>
        <w:tc>
          <w:tcPr>
            <w:tcW w:type="dxa" w:w="3024"/>
            <w:vAlign w:val="top"/>
            <w:shd w:fill="F3F6F7"/>
            <w:tcMar>
              <w:top w:w="65" w:type="dxa"/>
              <w:bottom w:w="60" w:type="dxa"/>
              <w:left w:w="85" w:type="dxa"/>
              <w:right w:w="85" w:type="dxa"/>
            </w:tcMar>
          </w:tcPr>
          <w:p>
            <w:pPr>
              <w:pStyle w:val="TableText"/>
              <w:spacing w:after="100"/>
            </w:pPr>
            <w:r>
              <w:t>08_site_deployment.sml.json</w:t>
            </w:r>
          </w:p>
        </w:tc>
        <w:tc>
          <w:tcPr>
            <w:tcW w:type="dxa" w:w="7128"/>
            <w:vAlign w:val="top"/>
            <w:shd w:fill="F3F6F7"/>
            <w:tcMar>
              <w:top w:w="65" w:type="dxa"/>
              <w:bottom w:w="60" w:type="dxa"/>
              <w:left w:w="85" w:type="dxa"/>
              <w:right w:w="85" w:type="dxa"/>
            </w:tcMar>
          </w:tcPr>
          <w:p>
            <w:pPr>
              <w:pStyle w:val="TableText"/>
              <w:spacing w:after="100"/>
            </w:pPr>
            <w:r>
              <w:t>Replace power-before/power-after placeholders with the selected power relations and periods. Include controller/solar/storage participation where the enriched employment requires it; preserve mast and station.</w:t>
            </w:r>
          </w:p>
        </w:tc>
      </w:tr>
      <w:tr>
        <w:trPr>
          <w:cantSplit/>
        </w:trPr>
        <w:tc>
          <w:tcPr>
            <w:tcW w:type="dxa" w:w="3024"/>
            <w:vAlign w:val="top"/>
            <w:tcMar>
              <w:top w:w="65" w:type="dxa"/>
              <w:bottom w:w="60" w:type="dxa"/>
              <w:left w:w="85" w:type="dxa"/>
              <w:right w:w="85" w:type="dxa"/>
            </w:tcMar>
          </w:tcPr>
          <w:p>
            <w:pPr>
              <w:pStyle w:val="TableText"/>
              <w:spacing w:after="100"/>
            </w:pPr>
            <w:r>
              <w:t>16_power_stream.json; 17_power_schema.json; 18_power_observation.json</w:t>
            </w:r>
          </w:p>
        </w:tc>
        <w:tc>
          <w:tcPr>
            <w:tcW w:type="dxa" w:w="7128"/>
            <w:vAlign w:val="top"/>
            <w:tcMar>
              <w:top w:w="65" w:type="dxa"/>
              <w:bottom w:w="60" w:type="dxa"/>
              <w:left w:w="85" w:type="dxa"/>
              <w:right w:w="85" w:type="dxa"/>
            </w:tcMar>
          </w:tcPr>
          <w:p>
            <w:pPr>
              <w:pStyle w:val="TableText"/>
              <w:spacing w:after="100"/>
            </w:pPr>
            <w:r>
              <w:t>Select the battery-monitoring producer, pack B and terminal refinement. Replace P/term/supply-terminal-voltage with the qualified definition in §9.4. Add source-scoped A history rather than relabeling it.</w:t>
            </w:r>
          </w:p>
        </w:tc>
      </w:tr>
      <w:tr>
        <w:trPr>
          <w:cantSplit/>
        </w:trPr>
        <w:tc>
          <w:tcPr>
            <w:tcW w:type="dxa" w:w="3024"/>
            <w:vAlign w:val="top"/>
            <w:shd w:fill="F3F6F7"/>
            <w:tcMar>
              <w:top w:w="65" w:type="dxa"/>
              <w:bottom w:w="60" w:type="dxa"/>
              <w:left w:w="85" w:type="dxa"/>
              <w:right w:w="85" w:type="dxa"/>
            </w:tcMar>
          </w:tcPr>
          <w:p>
            <w:pPr>
              <w:pStyle w:val="TableText"/>
              <w:spacing w:after="100"/>
            </w:pPr>
            <w:r>
              <w:t>history event-swap; files 24–27</w:t>
            </w:r>
          </w:p>
        </w:tc>
        <w:tc>
          <w:tcPr>
            <w:tcW w:type="dxa" w:w="7128"/>
            <w:vAlign w:val="top"/>
            <w:shd w:fill="F3F6F7"/>
            <w:tcMar>
              <w:top w:w="65" w:type="dxa"/>
              <w:bottom w:w="60" w:type="dxa"/>
              <w:left w:w="85" w:type="dxa"/>
              <w:right w:w="85" w:type="dxa"/>
            </w:tcMar>
          </w:tcPr>
          <w:p>
            <w:pPr>
              <w:pStyle w:val="TableText"/>
              <w:spacing w:after="100"/>
            </w:pPr>
            <w:r>
              <w:t>Use the agreed service-event access and identity rule; preserve actor, employment, replaced/replacement subjects, and assessment evidence. Update references rather than manufacture a second service.</w:t>
            </w:r>
          </w:p>
        </w:tc>
      </w:tr>
      <w:tr>
        <w:trPr>
          <w:cantSplit/>
        </w:trPr>
        <w:tc>
          <w:tcPr>
            <w:tcW w:type="dxa" w:w="3024"/>
            <w:vAlign w:val="top"/>
            <w:tcMar>
              <w:top w:w="65" w:type="dxa"/>
              <w:bottom w:w="60" w:type="dxa"/>
              <w:left w:w="85" w:type="dxa"/>
              <w:right w:w="85" w:type="dxa"/>
            </w:tcMar>
          </w:tcPr>
          <w:p>
            <w:pPr>
              <w:pStyle w:val="TableText"/>
              <w:spacing w:after="100"/>
            </w:pPr>
            <w:r>
              <w:t>00_manifest.json; domain_catalogue.json; README.md</w:t>
            </w:r>
          </w:p>
        </w:tc>
        <w:tc>
          <w:tcPr>
            <w:tcW w:type="dxa" w:w="7128"/>
            <w:vAlign w:val="top"/>
            <w:tcMar>
              <w:top w:w="65" w:type="dxa"/>
              <w:bottom w:w="60" w:type="dxa"/>
              <w:left w:w="85" w:type="dxa"/>
              <w:right w:w="85" w:type="dxa"/>
            </w:tcMar>
          </w:tcPr>
          <w:p>
            <w:pPr>
              <w:pStyle w:val="TableText"/>
              <w:spacing w:after="100"/>
            </w:pPr>
            <w:r>
              <w:t>Record new fictional controller/solar resources, defined groups and quantities, exact reference rules and new package scope. Keep old material recognizable as the v0.3 baseline.</w:t>
            </w:r>
          </w:p>
        </w:tc>
      </w:tr>
    </w:tbl>
    <w:p>
      <w:pPr>
        <w:pStyle w:val="Small"/>
        <w:spacing w:after="20"/>
      </w:pPr>
    </w:p>
    <w:p>
      <w:r>
        <w:t>The file-number prefixes control these references where a descriptive filename varies. Any newly added bodies should be assigned filenames during the approved example revision, not presented here as existing files. The connected narrative in §11 is the model review example; a complete updated JSON package is a subsequent deliverable (Connected Example 2026, README and manifest).</w:t>
      </w:r>
    </w:p>
    <w:p>
      <w:pPr>
        <w:pStyle w:val="Heading2"/>
      </w:pPr>
      <w:r>
        <w:t>14.3 Base-client impact</w:t>
      </w:r>
    </w:p>
    <w:p>
      <w:r>
        <w:t>Ordinary clients retain supported native resources, typed content, labels and links. Profile-aware clients gain the ability to traverse electrical relations, distinguish meter coverage and reconstruct the power arrangement at a selected time. Neither level should lose existing access because a new domain term is unfamiliar, and a profile claim should not make invalid or unresolved content appear more certain than the underlying source supports.</w:t>
      </w:r>
    </w:p>
    <w:p>
      <w:pPr>
        <w:pStyle w:val="Heading1"/>
        <w:pageBreakBefore/>
      </w:pPr>
      <w:r>
        <w:t>15. Implementation meaning, limits and decision</w:t>
      </w:r>
    </w:p>
    <w:p>
      <w:pPr>
        <w:pStyle w:val="Heading2"/>
      </w:pPr>
      <w:r>
        <w:t>15.1 What would actually be implemented</w:t>
      </w:r>
    </w:p>
    <w:p>
      <w:r>
        <w:t>A producer integration would construct the selected SensorML descriptions, relationship groups and stream/event bindings from its legitimate source records. It would preserve identity through change, declare units and code spaces, and expose only the native resource capabilities that its server implements. A profile-aware client would implement the common group meanings, lookup and assembly rules, using the same interpretation across summary, detail and participant views.</w:t>
      </w:r>
    </w:p>
    <w:p>
      <w:r>
        <w:t>The proposed claim is therefore an OGC power-domain profile implementing selected EMAN information-model content with identified semantic specializations. A native Battery MIB claim would instead require its actual description/status compliance groups and applicable optional behavior; a native Redfish or LwM2M claim would have its own requirements. No such native implementation, live-source verification or cross-vendor interoperability result has been demonstrated by this design recommendation (Quittek, Winter, and Dietz 2015, §4).</w:t>
      </w:r>
    </w:p>
    <w:p>
      <w:pPr>
        <w:pStyle w:val="Heading2"/>
      </w:pPr>
      <w:r>
        <w:t>15.2 What was checked in this increment</w:t>
      </w:r>
    </w:p>
    <w:p>
      <w:r>
        <w:t>The supplied restart and main-profile documents were read, the connected archive’s key bodies and catalogue were inspected, and the earlier power proposals and relevant v0.7 research were reused. Online checks covered the selected energy framework, battery and companion MIB meanings, CIM runtime, named Redfish schemas, OMA’s frozen device-object content, the relevant OGC schemas and SystemEvent clauses, and selected adoption/reuse guidance. The DISR findings were checked against the entire supplied CSV; this was not a live registry query.</w:t>
      </w:r>
    </w:p>
    <w:p>
      <w:r>
        <w:t>No original supplier payload was recovered, and no new full vendor-manual audit, complete MIMOSA archive review or complete SNRA audit was performed. Matter R1.3 remains inherited evidence because fresh official retrieval failed. These limits constrain detailed source-equivalence claims, not the justified whole-arrangement scope; complete schema validation, provider mapping and execution tests belong to the later binding increment.</w:t>
      </w:r>
    </w:p>
    <w:p>
      <w:pPr>
        <w:pStyle w:val="Heading2"/>
      </w:pPr>
      <w:r>
        <w:t>15.3 Recommendation for approval</w:t>
      </w:r>
    </w:p>
    <w:p>
      <w:r>
        <w:t>Approve the organizing model and the proposed main-profile changes in §14 as the drafting basis. Approve owner#id as the coordinated embedded-reference representation and native SystemEvent as the preferred operational service-history access, subject to the explicit descriptive-history alternative and common correlation rule. Keep the optional CIM runtime translation narrow; other qualified estimates remain supported through declared meanings rather than a universal estimator.</w:t>
      </w:r>
    </w:p>
    <w:p>
      <w:r>
        <w:t>The next bounded result should integrate approved common changes into the main profile and produce the detailed power definition-and-binding draft. That draft should complete the property/code catalogue, producer/consumer scope and one connected example under the selected model, followed by focused representation and implementer review. A compact sensor-centered presentation comes after those decisions, not before them.</w:t>
      </w:r>
    </w:p>
    <w:p>
      <w:pPr>
        <w:spacing w:before="100" w:after="180"/>
        <w:shd w:fill="EAF1F4"/>
      </w:pPr>
      <w:r>
        <w:rPr>
          <w:b/>
          <w:color w:val="153B4C"/>
        </w:rPr>
        <w:t>Decision enabled: select the power-domain drafting basis and approve the specific coordination changes. The remaining work is detailed realization and review—not another reset to isolated battery metrics.</w:t>
      </w:r>
    </w:p>
    <w:p>
      <w:pPr>
        <w:pStyle w:val="Heading1"/>
        <w:pageBreakBefore/>
      </w:pPr>
      <w:r>
        <w:t>References</w:t>
      </w:r>
    </w:p>
    <w:p>
      <w:pPr>
        <w:pStyle w:val="Small"/>
      </w:pPr>
      <w:r>
        <w:t>Chicago eighteenth-edition author–date. Project-document short titles identify the supplied or retrieved research artifacts, not external standards. Online material was accessed on 14 October 2026 unless its inherited inspection status is stated. Separate schema versions are identified individually; no source’s citation establishes a published CSAPI power binding.</w:t>
      </w:r>
    </w:p>
    <w:p>
      <w:pPr>
        <w:pStyle w:val="Reference"/>
      </w:pPr>
      <w:r>
        <w:t>Chandramouli, Mouli, Benoît Claise, Brad Schoening, Juergen Quittek, and Thomas Dietz. 2015. Monitoring and Control MIB for Power and Energy. RFC 7460. March. Standards Track. Selected §§5 and 9.</w:t>
      </w:r>
      <w:r>
        <w:t xml:space="preserve"> </w:t>
      </w:r>
      <w:hyperlink r:id="rId11">
        <w:r>
          <w:rPr>
            <w:color w:val="205A6A"/>
          </w:rPr>
          <w:t>Source</w:t>
        </w:r>
      </w:hyperlink>
    </w:p>
    <w:p>
      <w:pPr>
        <w:pStyle w:val="Reference"/>
      </w:pPr>
      <w:r>
        <w:t>Connected Example. 2026. MPSS v0.3 Connected Design Example and Definition Catalogue. October 13. Supplied archive: MERLIN_Profile_v0.3_Connected_Example_and_Definitions_13OCT2026 (1).zip. README, manifest, domain_catalogue.json and relevant numbered bodies. Fictional design data.</w:t>
      </w:r>
    </w:p>
    <w:p>
      <w:pPr>
        <w:pStyle w:val="Reference"/>
      </w:pPr>
      <w:r>
        <w:t>Defense Standardization Program. n.d. “DoD Information Technology Standards Registry (DISR).” Defense Logistics Agency. Status definitions; no live DISR query.</w:t>
      </w:r>
      <w:r>
        <w:t xml:space="preserve"> </w:t>
      </w:r>
      <w:hyperlink r:id="rId12">
        <w:r>
          <w:rPr>
            <w:color w:val="205A6A"/>
          </w:rPr>
          <w:t>Source</w:t>
        </w:r>
      </w:hyperlink>
    </w:p>
    <w:p>
      <w:pPr>
        <w:pStyle w:val="Reference"/>
      </w:pPr>
      <w:r>
        <w:t>DMTF. 2025. Redfish Resource and Schema Guide. DSP2046, version 2025.2, May 1. Copyright and patent notices.</w:t>
      </w:r>
      <w:r>
        <w:t xml:space="preserve"> </w:t>
      </w:r>
      <w:hyperlink r:id="rId13">
        <w:r>
          <w:rPr>
            <w:color w:val="205A6A"/>
          </w:rPr>
          <w:t>Source</w:t>
        </w:r>
      </w:hyperlink>
    </w:p>
    <w:p>
      <w:pPr>
        <w:pStyle w:val="Reference"/>
      </w:pPr>
      <w:r>
        <w:t>DMTF. n.d.-a. “CIM_Battery.” CIM Schema 2.31.0 distribution; class Version qualifier 2.26.0. Selected battery, runtime and charging properties.</w:t>
      </w:r>
      <w:r>
        <w:t xml:space="preserve"> </w:t>
      </w:r>
      <w:hyperlink r:id="rId14">
        <w:r>
          <w:rPr>
            <w:color w:val="205A6A"/>
          </w:rPr>
          <w:t>Source</w:t>
        </w:r>
      </w:hyperlink>
    </w:p>
    <w:p>
      <w:pPr>
        <w:pStyle w:val="Reference"/>
      </w:pPr>
      <w:r>
        <w:t>DMTF. n.d.-b. “Battery.v1_4_0.json.” Redfish JSON Schema. Exact comparison artifact; selected capacity, storage and equipment properties.</w:t>
      </w:r>
      <w:r>
        <w:t xml:space="preserve"> </w:t>
      </w:r>
      <w:hyperlink r:id="rId15">
        <w:r>
          <w:rPr>
            <w:color w:val="205A6A"/>
          </w:rPr>
          <w:t>Source</w:t>
        </w:r>
      </w:hyperlink>
    </w:p>
    <w:p>
      <w:pPr>
        <w:pStyle w:val="Reference"/>
      </w:pPr>
      <w:r>
        <w:t>DMTF. n.d.-c. “BatteryMetrics.v1_1_0.json.” Redfish JSON Schema. Selected charge, energy and sensor-excerpt properties.</w:t>
      </w:r>
      <w:r>
        <w:t xml:space="preserve"> </w:t>
      </w:r>
      <w:hyperlink r:id="rId16">
        <w:r>
          <w:rPr>
            <w:color w:val="205A6A"/>
          </w:rPr>
          <w:t>Source</w:t>
        </w:r>
      </w:hyperlink>
    </w:p>
    <w:p>
      <w:pPr>
        <w:pStyle w:val="Reference"/>
      </w:pPr>
      <w:r>
        <w:t>DMTF. n.d.-d. “PowerDistribution.v1_4_0.json.” Redfish JSON Schema. Selected circuit, outlet and redundancy relationships.</w:t>
      </w:r>
      <w:r>
        <w:t xml:space="preserve"> </w:t>
      </w:r>
      <w:hyperlink r:id="rId17">
        <w:r>
          <w:rPr>
            <w:color w:val="205A6A"/>
          </w:rPr>
          <w:t>Source</w:t>
        </w:r>
      </w:hyperlink>
    </w:p>
    <w:p>
      <w:pPr>
        <w:pStyle w:val="Reference"/>
      </w:pPr>
      <w:r>
        <w:t>IETF (Internet Engineering Task Force). n.d.-a. “Participate in the IETF.” Open-participation guidance.</w:t>
      </w:r>
      <w:r>
        <w:t xml:space="preserve"> </w:t>
      </w:r>
      <w:hyperlink r:id="rId18">
        <w:r>
          <w:rPr>
            <w:color w:val="205A6A"/>
          </w:rPr>
          <w:t>Source</w:t>
        </w:r>
      </w:hyperlink>
    </w:p>
    <w:p>
      <w:pPr>
        <w:pStyle w:val="Reference"/>
      </w:pPr>
      <w:r>
        <w:t>IETF (Internet Engineering Task Force). n.d.-b. “Intellectual Property Rights and the IETF.” Document, code-component and patent distinctions.</w:t>
      </w:r>
      <w:r>
        <w:t xml:space="preserve"> </w:t>
      </w:r>
      <w:hyperlink r:id="rId19">
        <w:r>
          <w:rPr>
            <w:color w:val="205A6A"/>
          </w:rPr>
          <w:t>Source</w:t>
        </w:r>
      </w:hyperlink>
    </w:p>
    <w:p>
      <w:pPr>
        <w:pStyle w:val="Reference"/>
      </w:pPr>
      <w:r>
        <w:t>Main Profile. 2026. Managed Physical Sensing Systems and Deployments: Profile Scope, Content Outline and Integrated Binding Draft. Version 0.3. October 13. Supplied separate MERLIN proposal, 50 pages. §§4.7, 5–9 and connected example.</w:t>
      </w:r>
    </w:p>
    <w:p>
      <w:pPr>
        <w:pStyle w:val="Reference"/>
      </w:pPr>
      <w:r>
        <w:t>MIMOSA. n.d. “OIIE Scenario 11—Publish Asset Removal/Installation Events from MMS to O&amp;M.” Official scenario. Selected information content and native exchange obligations; not the complete CCOM model.</w:t>
      </w:r>
      <w:r>
        <w:t xml:space="preserve"> </w:t>
      </w:r>
      <w:hyperlink r:id="rId20">
        <w:r>
          <w:rPr>
            <w:color w:val="205A6A"/>
          </w:rPr>
          <w:t>Source</w:t>
        </w:r>
      </w:hyperlink>
    </w:p>
    <w:p>
      <w:pPr>
        <w:pStyle w:val="Heading1"/>
        <w:pageBreakBefore/>
      </w:pPr>
      <w:r>
        <w:t>References (continued)</w:t>
      </w:r>
    </w:p>
    <w:p>
      <w:pPr>
        <w:pStyle w:val="Reference"/>
      </w:pPr>
      <w:r>
        <w:t>OGC (Open Geospatial Consortium). 2025a. OGC API—Connected Systems—Part 1: Feature Resources. Version 1.0. OGC 23-001. Base resource and relationship framework; main-profile bindings remain proposals.</w:t>
      </w:r>
      <w:r>
        <w:t xml:space="preserve"> </w:t>
      </w:r>
      <w:hyperlink r:id="rId21">
        <w:r>
          <w:rPr>
            <w:color w:val="205A6A"/>
          </w:rPr>
          <w:t>Source</w:t>
        </w:r>
      </w:hyperlink>
    </w:p>
    <w:p>
      <w:pPr>
        <w:pStyle w:val="Reference"/>
      </w:pPr>
      <w:r>
        <w:t>OGC (Open Geospatial Consortium). 2025b. OGC API—Connected Systems—Part 2: Dynamic Data. Version 1.0. OGC 23-002. Relevant §§9–10, 12 and 16.1, especially SystemEvent requirements 40–43 and 106.</w:t>
      </w:r>
      <w:r>
        <w:t xml:space="preserve"> </w:t>
      </w:r>
      <w:hyperlink r:id="rId22">
        <w:r>
          <w:rPr>
            <w:color w:val="205A6A"/>
          </w:rPr>
          <w:t>Source</w:t>
        </w:r>
      </w:hyperlink>
    </w:p>
    <w:p>
      <w:pPr>
        <w:pStyle w:val="Reference"/>
      </w:pPr>
      <w:r>
        <w:t>OGC (Open Geospatial Consortium). 2025c. OGC SensorML Encoding Standard. Version 3.0. OGC 23-000. Description, configuration and deployment framework; §3 UCUM reference; publication notice.</w:t>
      </w:r>
      <w:r>
        <w:t xml:space="preserve"> </w:t>
      </w:r>
      <w:hyperlink r:id="rId23">
        <w:r>
          <w:rPr>
            <w:color w:val="205A6A"/>
          </w:rPr>
          <w:t>Source</w:t>
        </w:r>
      </w:hyperlink>
    </w:p>
    <w:p>
      <w:pPr>
        <w:pStyle w:val="Reference"/>
      </w:pPr>
      <w:r>
        <w:t>OGC (Open Geospatial Consortium). 2025d. OGC SWE Common Data Model Encoding Standard. Version 3.0. OGC 24-014. Typed components, definitions and selected encoding mechanisms.</w:t>
      </w:r>
      <w:r>
        <w:t xml:space="preserve"> </w:t>
      </w:r>
      <w:hyperlink r:id="rId24">
        <w:r>
          <w:rPr>
            <w:color w:val="205A6A"/>
          </w:rPr>
          <w:t>Source</w:t>
        </w:r>
      </w:hyperlink>
    </w:p>
    <w:p>
      <w:pPr>
        <w:pStyle w:val="Reference"/>
      </w:pPr>
      <w:r>
        <w:t>OGC (Open Geospatial Consortium). n.d.-a. SensorML 3.0 JSON Schema Collection. DescribedObject.json, AbstractProcess.json, AbstractPhysicalProcess.json, commonDefs.json and Event.json; selected declaration and carrier definitions.</w:t>
      </w:r>
      <w:r>
        <w:t xml:space="preserve"> </w:t>
      </w:r>
      <w:hyperlink r:id="rId25">
        <w:r>
          <w:rPr>
            <w:color w:val="205A6A"/>
          </w:rPr>
          <w:t>Source</w:t>
        </w:r>
      </w:hyperlink>
    </w:p>
    <w:p>
      <w:pPr>
        <w:pStyle w:val="Reference"/>
      </w:pPr>
      <w:r>
        <w:t>OGC (Open Geospatial Consortium). n.d.-b. “systemEvent.json.” OGC API—Connected Systems Part 2, version 1.0, JSON schemas. Required encoding fields and SensorML Event basis.</w:t>
      </w:r>
      <w:r>
        <w:t xml:space="preserve"> </w:t>
      </w:r>
      <w:hyperlink r:id="rId26">
        <w:r>
          <w:rPr>
            <w:color w:val="205A6A"/>
          </w:rPr>
          <w:t>Source</w:t>
        </w:r>
      </w:hyperlink>
    </w:p>
    <w:p>
      <w:pPr>
        <w:pStyle w:val="Reference"/>
      </w:pPr>
      <w:r>
        <w:t>Open Mobile Alliance. 2024. Lightweight Machine to Machine Technical Specification: Core. Version 1.2.2, June 13. Appendix E.4, Device Object 3 version 1.2. Frozen comparison rather than the mutable registry.</w:t>
      </w:r>
      <w:r>
        <w:t xml:space="preserve"> </w:t>
      </w:r>
      <w:hyperlink r:id="rId27">
        <w:r>
          <w:rPr>
            <w:color w:val="205A6A"/>
          </w:rPr>
          <w:t>Source</w:t>
        </w:r>
      </w:hyperlink>
    </w:p>
    <w:p>
      <w:pPr>
        <w:pStyle w:val="Reference"/>
      </w:pPr>
      <w:r>
        <w:t>Parello, John, Benoît Claise, Brad Schoening, and Juergen Quittek. 2014. Energy Management Framework. RFC 7326. September. Informational. Organizing model, particularly §§6–7.</w:t>
      </w:r>
      <w:r>
        <w:t xml:space="preserve"> </w:t>
      </w:r>
      <w:hyperlink r:id="rId28">
        <w:r>
          <w:rPr>
            <w:color w:val="205A6A"/>
          </w:rPr>
          <w:t>Source</w:t>
        </w:r>
      </w:hyperlink>
    </w:p>
    <w:p>
      <w:pPr>
        <w:pStyle w:val="Reference"/>
      </w:pPr>
      <w:r>
        <w:t>Parello, John, Benoît Claise, and Mouli Chandramouli. 2015. Energy Object Context MIB. RFC 7461. March. Standards Track. Identity and relationship realization; not silently interchangeable with RFC 7326 tokens.</w:t>
      </w:r>
      <w:r>
        <w:t xml:space="preserve"> </w:t>
      </w:r>
      <w:hyperlink r:id="rId29">
        <w:r>
          <w:rPr>
            <w:color w:val="205A6A"/>
          </w:rPr>
          <w:t>Source</w:t>
        </w:r>
      </w:hyperlink>
    </w:p>
    <w:p>
      <w:pPr>
        <w:pStyle w:val="Reference"/>
      </w:pPr>
      <w:r>
        <w:t>Power Decision Sheet. 2026. Power-Source Standards and Binding Decision Sheet. Version 0.1. October 10. Supplied MERLIN historical proposal. Its restricted three-case next sequence is superseded, not erased.</w:t>
      </w:r>
    </w:p>
    <w:p>
      <w:pPr>
        <w:pStyle w:val="Reference"/>
      </w:pPr>
      <w:r>
        <w:t>Power PITON. 2026. MERLIN Power Source Presentation PITON. October 10. Supplied MERLIN handoff, 15 pages. Vendor evidence and candidate comparisons retained; old next actions superseded.</w:t>
      </w:r>
    </w:p>
    <w:p>
      <w:pPr>
        <w:pStyle w:val="Heading1"/>
        <w:pageBreakBefore/>
      </w:pPr>
      <w:r>
        <w:t>References and inspection boundary (continued)</w:t>
      </w:r>
    </w:p>
    <w:p>
      <w:pPr>
        <w:pStyle w:val="Reference"/>
      </w:pPr>
      <w:r>
        <w:t>Power Restart PITON. 2026. Power Source Restart and Main-Profile Coordination. Version 2.0. October 14. Supplied MERLIN handoff, 17 pages. Section 11 is the controlling assignment for this recommendation.</w:t>
      </w:r>
    </w:p>
    <w:p>
      <w:pPr>
        <w:pStyle w:val="Reference"/>
      </w:pPr>
      <w:r>
        <w:t>QUDT.org. n.d. “Voltage.” Quantity-kind record. Generic electrical-potential-difference definition, not a complete terminal or battery property.</w:t>
      </w:r>
      <w:r>
        <w:t xml:space="preserve"> </w:t>
      </w:r>
      <w:hyperlink r:id="rId30">
        <w:r>
          <w:rPr>
            <w:color w:val="205A6A"/>
          </w:rPr>
          <w:t>Source</w:t>
        </w:r>
      </w:hyperlink>
    </w:p>
    <w:p>
      <w:pPr>
        <w:pStyle w:val="Reference"/>
      </w:pPr>
      <w:r>
        <w:t>Quittek, Juergen, Rolf Winter, and Thomas Dietz. 2015. Definition of Managed Objects for Battery Monitoring. RFC 7577. July. Standards Track. Scope, identification, quantities, charging and native compliance groups.</w:t>
      </w:r>
      <w:r>
        <w:t xml:space="preserve"> </w:t>
      </w:r>
      <w:hyperlink r:id="rId31">
        <w:r>
          <w:rPr>
            <w:color w:val="205A6A"/>
          </w:rPr>
          <w:t>Source</w:t>
        </w:r>
      </w:hyperlink>
    </w:p>
    <w:p>
      <w:pPr>
        <w:pStyle w:val="Reference"/>
      </w:pPr>
      <w:r>
        <w:t>Research Bibliography. 2026. Domain Information Models and CSAPI Integration: Engineering Lineage, System-Family Applicability, and Narrative Annotated Bibliography. Version 0.7. October 12. MERLIN project research document, 87 pages. §1 and selected source annotations S09–S10 and S14–S16 read for this recommendation; inherited source-depth limits preserved.</w:t>
      </w:r>
    </w:p>
    <w:p>
      <w:pPr>
        <w:pStyle w:val="Reference"/>
      </w:pPr>
      <w:r>
        <w:t>StandardsReport. 2026. DISR Baseline Export. October 10, 13:47:42.352 GMT. Supplied StandardsReport_20261010T134742.352 GMT.xlsx.csv. Complete authoritative baseline for this investigation; 5,253 parsed records, exact editions and separate DoD/IC statuses.</w:t>
      </w:r>
    </w:p>
    <w:p>
      <w:pPr>
        <w:pStyle w:val="Reference"/>
      </w:pPr>
      <w:r>
        <w:t>UCUM Organization. n.d. “License.” Implementation and preservation terms for the Unified Code for Units of Measure. The main SensorML dependency remains its dated UCUM 2.1 reference; the bibliography’s 2.2 review is not an automatic substitution.</w:t>
      </w:r>
      <w:r>
        <w:t xml:space="preserve"> </w:t>
      </w:r>
      <w:hyperlink r:id="rId32">
        <w:r>
          <w:rPr>
            <w:color w:val="205A6A"/>
          </w:rPr>
          <w:t>Source</w:t>
        </w:r>
      </w:hyperlink>
    </w:p>
    <w:p>
      <w:pPr>
        <w:pStyle w:val="Reference"/>
      </w:pPr>
      <w:r>
        <w:t>Wilde, Erik. 2013. The “profile” Link Relation Type. RFC 6906. March. Informational, Independent Submission. Additional representation semantics and profile signaling.</w:t>
      </w:r>
      <w:r>
        <w:t xml:space="preserve"> </w:t>
      </w:r>
      <w:hyperlink r:id="rId33">
        <w:r>
          <w:rPr>
            <w:color w:val="205A6A"/>
          </w:rPr>
          <w:t>Source</w:t>
        </w:r>
      </w:hyperlink>
    </w:p>
    <w:p>
      <w:pPr>
        <w:pStyle w:val="Heading2"/>
      </w:pPr>
      <w:r>
        <w:t>Inherited material is not a new full-text verification</w:t>
      </w:r>
    </w:p>
    <w:p>
      <w:pPr>
        <w:pStyle w:val="Small"/>
      </w:pPr>
      <w:r>
        <w:t>Matter Core R1.3 is attributed to the earlier Power PITON because the official PDF could not be retrieved in this pass. The selected SNRA preview, OSUS code excerpts and CCOM release-candidate diagrams retain their earlier evidence standing through the research and main-profile documents. No assessment in this recommendation claims that unavailable manufacturer material, a complete MIMOSA production package or current NATO adoption of every donor was independently verified.</w:t>
      </w:r>
    </w:p>
    <w:p>
      <w:pPr>
        <w:pStyle w:val="Heading2"/>
      </w:pPr>
      <w:r>
        <w:t>Artifact preservation</w:t>
      </w:r>
    </w:p>
    <w:p>
      <w:pPr>
        <w:pStyle w:val="Small"/>
      </w:pPr>
      <w:r>
        <w:t>This recommendation is a new document. It preserves the main-profile v0.3 package, the restart PITON, the original power handoff and decision sheet, and the existing research artifacts as supplied. New Q identifiers, proposed groups, relationship bindings and enriched operating examples are authored design content, not changes already applied to those artifacts.</w:t>
      </w:r>
    </w:p>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648" w:val="right"/>
      </w:tabs>
    </w:pPr>
    <w:r>
      <w:t>Design recommendation v0.1 • 14 October 2026</w:t>
    </w:r>
    <w:r>
      <w:tab/>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spacing w:after="80"/>
      <w:pBdr>
        <w:bottom w:val="single" w:sz="4" w:color="CAD5DA" w:space="5"/>
      </w:pBdr>
    </w:pPr>
    <w:r>
      <w:t>MERLIN  |  POWER DOMAIN  |  MODEL AND PROFILE RECOMMENDATION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153B4C"/>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205A6A"/>
      <w:sz w:val="25"/>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Calibri" w:hAnsi="Calibri"/>
      <w:b/>
      <w:bCs/>
      <w:color w:val="205A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153B4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40"/>
    </w:pPr>
    <w:rPr>
      <w:rFonts w:asciiTheme="majorHAnsi" w:eastAsiaTheme="majorEastAsia" w:hAnsiTheme="majorHAnsi" w:cstheme="majorBidi" w:ascii="Calibri" w:hAnsi="Calibri"/>
      <w:i/>
      <w:iCs/>
      <w:color w:val="5067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47"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spacing w:after="100" w:line="245" w:lineRule="auto"/>
    </w:pPr>
    <w:rPr>
      <w:rFonts w:ascii="Calibri" w:hAnsi="Calibri"/>
      <w:sz w:val="18"/>
    </w:rPr>
  </w:style>
  <w:style w:type="paragraph" w:customStyle="1" w:styleId="Reference">
    <w:name w:val="Reference"/>
    <w:pPr>
      <w:widowControl/>
      <w:spacing w:after="100" w:line="245" w:lineRule="auto"/>
      <w:ind w:left="288" w:hanging="288"/>
    </w:pPr>
    <w:rPr>
      <w:rFonts w:ascii="Calibri" w:hAnsi="Calibri"/>
      <w:sz w:val="18"/>
    </w:rPr>
  </w:style>
  <w:style w:type="paragraph" w:customStyle="1" w:styleId="Code">
    <w:name w:val="Code"/>
    <w:pPr>
      <w:keepLines/>
      <w:widowControl/>
      <w:spacing w:after="0" w:line="245" w:lineRule="auto"/>
    </w:pPr>
    <w:rPr>
      <w:rFonts w:ascii="Liberation Mono" w:hAnsi="Liberation Mono"/>
      <w:sz w:val="16"/>
    </w:rPr>
  </w:style>
  <w:style w:type="paragraph" w:customStyle="1" w:styleId="TableText">
    <w:name w:val="TableText"/>
    <w:pPr>
      <w:widowControl/>
      <w:spacing w:after="100" w:line="245" w:lineRule="auto"/>
    </w:pPr>
    <w:rPr>
      <w:rFonts w:ascii="Calibri" w:hAnsi="Calibri"/>
      <w:sz w:val="19"/>
    </w:rPr>
  </w:style>
  <w:style w:type="paragraph" w:customStyle="1" w:styleId="Kicker">
    <w:name w:val="Kicker"/>
    <w:pPr>
      <w:widowControl/>
      <w:spacing w:after="100" w:line="245" w:lineRule="auto"/>
    </w:pPr>
    <w:rPr>
      <w:rFonts w:ascii="Calibri" w:hAnsi="Calibri"/>
      <w:b/>
      <w:color w:val="526A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fc-editor.org/rfc/rfc7460.html" TargetMode="External"/><Relationship Id="rId12" Type="http://schemas.openxmlformats.org/officeDocument/2006/relationships/hyperlink" Target="https://www.dsp.dla.mil/Specs-Standards/List-of-DISR-documents/" TargetMode="External"/><Relationship Id="rId13" Type="http://schemas.openxmlformats.org/officeDocument/2006/relationships/hyperlink" Target="https://redfish.dmtf.org/schemas/v1/DSP2046_2025.2.html" TargetMode="External"/><Relationship Id="rId14" Type="http://schemas.openxmlformats.org/officeDocument/2006/relationships/hyperlink" Target="https://schemas.dmtf.org/wbem/cim-html/2.31.0/CIM_Battery.html" TargetMode="External"/><Relationship Id="rId15" Type="http://schemas.openxmlformats.org/officeDocument/2006/relationships/hyperlink" Target="https://redfish.dmtf.org/schemas/v1/Battery.v1_4_0.json" TargetMode="External"/><Relationship Id="rId16" Type="http://schemas.openxmlformats.org/officeDocument/2006/relationships/hyperlink" Target="https://redfish.dmtf.org/schemas/v1/BatteryMetrics.v1_1_0.json" TargetMode="External"/><Relationship Id="rId17" Type="http://schemas.openxmlformats.org/officeDocument/2006/relationships/hyperlink" Target="https://redfish.dmtf.org/schemas/v1/PowerDistribution.v1_4_0.json" TargetMode="External"/><Relationship Id="rId18" Type="http://schemas.openxmlformats.org/officeDocument/2006/relationships/hyperlink" Target="https://www.ietf.org/participate/" TargetMode="External"/><Relationship Id="rId19" Type="http://schemas.openxmlformats.org/officeDocument/2006/relationships/hyperlink" Target="https://www.ietf.org/process/ipr/" TargetMode="External"/><Relationship Id="rId20" Type="http://schemas.openxmlformats.org/officeDocument/2006/relationships/hyperlink" Target="https://www.mimosa.org/open-industrial-interoperability-ecosystem-oiie/oiie-use-cases/oiie-scenario-11-publish-asset-removalinstallation-events-from-mms-to-om/" TargetMode="External"/><Relationship Id="rId21" Type="http://schemas.openxmlformats.org/officeDocument/2006/relationships/hyperlink" Target="https://docs.ogc.org/is/23-001/23-001.html" TargetMode="External"/><Relationship Id="rId22" Type="http://schemas.openxmlformats.org/officeDocument/2006/relationships/hyperlink" Target="https://docs.ogc.org/is/23-002/23-002.html" TargetMode="External"/><Relationship Id="rId23" Type="http://schemas.openxmlformats.org/officeDocument/2006/relationships/hyperlink" Target="https://docs.ogc.org/is/23-000/23-000.html" TargetMode="External"/><Relationship Id="rId24" Type="http://schemas.openxmlformats.org/officeDocument/2006/relationships/hyperlink" Target="https://docs.ogc.org/is/24-014/24-014.html" TargetMode="External"/><Relationship Id="rId25" Type="http://schemas.openxmlformats.org/officeDocument/2006/relationships/hyperlink" Target="https://schemas.opengis.net/sensorML/3.0/json/" TargetMode="External"/><Relationship Id="rId26" Type="http://schemas.openxmlformats.org/officeDocument/2006/relationships/hyperlink" Target="https://schemas.opengis.net/ogcapi/connected-systems/part2/1.0/openapi/schemas/json/systemEvent.json" TargetMode="External"/><Relationship Id="rId27" Type="http://schemas.openxmlformats.org/officeDocument/2006/relationships/hyperlink" Target="https://www.openmobilealliance.org/RELEASE/LightweightM2M/V1_2_2-20240613-A/HTML-Version/OMA-TS-LightweightM2M_Core-V1_2_2-20240613-A.html" TargetMode="External"/><Relationship Id="rId28" Type="http://schemas.openxmlformats.org/officeDocument/2006/relationships/hyperlink" Target="https://www.rfc-editor.org/rfc/rfc7326.html" TargetMode="External"/><Relationship Id="rId29" Type="http://schemas.openxmlformats.org/officeDocument/2006/relationships/hyperlink" Target="https://www.rfc-editor.org/rfc/rfc7461.html" TargetMode="External"/><Relationship Id="rId30" Type="http://schemas.openxmlformats.org/officeDocument/2006/relationships/hyperlink" Target="https://qudt.org/vocab/quantitykind/Voltage" TargetMode="External"/><Relationship Id="rId31" Type="http://schemas.openxmlformats.org/officeDocument/2006/relationships/hyperlink" Target="https://www.rfc-editor.org/rfc/rfc7577.html" TargetMode="External"/><Relationship Id="rId32" Type="http://schemas.openxmlformats.org/officeDocument/2006/relationships/hyperlink" Target="https://ucum.org/license" TargetMode="External"/><Relationship Id="rId33" Type="http://schemas.openxmlformats.org/officeDocument/2006/relationships/hyperlink" Target="https://www.rfc-editor.org/rfc/rfc69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MERLIN Power Source Domain Model and Main-Profile Binding Recommendation</dc:title>
  <dc:subject>Whole operating power arrangement and coordination with Main Profile v0.3</dc:subject>
  <dc:creator>MERLIN project research</dc:creator>
  <cp:keywords>MERLIN, power, EMAN, RFC 7326, SensorML, CSAPI, profile, recommendation</cp:keywords>
  <dc:description>Separate design recommendation v0.1, 14 October 2026. No main-profile files modified.</dc:description>
  <cp:lastModifiedBy/>
  <cp:revision>1</cp:revision>
  <dcterms:created xsi:type="dcterms:W3CDTF">2013-12-23T23:15:00Z</dcterms:created>
  <dcterms:modified xsi:type="dcterms:W3CDTF">2013-12-23T23:15:00Z</dcterms:modified>
  <cp:category/>
</cp:coreProperties>
</file>