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0.7 | 25 October 2026 | Study protocol with reviewed Phase 1–3 evidence</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system from the subject it observes, a source-reported status from an interpretation of that status, and a direct reading from a platform-derived product. This paper defines and begins a Smart Citizen experiment using public source data, an authored adapter, an OGC API — Connected Systems service, and the Glaux client to evaluate the MERLIN domain information model and Managed Physical Sensing Systems profile. Each consequential mapping is required to identify its native assertion, underlying domain concept, donor concepts, MPSS binding, standard carrier, authored transformation, presentation implication, and review outcome.</w:t>
      </w:r>
    </w:p>
    <w:p>
      <w:pPr/>
      <w:r>
        <w:rPr/>
        <w:t>Phases 1–3 have now frozen a reproducible public specimen, characterized its native identities, channels, times and source semantics, and reviewed nine current-state plus two aggregate-history mappings. This revision also establishes sourced definitions for terms whose casual use could otherwise obscure the experiment, including telemetry, provenance, measurement, calibration, Observation, DataStream, phenomenon time and result time. The adapter, CSAPI publication and round trip, connected Glaux traversal, and matched generic/profile-aware interface comparison remain unexecuted, so no interoperability or operator-benefit result is claimed. The expected contribution remains a reproducible account of which meanings survive integration, which require explicit enrichment, which are transformed by source-platform processing, and which remain unsupported.</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The subsequent domain-model work expanded the inquiry from individual manufacturer screens to the physical sensing system in employment: its identity, equipment, functions, deployment, configuration, communications, power, and lifecycle. The retained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DIM and MPSS. Their presence in model documentation does not establish a verified component inventory for an individual installation.</w:t>
      </w:r>
    </w:p>
    <w:p>
      <w:pPr/>
      <w:r>
        <w:rPr/>
        <w:t>The selected specimen is public Smart Citizen registration 19639. A formal capture made on 25 October 2026 at 02:43:48 UTC retained the complete Device response, response headers, and bounded temperature and PM2.5 histories with request URLs and SHA-256 hashes; it supersedes the earlier 24 October feasibility values as the evidence basis for formal mappings (MERLIN Project 2026k). The source reports hardware “SmartCitizen Kit 2.3,” type “SCK,” version “2.3,” and slug “sck:2,3,” while its channel catalogue includes environmental observations and system-related telemetry such as battery level, RSSI and SD-card indication. The registration and reported model identify the selected data specimen, but enduring physical identity and installed configuration remain separate evidence questions.</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formal frozen capture 20261025T024348Z</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Evidence basis for the Phase 1–3 mappings;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maintained while the experiment proceeds rather than being written only before execution. Source acquisition, native characterization and the first mapping review are now executed and documented, while adapter publication, CSAPI round-trip testing and client comparison remain future phases (MERLIN Project 2026k; 2026l). Public-data integration still precedes hardware acquisition, and an owned kit remains a later route to physical installation and lifecycle evidence (MERLIN Project 2026e). The frozen specimen provides deterministic replay evidence while any later live acquisition is recorded separately.</w:t>
      </w:r>
    </w:p>
    <w:p>
      <w:pPr>
        <w:pStyle w:val="Heading1"/>
      </w:pPr>
      <w:r>
        <w:rPr/>
        <w:t>2 Terms and definitions</w:t>
      </w:r>
    </w:p>
    <w:p>
      <w:pPr/>
      <w:r>
        <w:rPr/>
        <w:t>The study uses several technical terms that carry narrower meanings than their everyday equivalents. The definitions below are taken from the cited standards or source documentation where an authoritative definition exists, while study-specific terms are explicitly identified as operational definitions rather than external standards. Later uses in the paper are intended to remain consistent with these meanings, and ambiguous source labels are not allowed to override them.</w:t>
      </w:r>
    </w:p>
    <w:p>
      <w:pPr/>
      <w:r>
        <w:rPr/>
        <w:t xml:space="preserve">The distinction between a sourced definition and the study's application is important. For example, W3C PROV defines provenance generally, while this study applies that concept to source, processing and integration provenance; NIST defines telemetry around remote measurement transmission, while the paper does not call static model metadata telemetry. Likewise, a source-code method named </w:t>
      </w:r>
      <w:r>
        <w:rPr>
          <w:rFonts w:ascii="DejaVu Sans Mono" w:hAnsi="DejaVu Sans Mono"/>
          <w:sz w:val="19"/>
        </w:rPr>
        <w:t>calibrated_value</w:t>
      </w:r>
      <w:r>
        <w:rPr/>
        <w:t xml:space="preserve"> is not treated as proof of calibration in the metrological sense.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Term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Sourced definition or basis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Meaning used in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Telemetry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NIST defines telemetry as measuring one or more quantities, transmitting the results to a distant station, and interpreting, indicating or recording what was measured (Scholl and Suloway 2023).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Remotely transmitted environmental readings and system-related measurement/status reports can be called telemetry. Static catalogue/model metadata, identifiers and documentation are not telemetry merely because they arrive through an 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W3C PROV describes provenance as information about entities, activities and people/agents involved in producing data or another thing, supporting assessments of quality, reliability or trustworthiness (World Wide Web Consortium 2013).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provenance</w:t>
            </w:r>
            <w:r>
              <w:rPr>
                <w:sz w:val="20"/>
              </w:rPr>
              <w:t xml:space="preserve"> records where source assertions came from; </w:t>
            </w:r>
            <w:r>
              <w:rPr>
                <w:b/>
                <w:sz w:val="20"/>
              </w:rPr>
              <w:t>processing provenance</w:t>
            </w:r>
            <w:r>
              <w:rPr>
                <w:sz w:val="20"/>
              </w:rPr>
              <w:t xml:space="preserve"> records transformations such as Smart Citizen/Kairos aggregation; </w:t>
            </w:r>
            <w:r>
              <w:rPr>
                <w:b/>
                <w:sz w:val="20"/>
              </w:rPr>
              <w:t>integration provenance</w:t>
            </w:r>
            <w:r>
              <w:rPr>
                <w:sz w:val="20"/>
              </w:rPr>
              <w:t xml:space="preserve"> records adapter/server/client acquisition and transformation steps. Rights/licensing metadata can accompany provenance but is not itself the same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Measurement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VIM 3 defines measurement as the process of experimentally obtaining one or more quantity values reasonably attributable to a quantity (Joint Committee for Guides in Metrology 2012, sec. 2.1).</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When quoting Smart Citizen, “measurement” may also denote the source platform's Measurement vocabulary resource. The study does not infer uncertainty, accuracy or formal calibration merely because the source uses the word measurement.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Calibration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VIM 3 defines calibration as an operation that first relates standards and indications with their uncertainties and then uses that relationship to obtain a measurement result (Joint Committee for Guides in Metrology 2012, sec. 2.39).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The paper reserves formal calibration claims for evidence satisfying that meaning. The Smart Citizen source-code method name </w:t>
            </w:r>
            <w:r>
              <w:rPr>
                <w:rFonts w:ascii="DejaVu Sans Mono" w:hAnsi="DejaVu Sans Mono"/>
                <w:sz w:val="20"/>
              </w:rPr>
              <w:t>calibrated_value</w:t>
            </w:r>
            <w:r>
              <w:rPr>
                <w:sz w:val="20"/>
              </w:rPr>
              <w:t xml:space="preserve"> is quoted as implementation terminology only.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System / Procedure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CSAPI uses </w:t>
            </w:r>
            <w:r>
              <w:rPr>
                <w:b/>
                <w:sz w:val="20"/>
              </w:rPr>
              <w:t>System</w:t>
            </w:r>
            <w:r>
              <w:rPr>
                <w:sz w:val="20"/>
              </w:rPr>
              <w:t xml:space="preserve"> for an instance of infrastructure implementing Procedures and </w:t>
            </w:r>
            <w:r>
              <w:rPr>
                <w:b/>
                <w:sz w:val="20"/>
              </w:rPr>
              <w:t>Procedure</w:t>
            </w:r>
            <w:r>
              <w:rPr>
                <w:sz w:val="20"/>
              </w:rPr>
              <w:t xml:space="preserve"> for a datasheet or methodology that can be implemented by multiple System instances (Open Geospatial Consortium 2025a, secs. 9, 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represented SCK instance is distinct from the reusable SCK2.3 model description. Source-platform processing may also be represented as a process System with an associated Procedure when evidence supports that role.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Observation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CSAPI Observation implements the SOSA Observation concept and carries a result plus required phenomenonTime/resultTime, within a DataStream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 reading or derived result is not interchangeable with the System, observed property or observed subject.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Feature of Interest / Sampling Feature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calls the real-world domain feature whose properties are ultimately observed the Feature of Interest; a Sampling Feature represents the subset/sample on which observations are actually made (Open Geospatial Consortium 2025a, sec. 14).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kit is not automatically the observed environmental subject. If the source does not identify a defensible Sampling Feature, the study leaves that association absent rather than inventing one.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DataStream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CSAPI defines a DataStream as observations acquired by the same System and sharing observed properties; </w:t>
            </w:r>
            <w:r>
              <w:rPr>
                <w:rFonts w:ascii="DejaVu Sans Mono" w:hAnsi="DejaVu Sans Mono"/>
                <w:sz w:val="20"/>
              </w:rPr>
              <w:t>status</w:t>
            </w:r>
            <w:r>
              <w:rPr>
                <w:sz w:val="20"/>
              </w:rPr>
              <w:t xml:space="preserve"> is for status observations of the parent System/subsystems, while </w:t>
            </w:r>
            <w:r>
              <w:rPr>
                <w:rFonts w:ascii="DejaVu Sans Mono" w:hAnsi="DejaVu Sans Mono"/>
                <w:sz w:val="20"/>
              </w:rPr>
              <w:t>observation</w:t>
            </w:r>
            <w:r>
              <w:rPr>
                <w:sz w:val="20"/>
              </w:rPr>
              <w:t xml:space="preserve"> is for other features of interest (Open Geospatial Consortium 2025b, secs. 4.7, 9.2).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DataStream type is selected only after the observed subject is supported. RSSI therefore remains untyped at the Phase 3 design stage rather than being forced into </w:t>
            </w:r>
            <w:r>
              <w:rPr>
                <w:rFonts w:ascii="DejaVu Sans Mono" w:hAnsi="DejaVu Sans Mono"/>
                <w:sz w:val="20"/>
              </w:rPr>
              <w:t>status</w:t>
            </w:r>
            <w:r>
              <w:rPr>
                <w:sz w:val="20"/>
              </w:rPr>
              <w: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phenomenonTime / resultTime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defines phenomenonTime as the time the observed property value applies to the feature of interest and resultTime as the time the result value was obtained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Citizen's channel timestamp is preserved as source time and is a candidate phenomenonTime. Experiment acquisition time is not substituted for an unavailable source resultTime.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Registration / Component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says a real device can be registered multiple times; its Component is the platform join between a Device and a Sensor (Smart Citizen n.d.-d, “Schema” and “Components”).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Registration IDs/UUIDs and Component IDs remain source-platform identities, not manufacturer serials or independently identified physical components.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Aggregation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Smart Citizen </w:t>
            </w:r>
            <w:r>
              <w:rPr>
                <w:rFonts w:ascii="DejaVu Sans Mono" w:hAnsi="DejaVu Sans Mono"/>
                <w:sz w:val="20"/>
              </w:rPr>
              <w:t>rollup</w:t>
            </w:r>
            <w:r>
              <w:rPr>
                <w:sz w:val="20"/>
              </w:rPr>
              <w:t xml:space="preserve"> defines the grouping timespan, </w:t>
            </w:r>
            <w:r>
              <w:rPr>
                <w:rFonts w:ascii="DejaVu Sans Mono" w:hAnsi="DejaVu Sans Mono"/>
                <w:sz w:val="20"/>
              </w:rPr>
              <w:t>function</w:t>
            </w:r>
            <w:r>
              <w:rPr>
                <w:sz w:val="20"/>
              </w:rPr>
              <w:t xml:space="preserve"> defines the grouping method, and </w:t>
            </w:r>
            <w:r>
              <w:rPr>
                <w:rFonts w:ascii="DejaVu Sans Mono" w:hAnsi="DejaVu Sans Mono"/>
                <w:sz w:val="20"/>
              </w:rPr>
              <w:t>sample_size</w:t>
            </w:r>
            <w:r>
              <w:rPr>
                <w:sz w:val="20"/>
              </w:rPr>
              <w:t xml:space="preserve"> is the count of readings examined to build the response (Smart Citizen n.d.-d, “Get Historical Readings”).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“One-hour average” means the source-platform </w:t>
            </w:r>
            <w:r>
              <w:rPr>
                <w:rFonts w:ascii="DejaVu Sans Mono" w:hAnsi="DejaVu Sans Mono"/>
                <w:sz w:val="20"/>
              </w:rPr>
              <w:t>rollup=1h</w:t>
            </w:r>
            <w:r>
              <w:rPr>
                <w:sz w:val="20"/>
              </w:rPr>
              <w:t xml:space="preserve"> and </w:t>
            </w:r>
            <w:r>
              <w:rPr>
                <w:rFonts w:ascii="DejaVu Sans Mono" w:hAnsi="DejaVu Sans Mono"/>
                <w:sz w:val="20"/>
              </w:rPr>
              <w:t>function=avg</w:t>
            </w:r>
            <w:r>
              <w:rPr>
                <w:sz w:val="20"/>
              </w:rPr>
              <w:t xml:space="preserve"> product. The paper does not reinterpret </w:t>
            </w:r>
            <w:r>
              <w:rPr>
                <w:rFonts w:ascii="DejaVu Sans Mono" w:hAnsi="DejaVu Sans Mono"/>
                <w:sz w:val="20"/>
              </w:rPr>
              <w:t>sample_size</w:t>
            </w:r>
            <w:r>
              <w:rPr>
                <w:sz w:val="20"/>
              </w:rPr>
              <w:t xml:space="preserve"> as a per-bin count or invent exact interval boundaries around returned tuple timestamps.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 / acquisition 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These are study operational terms grounded in the source timestamps and provenance requirements rather than external standard terms (MERLIN Project 2026k).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w:t>
            </w:r>
            <w:r>
              <w:rPr>
                <w:sz w:val="20"/>
              </w:rPr>
              <w:t xml:space="preserve"> is the timestamp the source associates with a reading or aggregate. </w:t>
            </w:r>
            <w:r>
              <w:rPr>
                <w:b/>
                <w:sz w:val="20"/>
              </w:rPr>
              <w:t>Acquisition time</w:t>
            </w:r>
            <w:r>
              <w:rPr>
                <w:sz w:val="20"/>
              </w:rPr>
              <w:t xml:space="preserve"> is when this experiment obtained the response and is integration provenance, not an observation 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Semantic preservation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This is the study's operational criterion, informed by the role/time distinctions of CSAPI and the mapping method (Open Geospatial Consortium 2025a; 2025b; MERLIN Project 2026l).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Source-supported meaning about identity, producer, observed subject, property, unit, value, time, aggregation, provenance and qualified absence is preserved when the integration does not silently change or invent it.</w:t>
            </w:r>
          </w:p>
        </w:tc>
      </w:tr>
    </w:tbl>
    <w:p>
      <w:pPr>
        <w:spacing w:after="40" w:before="0" w:line="60" w:lineRule="exact"/>
      </w:pPr>
    </w:p>
    <w:p>
      <w:pPr>
        <w:pStyle w:val="Heading1"/>
      </w:pPr>
      <w:r>
        <w:rPr/>
        <w:t>3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OGC API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SensorML 3.0 provides rich descriptions of processes and physical systems, including outputs, configurations, and related descriptive content. SWE Common 3.0 provides typed components, semantic definitions, units, structured values, and encoding mechanisms. Their official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CSS-pixel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4 Experimental integration infrastructure</w:t>
      </w:r>
    </w:p>
    <w:p>
      <w:pPr>
        <w:pStyle w:val="Heading2"/>
      </w:pPr>
      <w:r>
        <w:rPr/>
        <w:t>3.1 Experimental CSAPI server</w:t>
      </w:r>
    </w:p>
    <w:p>
      <w:pPr>
        <w:pStyle w:val="Heading3"/>
      </w:pPr>
      <w:r>
        <w:rPr/>
        <w:t>Origin and implementation lineage</w:t>
      </w:r>
    </w:p>
    <w:p>
      <w:pPr/>
      <w:r>
        <w:rPr/>
        <w:t>pygeoapi is an open-source Python server implementation of the OGC API family, designed around an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an initial Connected Systems API design and prototype were developed in KI:STE in synergy with MINKE and EMODnet Ingestion III,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native geospatial dependencies such as GDAL, PROJ, GEOS, NumPy, and Shapely.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ARM64/native-dependency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2" name="Picture 2"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2"/>
                    <a:stretch>
                      <a:fillRect/>
                    </a:stretch>
                  </pic:blipFill>
                  <pic:spPr>
                    <a:xfrm>
                      <a:off x="0" y="0"/>
                      <a:ext cx="6217920" cy="4663440"/>
                    </a:xfrm>
                    <a:prstGeom prst="rect"/>
                  </pic:spPr>
                </pic:pic>
              </a:graphicData>
            </a:graphic>
          </wp:inline>
        </w:drawing>
      </w:r>
    </w:p>
    <w:p>
      <w:pPr>
        <w:pStyle w:val="PaperCaption"/>
        <w:keepNext w:val="0"/>
      </w:pPr>
      <w:r>
        <w:rPr>
          <w:b/>
        </w:rPr>
        <w:t>Figure 2.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2.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ARM64/native-dependency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3.2 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common-model transformation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3" name="Picture 3"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3"/>
                    <a:stretch>
                      <a:fillRect/>
                    </a:stretch>
                  </pic:blipFill>
                  <pic:spPr>
                    <a:xfrm>
                      <a:off x="0" y="0"/>
                      <a:ext cx="6217920" cy="5078910"/>
                    </a:xfrm>
                    <a:prstGeom prst="rect"/>
                  </pic:spPr>
                </pic:pic>
              </a:graphicData>
            </a:graphic>
          </wp:inline>
        </w:drawing>
      </w:r>
    </w:p>
    <w:p>
      <w:pPr>
        <w:pStyle w:val="PaperCaption"/>
        <w:keepNext w:val="0"/>
      </w:pPr>
      <w:r>
        <w:rPr>
          <w:b/>
        </w:rPr>
        <w:t>Figure 3.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3.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Figures 6–8 and any claim that Glaux reconstructed the live Smart Citizen dataset remain pending experimental evidence.</w:t>
      </w:r>
    </w:p>
    <w:p>
      <w:pPr>
        <w:pStyle w:val="Heading1"/>
      </w:pPr>
      <w:r>
        <w:rPr/>
        <w:t>5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4" name="Picture 4"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4"/>
                    <a:stretch>
                      <a:fillRect/>
                    </a:stretch>
                  </pic:blipFill>
                  <pic:spPr>
                    <a:xfrm>
                      <a:off x="0" y="0"/>
                      <a:ext cx="6217920" cy="5285232"/>
                    </a:xfrm>
                    <a:prstGeom prst="rect"/>
                  </pic:spPr>
                </pic:pic>
              </a:graphicData>
            </a:graphic>
          </wp:inline>
        </w:drawing>
      </w:r>
    </w:p>
    <w:p>
      <w:pPr>
        <w:pStyle w:val="PaperCaption"/>
        <w:keepNext w:val="0"/>
      </w:pPr>
      <w:r>
        <w:rPr>
          <w:b/>
        </w:rPr>
        <w:t>Figure 4.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6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Formal Phase 1 source evidence</w:t>
      </w:r>
    </w:p>
    <w:p>
      <w:pPr/>
      <w:r>
        <w:rPr/>
        <w:t xml:space="preserve">The 24 October feasibility check established that registration 19639 could provide useful current and historical data, but it is no longer the evidence basis for formal mappings. Phase 1 froze a new complete specimen at </w:t>
      </w:r>
      <w:r>
        <w:rPr>
          <w:rFonts w:ascii="DejaVu Sans Mono" w:hAnsi="DejaVu Sans Mono"/>
          <w:sz w:val="19"/>
        </w:rPr>
        <w:t>2026-10-25T02:43:48Z</w:t>
      </w:r>
      <w:r>
        <w:rPr/>
        <w:t xml:space="preserve">, including the Device response, response headers, request URLs and one-day temperature and PM2.5 histories with SHA-256 hashes (MERLIN Project 2026k). The source reports 21 current channels, with eleven non-SEN5X channels at </w:t>
      </w:r>
      <w:r>
        <w:rPr>
          <w:rFonts w:ascii="DejaVu Sans Mono" w:hAnsi="DejaVu Sans Mono"/>
          <w:sz w:val="19"/>
        </w:rPr>
        <w:t>02:40:21Z</w:t>
      </w:r>
      <w:r>
        <w:rPr/>
        <w:t xml:space="preserve"> and ten SEN5X particulate channels at </w:t>
      </w:r>
      <w:r>
        <w:rPr>
          <w:rFonts w:ascii="DejaVu Sans Mono" w:hAnsi="DejaVu Sans Mono"/>
          <w:sz w:val="19"/>
        </w:rPr>
        <w:t>02:36:21Z</w:t>
      </w:r>
      <w:r>
        <w:rPr/>
        <w:t xml:space="preserve">. This two-cohort timing pattern is itself evidence that device-level </w:t>
      </w:r>
      <w:r>
        <w:rPr>
          <w:rFonts w:ascii="DejaVu Sans Mono" w:hAnsi="DejaVu Sans Mono"/>
          <w:sz w:val="19"/>
        </w:rPr>
        <w:t>last_reading_at</w:t>
      </w:r>
      <w:r>
        <w:rPr/>
        <w:t xml:space="preserve"> cannot replace channel-specific time.</w:t>
      </w:r>
    </w:p>
    <w:p>
      <w:pPr>
        <w:pStyle w:val="PaperCaption"/>
        <w:keepNext/>
      </w:pPr>
      <w:r>
        <w:rPr>
          <w:b/>
        </w:rPr>
        <w:t>Table 4. Selected observations from the formal frozen specimen.</w:t>
      </w:r>
      <w:r>
        <w:rPr/>
        <w:t xml:space="preserve"> The table uses the retained 25 October source body rather than the earlier feasibility values. Values and times are source-reported and have not yet passed through the proposed adapter or CSAPI server. System-related telemetry is shown alongside environmental observations to exercise different subject and interpretation questions. None of the rows is a readiness or health assessment (MERLIN Project 2026k).</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Air 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19.59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property, unit, environmental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Relative humidity</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65.54 %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a second SHT31 output remain distinct from component identity?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9.3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02:36:21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particulate-channel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parent-System status kept separate from battery identity and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received-signal power remain telemetry without becoming interface/link status?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SD-card indication</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the source categorical meaning retained without becoming Boolean health?</w:t>
            </w:r>
          </w:p>
        </w:tc>
      </w:tr>
    </w:tbl>
    <w:p>
      <w:pPr>
        <w:spacing w:after="40" w:before="0" w:line="60" w:lineRule="exact"/>
      </w:pPr>
    </w:p>
    <w:p>
      <w:pPr/>
      <w:r>
        <w:rPr/>
        <w:t xml:space="preserve">The formal one-day temperature history contains 24 one-hour average tuples and reports </w:t>
      </w:r>
      <w:r>
        <w:rPr>
          <w:rFonts w:ascii="DejaVu Sans Mono" w:hAnsi="DejaVu Sans Mono"/>
          <w:sz w:val="19"/>
        </w:rPr>
        <w:t>sample_size=1439</w:t>
      </w:r>
      <w:r>
        <w:rPr/>
        <w:t xml:space="preserve">; the corresponding PM2.5 history also contains 24 tuples but reports </w:t>
      </w:r>
      <w:r>
        <w:rPr>
          <w:rFonts w:ascii="DejaVu Sans Mono" w:hAnsi="DejaVu Sans Mono"/>
          <w:sz w:val="19"/>
        </w:rPr>
        <w:t>sample_size=288</w:t>
      </w:r>
      <w:r>
        <w:rPr/>
        <w:t xml:space="preserve"> (MERLIN Project 2026k). Smart Citizen documents </w:t>
      </w:r>
      <w:r>
        <w:rPr>
          <w:rFonts w:ascii="DejaVu Sans Mono" w:hAnsi="DejaVu Sans Mono"/>
          <w:sz w:val="19"/>
        </w:rPr>
        <w:t>sample_size</w:t>
      </w:r>
      <w:r>
        <w:rPr/>
        <w:t xml:space="preserve"> as the readings examined to build the response, while </w:t>
      </w:r>
      <w:r>
        <w:rPr>
          <w:rFonts w:ascii="DejaVu Sans Mono" w:hAnsi="DejaVu Sans Mono"/>
          <w:sz w:val="19"/>
        </w:rPr>
        <w:t>rollup=1h</w:t>
      </w:r>
      <w:r>
        <w:rPr/>
        <w:t xml:space="preserve"> and </w:t>
      </w:r>
      <w:r>
        <w:rPr>
          <w:rFonts w:ascii="DejaVu Sans Mono" w:hAnsi="DejaVu Sans Mono"/>
          <w:sz w:val="19"/>
        </w:rPr>
        <w:t>function=avg</w:t>
      </w:r>
      <w:r>
        <w:rPr/>
        <w:t xml:space="preserve"> define the grouping request (Smart Citizen n.d.-d). Returned timestamps are not exact hour boundaries and differ between the two series, so the study preserves each tuple time exactly rather than constructing nominal intervals. These histories are source-platform derived products and are mapped separately from current source-reported results.</w:t>
      </w:r>
    </w:p>
    <w:p>
      <w:pPr>
        <w:pStyle w:val="PaperCaption"/>
        <w:keepNext/>
      </w:pPr>
      <w:r>
        <w:rPr>
          <w:b/>
        </w:rPr>
        <w:t>Listing 1. Selected formal temperature fields.</w:t>
      </w:r>
      <w:r>
        <w:rPr/>
        <w:t xml:space="preserve"> These members are reproduced from </w:t>
      </w:r>
      <w:r>
        <w:rPr>
          <w:rFonts w:ascii="DejaVu Sans Mono" w:hAnsi="DejaVu Sans Mono"/>
          <w:sz w:val="19"/>
        </w:rPr>
        <w:t>/data/sensors/18</w:t>
      </w:r>
      <w:r>
        <w:rPr/>
        <w:t xml:space="preserve"> in the frozen Device response. Other members are omitted, and the excerpt is not a source schema or complete response. The listing is retained as a companion JSON file and verified against the frozen body. It replaces the earlier feasibility excerpt as the formal mapping specimen (MERLIN Project 2026k).</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19.59,</w:t>
      </w:r>
    </w:p>
    <w:p>
      <w:pPr>
        <w:pStyle w:val="PaperCode"/>
        <w:keepNext/>
      </w:pPr>
      <w:r>
        <w:t xml:space="preserve">  "last_reading_at": "2026-10-25T02:40:21Z"</w:t>
      </w:r>
    </w:p>
    <w:p>
      <w:pPr>
        <w:pStyle w:val="PaperCode"/>
        <w:keepNext w:val="0"/>
        <w:spacing w:after="160"/>
      </w:pPr>
      <w:r>
        <w:t>}</w:t>
      </w:r>
    </w:p>
    <w:p>
      <w:pPr/>
      <w:r>
        <w:rPr/>
        <w:t xml:space="preserve">The native source also exposed semantic traps that matter to the experiment. Smart Citizen documents </w:t>
      </w:r>
      <w:r>
        <w:rPr>
          <w:rFonts w:ascii="DejaVu Sans Mono" w:hAnsi="DejaVu Sans Mono"/>
          <w:sz w:val="19"/>
        </w:rPr>
        <w:t>notify.low_battery</w:t>
      </w:r>
      <w:r>
        <w:rPr/>
        <w:t xml:space="preserve"> and </w:t>
      </w:r>
      <w:r>
        <w:rPr>
          <w:rFonts w:ascii="DejaVu Sans Mono" w:hAnsi="DejaVu Sans Mono"/>
          <w:sz w:val="19"/>
        </w:rPr>
        <w:t>notify.stopped_publishing</w:t>
      </w:r>
      <w:r>
        <w:rPr/>
        <w:t xml:space="preserve"> as notification settings, so a false value is not evidence of a healthy battery or healthy publishing state (Smart Citizen n.d.-d; MERLIN Project 2026k). Likewise, </w:t>
      </w:r>
      <w:r>
        <w:rPr>
          <w:rFonts w:ascii="DejaVu Sans Mono" w:hAnsi="DejaVu Sans Mono"/>
          <w:sz w:val="19"/>
        </w:rPr>
        <w:t>prev_value</w:t>
      </w:r>
      <w:r>
        <w:rPr/>
        <w:t xml:space="preserve"> has no independent timestamp in the current Device representation and is not used to manufacture a timed trend. These examples show why a familiar label cannot substitute for source semantics.</w:t>
      </w:r>
    </w:p>
    <w:p>
      <w:pPr/>
      <w:r>
        <w:rPr/>
        <w:t xml:space="preserve">The inspected Smart Citizen API source adds a further processing qualification. At revision </w:t>
      </w:r>
      <w:r>
        <w:rPr>
          <w:rFonts w:ascii="DejaVu Sans Mono" w:hAnsi="DejaVu Sans Mono"/>
          <w:sz w:val="19"/>
        </w:rPr>
        <w:t>25a524cb...</w:t>
      </w:r>
      <w:r>
        <w:rPr/>
        <w:t xml:space="preserve">, </w:t>
      </w:r>
      <w:r>
        <w:rPr>
          <w:rFonts w:ascii="DejaVu Sans Mono" w:hAnsi="DejaVu Sans Mono"/>
          <w:sz w:val="19"/>
        </w:rPr>
        <w:t>RawStorer</w:t>
      </w:r>
      <w:r>
        <w:rPr/>
        <w:t xml:space="preserve"> calls </w:t>
      </w:r>
      <w:r>
        <w:rPr>
          <w:rFonts w:ascii="DejaVu Sans Mono" w:hAnsi="DejaVu Sans Mono"/>
          <w:sz w:val="19"/>
        </w:rPr>
        <w:t>normalized_value</w:t>
      </w:r>
      <w:r>
        <w:rPr/>
        <w:t xml:space="preserve"> before storing the </w:t>
      </w:r>
      <w:r>
        <w:rPr>
          <w:rFonts w:ascii="DejaVu Sans Mono" w:hAnsi="DejaVu Sans Mono"/>
          <w:sz w:val="19"/>
        </w:rPr>
        <w:t>&lt;sensor_id&gt;_raw</w:t>
      </w:r>
      <w:r>
        <w:rPr/>
        <w:t xml:space="preserve"> entry and then stores the output of a method named </w:t>
      </w:r>
      <w:r>
        <w:rPr>
          <w:rFonts w:ascii="DejaVu Sans Mono" w:hAnsi="DejaVu Sans Mono"/>
          <w:sz w:val="19"/>
        </w:rPr>
        <w:t>calibrated_value</w:t>
      </w:r>
      <w:r>
        <w:rPr/>
        <w:t xml:space="preserve"> under the sensor ID that the public Device response exposes as </w:t>
      </w:r>
      <w:r>
        <w:rPr>
          <w:rFonts w:ascii="DejaVu Sans Mono" w:hAnsi="DejaVu Sans Mono"/>
          <w:sz w:val="19"/>
        </w:rPr>
        <w:t>value</w:t>
      </w:r>
      <w:r>
        <w:rPr/>
        <w:t xml:space="preserve"> (Smart Citizen 2026). The study therefore calls the public values source-platform reported/processed results rather than untouched raw sensor output, and the method name does not establish calibration in the VIM sense without calibration standards, uncertainty relationships or traceability evidence (Joint Committee for Guides in Metrology 2012). The exact production revision remains unverified, so repository source explains the inspected implementation path without proving byte-for-byte production behavior.</w:t>
      </w:r>
    </w:p>
    <w:p>
      <w:pPr>
        <w:pStyle w:val="Heading1"/>
      </w:pPr>
      <w:r>
        <w:rPr/>
        <w:t>7 Proposed dataset and mapping method</w:t>
      </w:r>
    </w:p>
    <w:p>
      <w:pPr>
        <w:pStyle w:val="Heading2"/>
      </w:pPr>
      <w:r>
        <w:rPr/>
        <w:t>Evidence collection and scope</w:t>
      </w:r>
    </w:p>
    <w:p>
      <w:pPr/>
      <w:r>
        <w:rPr/>
        <w:t>The formal first dataset now includes source registration and model metadata, a complete 21-channel inventory, definitions, units, individual timestamps, current readings and bounded temperature/PM2.5 history (MERLIN Project 2026k). The representative Phase 3 mapping set covers registration/model identity, temperature, PM2.5, humidity, pressure, A-weighted sound level, battery percentage, RSSI, SD-card indication and the two one-hour aggregate products (MERLIN Project 2026l). Other inventoried channels remain deliberate deferred cases rather than silently unmapped omissions. The selection exercises semantic distinctions rather than maximizing record count.</w:t>
      </w:r>
    </w:p>
    <w:p>
      <w:pPr/>
      <w:r>
        <w:rPr/>
        <w:t>The formal acquisition retains the endpoint/query, UTC acquisition time, HTTP outcome, response headers, complete response bodies and SHA-256 fingerprints; a later acquisition should additionally freeze the API root/version information when available (MERLIN Project 2026k). Published excerpts identify their relationship to those retained bodies, and the raw capture remains separate from application fixtures. The earlier 24 October evidence record remains a feasibility record and is not retroactively relabeled as the formal specimen (MERLIN Project 2026b). This preserves the difference between feasibility evidence, source evidence and later mapped representations.</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5" name="Picture 5"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5"/>
                    <a:stretch>
                      <a:fillRect/>
                    </a:stretch>
                  </pic:blipFill>
                  <pic:spPr>
                    <a:xfrm>
                      <a:off x="0" y="0"/>
                      <a:ext cx="6217920" cy="5129784"/>
                    </a:xfrm>
                    <a:prstGeom prst="rect"/>
                  </pic:spPr>
                </pic:pic>
              </a:graphicData>
            </a:graphic>
          </wp:inline>
        </w:drawing>
      </w:r>
    </w:p>
    <w:p>
      <w:pPr>
        <w:pStyle w:val="PaperCaption"/>
        <w:keepNext w:val="0"/>
      </w:pPr>
      <w:r>
        <w:rPr>
          <w:b/>
        </w:rPr>
        <w:t>Figure 5.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5.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Phase 1–3 review checkpoint</w:t>
      </w:r>
    </w:p>
    <w:p>
      <w:pPr/>
      <w:r>
        <w:rPr/>
        <w:t>The mapping review was deliberately reopened before Phase 4 so that source-characterization and semantic defects could be corrected before code or server behavior made them implicit. The review retained the core identity, environmental-observation, battery and SD-card conclusions, corrected RSSI's earlier overconfident status classification, and brought the two aggregate-history products into the mapping ledger with explicit processing provenance (MERLIN Project 2026l). It also corrected the source-processing description and the 11+10 timing cohort count, while preserving unresolved result-time and sampling-subject questions rather than inventing answers. The work pauses at this checkpoint for owner review before any CSAPI resource graph is authored.</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1–3 item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Reviewed standing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Formal specimen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Frozen registration 19639 Device response plus temperature and PM2.5 histories with requests, headers and hashes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Native characterization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 channels; 11 at 02:40:21Z and 10 SEN5X channels at 02:36:21Z; notification, previous-value, location and processing limitations explicit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Identity/model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System instance remains distinct from platform registration and reusable SCK2.3 model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current results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Temperature, PM2.5, humidity, pressure and A-weighted sound level mapped as environmental observations with unresolved sampling feature/resultTime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Parent-System status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 and SD-card code mapped without inventing battery topology, readiness or Boolean health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Quantity preserved; observed subject and optional DataStream type remain unresolved instead of forcing System status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One-hour averages treated as source-platform processing products; processing System/Procedure and exact times remain Phase 4 design questions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now uses the formal frozen temperature channel rather than the preliminary feasibility value. The source supplies sensor catalogue ID 55, value 19.59 ºC, unit definition </w:t>
      </w:r>
      <w:r>
        <w:rPr>
          <w:rFonts w:ascii="DejaVu Sans Mono" w:hAnsi="DejaVu Sans Mono"/>
          <w:sz w:val="19"/>
        </w:rPr>
        <w:t>https://qudt.org/vocab/unit/DEG_C</w:t>
      </w:r>
      <w:r>
        <w:rPr/>
        <w:t xml:space="preserve">, air-temperature definition </w:t>
      </w:r>
      <w:r>
        <w:rPr>
          <w:rFonts w:ascii="DejaVu Sans Mono" w:hAnsi="DejaVu Sans Mono"/>
          <w:sz w:val="19"/>
        </w:rPr>
        <w:t>http://www.eionet.europa.eu/gemet/concept/281</w:t>
      </w:r>
      <w:r>
        <w:rPr/>
        <w:t xml:space="preserve">, and channel source time </w:t>
      </w:r>
      <w:r>
        <w:rPr>
          <w:rFonts w:ascii="DejaVu Sans Mono" w:hAnsi="DejaVu Sans Mono"/>
          <w:sz w:val="19"/>
        </w:rPr>
        <w:t>2026-10-25T02:40:21Z</w:t>
      </w:r>
      <w:r>
        <w:rPr/>
        <w:t xml:space="preserve"> (MERLIN Project 2026k; 2026l). In the underlying model this is an environmental Observation result produced by the sensing System, with the observed subject distinct from that producer. MPSS R10 and R11 therefore keep output/DataStream correspondence, producer, observed subject and temporal context distinguishable.</w:t>
      </w:r>
    </w:p>
    <w:p>
      <w:pPr/>
      <w:r>
        <w:rPr/>
        <w:t xml:space="preserve">The observation-concept lineage runs through CSAPI to SOSA/SSN.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distinguish the producer, observation, property, subject and outcome, while CSAPI supplies the DataStream and Observation resource mechanisms (World Wide Web Consortium 2017; Open Geospatial Consortium 2025a; 2025b). GEMET concept 281 and QUDT </w:t>
      </w:r>
      <w:r>
        <w:rPr>
          <w:rFonts w:ascii="DejaVu Sans Mono" w:hAnsi="DejaVu Sans Mono"/>
          <w:sz w:val="19"/>
        </w:rPr>
        <w:t>DEG_C</w:t>
      </w:r>
      <w:r>
        <w:rPr/>
        <w:t xml:space="preserve"> are source-carried property/unit vocabularies rather than evidence that those vocabularies historically donated every relevant DIM concept (European Environment Agency 2021; QUDT.org n.d.). The local output name remains an experiment-authored choice.</w:t>
      </w:r>
    </w:p>
    <w:p>
      <w:pPr/>
      <w:r>
        <w:rPr/>
        <w:t xml:space="preserve">The proposed SensorML output uses a SWE Quantity named </w:t>
      </w:r>
      <w:r>
        <w:rPr>
          <w:rFonts w:ascii="DejaVu Sans Mono" w:hAnsi="DejaVu Sans Mono"/>
          <w:sz w:val="19"/>
        </w:rPr>
        <w:t>airTemperature</w:t>
      </w:r>
      <w:r>
        <w:rPr/>
        <w:t xml:space="preserve"> with the source property and unit URIs. Its CSAPI DataStream is type </w:t>
      </w:r>
      <w:r>
        <w:rPr>
          <w:rFonts w:ascii="DejaVu Sans Mono" w:hAnsi="DejaVu Sans Mono"/>
          <w:sz w:val="19"/>
        </w:rPr>
        <w:t>observation</w:t>
      </w:r>
      <w:r>
        <w:rPr/>
        <w:t xml:space="preserve">; linked scalar Observations are expected to yield server-derived </w:t>
      </w:r>
      <w:r>
        <w:rPr>
          <w:rFonts w:ascii="DejaVu Sans Mono" w:hAnsi="DejaVu Sans Mono"/>
          <w:sz w:val="19"/>
        </w:rPr>
        <w:t>resultType=measure</w:t>
      </w:r>
      <w:r>
        <w:rPr/>
        <w:t>, rather than the adapter authoring that summary field directly (Open Geospatial Consortium 2025b, sec. 9.2). The channel timestamp is retained as the source-recorded observation time and a candidate phenomenonTime, but the source supplies no separate resultTime. No SamplingFeature is created merely to satisfy the target graph.</w:t>
      </w:r>
    </w:p>
    <w:p>
      <w:pPr/>
      <w:r>
        <w:rPr/>
        <w:t>Presentation may show the source-reported temperature, unit, property meaning, producer and channel time while stating that the environmental sampling subject is not independently identified. It must not call 19.59 ºC “device temperature,” replace the channel time with the Device's latest time, or use acquisition time as an observation time. These are semantic-preservation requirements, not layout preferences.</w:t>
      </w:r>
    </w:p>
    <w:p>
      <w:pPr>
        <w:pStyle w:val="Heading2"/>
      </w:pPr>
      <w:r>
        <w:rPr/>
        <w:t>Battery mapping SC BATT 01</w:t>
      </w:r>
    </w:p>
    <w:p>
      <w:pPr/>
      <w:r>
        <w:rPr/>
        <w:t xml:space="preserve">Mapping </w:t>
      </w:r>
      <w:r>
        <w:rPr>
          <w:rFonts w:ascii="DejaVu Sans Mono" w:hAnsi="DejaVu Sans Mono"/>
          <w:sz w:val="19"/>
        </w:rPr>
        <w:t>SC-BATT-01</w:t>
      </w:r>
      <w:r>
        <w:rPr/>
        <w:t xml:space="preserve"> uses the formal 99 percent result at </w:t>
      </w:r>
      <w:r>
        <w:rPr>
          <w:rFonts w:ascii="DejaVu Sans Mono" w:hAnsi="DejaVu Sans Mono"/>
          <w:sz w:val="19"/>
        </w:rPr>
        <w:t>2026-10-25T02:40:21Z</w:t>
      </w:r>
      <w:r>
        <w:rPr/>
        <w:t xml:space="preserve"> and Smart Citizen Measurement 7, whose definition is the SCK remaining battery level in percentage (MERLIN Project 2026k; 2026l). Under the paper's telemetry definition, this is remotely transmitted parent-System power/status telemetry, not evidence of a separately identified battery. MPSS R17 preserves the changing value and observed subject, while R16 is not instantiated because no battery identity, Power Interface or source-to-consumer relationship is supplied. A status DataStream is therefore defensible because the property is explicitly about the parent SCK itself (Open Geospatial Consortium 2025b, sec. 9.2; Scholl and Suloway 2023).</w:t>
      </w:r>
    </w:p>
    <w:p>
      <w:pPr/>
      <w:r>
        <w:rPr/>
        <w:t xml:space="preserve">RFC 7326 contributes power-source and metering concepts that constrain against inventing supply topology, and RFC 7577 defines battery objects such as actual charge and actual voltage whose units and meanings are not equivalent to a percentage (Parello et al. 2014; Quittek et al. 2015). The proposed SWE Quantity uses local name </w:t>
      </w:r>
      <w:r>
        <w:rPr>
          <w:rFonts w:ascii="DejaVu Sans Mono" w:hAnsi="DejaVu Sans Mono"/>
          <w:sz w:val="19"/>
        </w:rPr>
        <w:t>batteryLevel</w:t>
      </w:r>
      <w:r>
        <w:rPr/>
        <w:t xml:space="preserve">, source unit code </w:t>
      </w:r>
      <w:r>
        <w:rPr>
          <w:rFonts w:ascii="DejaVu Sans Mono" w:hAnsi="DejaVu Sans Mono"/>
          <w:sz w:val="19"/>
        </w:rPr>
        <w:t>%</w:t>
      </w:r>
      <w:r>
        <w:rPr/>
        <w:t xml:space="preserve">, and the resolvable source concept </w:t>
      </w:r>
      <w:r>
        <w:rPr>
          <w:rFonts w:ascii="DejaVu Sans Mono" w:hAnsi="DejaVu Sans Mono"/>
          <w:sz w:val="19"/>
        </w:rPr>
        <w:t>https://api.smartcitizen.me/v0/measurements/7</w:t>
      </w:r>
      <w:r>
        <w:rPr/>
        <w:t xml:space="preserve"> as an experiment-authored semantic definition. Linked scalar Observations are expected to yield server-derived </w:t>
      </w:r>
      <w:r>
        <w:rPr>
          <w:rFonts w:ascii="DejaVu Sans Mono" w:hAnsi="DejaVu Sans Mono"/>
          <w:sz w:val="19"/>
        </w:rPr>
        <w:t>resultType=measure</w:t>
      </w:r>
      <w:r>
        <w:rPr/>
        <w:t>. The source still supplies no separate resultTime.</w:t>
      </w:r>
    </w:p>
    <w:p>
      <w:pPr/>
      <w:r>
        <w:rPr/>
        <w:t>The display may say “source-reported SCK remaining battery level: 99%” and show its source time. It must not add charge in mAh, voltage, remaining runtime, charging state, a separate battery identity, a supply edge or readiness judgment. This preserved absence is part of the result rather than a missing-value defect.</w:t>
      </w:r>
    </w:p>
    <w:p>
      <w:pPr>
        <w:pStyle w:val="Heading2"/>
      </w:pPr>
      <w:r>
        <w:rPr/>
        <w:t>RSSI classification correction</w:t>
      </w:r>
    </w:p>
    <w:p>
      <w:pPr/>
      <w:r>
        <w:rPr/>
        <w:t xml:space="preserve">The Phase 3 review changed the earlier proposed classification of </w:t>
      </w:r>
      <w:r>
        <w:rPr>
          <w:rFonts w:ascii="DejaVu Sans Mono" w:hAnsi="DejaVu Sans Mono"/>
          <w:sz w:val="19"/>
        </w:rPr>
        <w:t>SC-RSSI-01</w:t>
      </w:r>
      <w:r>
        <w:rPr/>
        <w:t xml:space="preserve">. Smart Citizen defines RSSI as power present in a received radio signal, but the frozen source does not independently identify whether the observed subject is the parent System, an embedded Wi-Fi subsystem/interface, or the received signal/link context (Smart Citizen n.d.-d; MERLIN Project 2026l). OGC reserves DataStream type </w:t>
      </w:r>
      <w:r>
        <w:rPr>
          <w:rFonts w:ascii="DejaVu Sans Mono" w:hAnsi="DejaVu Sans Mono"/>
          <w:sz w:val="19"/>
        </w:rPr>
        <w:t>status</w:t>
      </w:r>
      <w:r>
        <w:rPr/>
        <w:t xml:space="preserve"> for observations of the parent System or its subsystems and </w:t>
      </w:r>
      <w:r>
        <w:rPr>
          <w:rFonts w:ascii="DejaVu Sans Mono" w:hAnsi="DejaVu Sans Mono"/>
          <w:sz w:val="19"/>
        </w:rPr>
        <w:t>observation</w:t>
      </w:r>
      <w:r>
        <w:rPr/>
        <w:t xml:space="preserve"> for other features of interest, so equipment context alone does not settle the type (Open Geospatial Consortium 2025b, sec. 9.2). The Phase 3 design therefore leaves the optional DataStream </w:t>
      </w:r>
      <w:r>
        <w:rPr>
          <w:rFonts w:ascii="DejaVu Sans Mono" w:hAnsi="DejaVu Sans Mono"/>
          <w:sz w:val="19"/>
        </w:rPr>
        <w:t>type</w:t>
      </w:r>
      <w:r>
        <w:rPr/>
        <w:t xml:space="preserve"> unset until Phase 4 resolves the subject.</w:t>
      </w:r>
    </w:p>
    <w:p>
      <w:pPr/>
      <w:r>
        <w:rPr/>
        <w:t xml:space="preserve">The value remains a SWE Quantity with source-concept definition </w:t>
      </w:r>
      <w:r>
        <w:rPr>
          <w:rFonts w:ascii="DejaVu Sans Mono" w:hAnsi="DejaVu Sans Mono"/>
          <w:sz w:val="19"/>
        </w:rPr>
        <w:t>https://api.smartcitizen.me/v0/measurements/78</w:t>
      </w:r>
      <w:r>
        <w:rPr/>
        <w:t xml:space="preserve">. The native unit lexeme </w:t>
      </w:r>
      <w:r>
        <w:rPr>
          <w:rFonts w:ascii="DejaVu Sans Mono" w:hAnsi="DejaVu Sans Mono"/>
          <w:sz w:val="19"/>
        </w:rPr>
        <w:t>dBm</w:t>
      </w:r>
      <w:r>
        <w:rPr/>
        <w:t xml:space="preserve"> is preserved; QUDT </w:t>
      </w:r>
      <w:r>
        <w:rPr>
          <w:rFonts w:ascii="DejaVu Sans Mono" w:hAnsi="DejaVu Sans Mono"/>
          <w:sz w:val="19"/>
        </w:rPr>
        <w:t>DeciB-MilliW</w:t>
      </w:r>
      <w:r>
        <w:rPr/>
        <w:t xml:space="preserve"> is a possible experiment-authored unit normalization because it represents a decibel level referenced to one milliwatt, but Smart Citizen did not supply that URI (QUDT.org 2026). MPSS R13 continues to constrain the interpretation: RSSI is not interface operational status, enabled state, reachability or a directed network link. Presentation therefore reports source RSSI without inventing “Wi-Fi health,” “link up” or signal-quality thresholds.</w:t>
      </w:r>
    </w:p>
    <w:p>
      <w:pPr>
        <w:pStyle w:val="Heading2"/>
      </w:pPr>
      <w:r>
        <w:rPr/>
        <w:t>Aggregate-history mappings</w:t>
      </w:r>
    </w:p>
    <w:p>
      <w:pPr/>
      <w:r>
        <w:rPr/>
        <w:t xml:space="preserve">The one-hour average temperature and PM2.5 series are now explicit Phase 3 mappings rather than deferred examples. Smart Citizen documents the rollup and grouping function, and the inspected implementation shows source-platform aggregation through Kairos; the derived averages therefore have processing provenance that must not be attributed to the physical SCK (Smart Citizen n.d.-d; 2026; MERLIN Project 2026l). OGC permits a process System with </w:t>
      </w:r>
      <w:r>
        <w:rPr>
          <w:rFonts w:ascii="DejaVu Sans Mono" w:hAnsi="DejaVu Sans Mono"/>
          <w:sz w:val="19"/>
        </w:rPr>
        <w:t>assetType=Process</w:t>
      </w:r>
      <w:r>
        <w:rPr/>
        <w:t xml:space="preserve">, an associated Procedure, and a derived Property that references a </w:t>
      </w:r>
      <w:r>
        <w:rPr>
          <w:rFonts w:ascii="DejaVu Sans Mono" w:hAnsi="DejaVu Sans Mono"/>
          <w:sz w:val="19"/>
        </w:rPr>
        <w:t>baseProperty</w:t>
      </w:r>
      <w:r>
        <w:rPr/>
        <w:t xml:space="preserve"> and optionally a statistic (Open Geospatial Consortium 2025a, secs. 9, 15). The Phase 3 design uses those mechanisms conceptually while leaving exact UIDs and server-supported request structures for Phase 4.</w:t>
      </w:r>
    </w:p>
    <w:p>
      <w:pPr/>
      <w:r>
        <w:rPr/>
        <w:t>The temperature response reports 1,439 readings examined and the PM2.5 response 288, even though both return 24 one-hour aggregate tuples. Those response-wide counts remain query/processing provenance and are not copied into each aggregate as per-bin sample counts. Returned tuple timestamps are preserved exactly, and no nominal one-hour phenomenon interval or separate resultTime is invented from the request spelling. If the target server cannot preserve the processing distinction without distortion, omitting the aggregate products from the first load is preferable to presenting them as direct physical-kit output.</w:t>
      </w:r>
    </w:p>
    <w:p>
      <w:pPr>
        <w:pStyle w:val="Heading2"/>
      </w:pPr>
      <w:r>
        <w:rPr/>
        <w:t>Expected domain coverage</w:t>
      </w:r>
    </w:p>
    <w:p>
      <w:pPr>
        <w:pStyle w:val="PaperCaption"/>
        <w:keepNext/>
      </w:pPr>
      <w:r>
        <w:rPr>
          <w:b/>
        </w:rPr>
        <w:t>Table 6.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8 Integration and evaluation protocol</w:t>
      </w:r>
    </w:p>
    <w:p>
      <w:pPr>
        <w:pStyle w:val="Heading2"/>
      </w:pPr>
      <w:r>
        <w:rPr/>
        <w:t>Acquisition and publication</w:t>
      </w:r>
    </w:p>
    <w:p>
      <w:pPr/>
      <w:r>
        <w:rPr/>
        <w:t>The formal Phase 1 specimen is already frozen and remains the deterministic mapping/replay baseline. Before a later live adapter run, the team will reassess registration 19639 for sufficiently recent data and document any reason for choosing a different live source while retaining the frozen specimen for comparison. Polling, caching and retry behavior will follow documented and observed source behavior, and repeated retrieval of an old observation will not make it new. The adapter will preserve acquisition time separately from source time and document duplicate handling.</w:t>
      </w:r>
    </w:p>
    <w:p>
      <w:pPr/>
      <w:r>
        <w:rPr/>
        <w:t>The selected CSAPI service will be checked for the required resource creation and retrieval capabilities. Only the chosen supported interfaces will be used, and the actual endpoint and version will be recorded in the execution record. A source sample will then be followed through capture, mapped representation,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7.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9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6" name="Picture 6"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16"/>
                    <a:stretch>
                      <a:fillRect/>
                    </a:stretch>
                  </pic:blipFill>
                  <pic:spPr>
                    <a:xfrm>
                      <a:off x="0" y="0"/>
                      <a:ext cx="6217920" cy="3971071"/>
                    </a:xfrm>
                    <a:prstGeom prst="rect"/>
                  </pic:spPr>
                </pic:pic>
              </a:graphicData>
            </a:graphic>
          </wp:inline>
        </w:drawing>
      </w:r>
    </w:p>
    <w:p>
      <w:pPr>
        <w:pStyle w:val="PaperCaption"/>
        <w:keepNext w:val="0"/>
      </w:pPr>
      <w:r>
        <w:rPr>
          <w:b/>
        </w:rPr>
        <w:t>Figure 6.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source provenance and separate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7" name="Picture 7"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17"/>
                    <a:stretch>
                      <a:fillRect/>
                    </a:stretch>
                  </pic:blipFill>
                  <pic:spPr>
                    <a:xfrm>
                      <a:off x="0" y="0"/>
                      <a:ext cx="6217920" cy="3565588"/>
                    </a:xfrm>
                    <a:prstGeom prst="rect"/>
                  </pic:spPr>
                </pic:pic>
              </a:graphicData>
            </a:graphic>
          </wp:inline>
        </w:drawing>
      </w:r>
    </w:p>
    <w:p>
      <w:pPr>
        <w:pStyle w:val="PaperCaption"/>
        <w:keepNext w:val="0"/>
      </w:pPr>
      <w:r>
        <w:rPr>
          <w:b/>
        </w:rPr>
        <w:t>Figure 7.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6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8.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6 and 7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9. Planned figures and evidence status.</w:t>
      </w:r>
      <w:r>
        <w:rPr/>
        <w:t xml:space="preserve"> Figures 1–5 identify the system, server, client, experiment architecture, and conceptual model. Figures 6 and 7 now provide first-party historical Smart Citizen UI evidence selected before the CSAPI/Glaux result exists. Figures 8–10 remain reserved for contemporaneous or executed evidence and will not be filled with simulated substitutes.</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0.6</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server records and mapping results</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10 Results to be reported</w:t>
      </w:r>
    </w:p>
    <w:p>
      <w:pPr/>
      <w:r>
        <w:rPr/>
        <w:t>Phases 1–3 now provide reportable source and mapping results, but the end-to-end integration remains incomplete. The experiment has frozen a complete formal Device specimen and two bounded histories, characterized all 21 current channels and their identity/time semantics, and reviewed nine current-state plus two aggregate-history mappings (MERLIN Project 2026k; 2026l). It has also recorded corrections discovered by review, including the source-processing provenance wording, notification-setting false friend, 11+10 timing cohorts and RSSI DataStream-type overreach. No adapter success rate, CSAPI interoperability claim, connected Glaux result, task-time improvement or user outcome is reported.</w:t>
      </w:r>
    </w:p>
    <w:p>
      <w:pPr/>
      <w:r>
        <w:rPr/>
        <w:t>The reviewed mappings demonstrate several negative results that are themselves meaningful. A Smart Citizen registration UUID is not established as a manufacturer serial; a shared Sensor catalogue parent is not an installed-component serial; battery percentage does not establish battery identity or supply topology; RSSI does not establish interface/link status; and SD-card code 0 cannot be simplified to a Boolean health state. The aggregate histories also show that semantic preservation includes processing provenance, because the source platform produced the one-hour averages and their response-wide sample counts. These findings narrow what a correct Phase 4 resource graph may claim.</w:t>
      </w:r>
    </w:p>
    <w:p>
      <w:pPr/>
      <w:r>
        <w:rPr/>
        <w:t>The remaining results will be produced in later phases. First, Phase 4 must turn the reviewed mappings into a resource graph and executable identity/subject/time decisions; later phases will record adapter outputs, server create/retrieve behavior, Glaux traversal and the matched generic/profile-aware presentation. Each later result will remain tied to the frozen specimen or a separately identified live acquisition rather than silently replacing the evidence baseline. The reporting structure continues to permit an accurate generic presentation or an unfavorable profile result.</w:t>
      </w:r>
    </w:p>
    <w:p>
      <w:pPr>
        <w:pStyle w:val="Heading1"/>
      </w:pPr>
      <w:r>
        <w:rPr/>
        <w:t>11 Discussion and limitations</w:t>
      </w:r>
    </w:p>
    <w:p>
      <w:pPr/>
      <w:r>
        <w:rPr/>
        <w:t>The immediate public-data case is strongest for reported quantities, source-platform descriptions, source context, telemetry and integration provenance. It remains weaker for unit-specific physical composition, operating configuration, deployment history, power topology and maintenance, and more readings cannot fill those missing relationships by themselves. Documentary model enrichment must not be presented as observation of the particular installation, while source-platform processing must not be presented as direct physical-sensor output (MERLIN Project 2026a; 2026k; 2026l). The terminology baseline helps keep those boundaries explicit.</w:t>
      </w:r>
    </w:p>
    <w:p>
      <w:pPr/>
      <w:r>
        <w:rPr/>
        <w:t>The formal Phase 1 capture archives the complete Device body plus the two selected history bodies, but it is still only one bounded specimen and did not freeze every possible endpoint or production-version indicator. The selected source may change its fields, permissions, processing code or availability, and the inspected Smart Citizen source revision is not independently proven to be the exact production revision (Smart Citizen 2026). Timestamp semantics, aggregate interval boundaries and historical location applicability retain explicit uncertainties. A later independent producer can test transfer, while an owned kit can address physical evidence gaps; these are different extensions.</w:t>
      </w:r>
    </w:p>
    <w:p>
      <w:pPr/>
      <w:r>
        <w:rPr/>
        <w:t>No full OGC conformance, whole-profile implementation, or native Smart Citizen support for MPSS is claimed. Structural correctness, service interoperability, and operator benefit require different evidence. The study will also retain the distinction between native source meanings, selected standard mechanisms, MERLIN-authored bindings, and client choices throughout its reporting.</w:t>
      </w:r>
    </w:p>
    <w:p>
      <w:pPr>
        <w:pStyle w:val="Heading1"/>
      </w:pPr>
      <w:r>
        <w:rPr/>
        <w:t>12 Reproducibility and document maintenance</w:t>
      </w:r>
    </w:p>
    <w:p>
      <w:pPr/>
      <w:r>
        <w:rPr/>
        <w:t>The manuscript,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the Phase 4 resource graph and, only after its review gate, actual execution evidence from the first adapter/CSAPI trace.</w:t>
      </w:r>
    </w:p>
    <w:p>
      <w:pPr>
        <w:pStyle w:val="Heading1"/>
      </w:pPr>
      <w:r>
        <w:rPr/>
        <w:t>13 Conclusion</w:t>
      </w:r>
    </w:p>
    <w:p>
      <w:pPr/>
      <w:r>
        <w:rPr/>
        <w:t>This study has moved from a proposed source assessment to a reviewed Phase 1–3 evidence baseline. A formal Smart Citizen specimen is frozen, its native identities, channel times, status/configuration distinctions and processing limitations are characterized, and the representative mapping set now includes both current results and source-platform aggregate products. The review also demonstrated why shared terminology matters: telemetry is not static metadata, provenance includes processing and integration history, and a code label containing “calibrated” does not establish formal calibration. These corrections occurred before target resource design, where they can constrain implementation rather than be discovered after it.</w:t>
      </w:r>
    </w:p>
    <w:p>
      <w:pPr/>
      <w:r>
        <w:rPr/>
        <w:t>The next question is no longer whether a real source can be acquired or whether a plausible mapping can be sketched. It is whether the reviewed meanings can be represented as a defensible CSAPI resource graph without inventing identity, subject, time or provenance. That is the Phase 4 question, and this paper intentionally pauses before it for owner review. Later integration and presentation results will be evaluated against this reviewed baseline rather than against assumptions reconstructed after the fact.</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Joint Committee for Guides in Metrology. 2012. </w:t>
      </w:r>
      <w:r>
        <w:rPr>
          <w:i/>
        </w:rPr>
        <w:t>International Vocabulary of Metrology—Basic and General Concepts and Associated Terms (VIM)</w:t>
      </w:r>
      <w:r>
        <w:rPr/>
        <w:t>. 3rd ed., 2008 version with minor corrections. JCGM 200:2012. https://doi.org/10.59161/JCGM200-2012.</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MERLIN Project. 2026k. “Smart Citizen Source Specimen and Native Inventory.” October 25. Experiment workbook record. https://github.com/OS4CSAPI/glaux-client/blob/work/details-view-20261023/Docs/Research/Studies/Smart_Citizen/Workbook/01_SOURCE_SPECIMEN_AND_INVENTORY.md.</w:t>
      </w:r>
    </w:p>
    <w:p>
      <w:pPr>
        <w:pStyle w:val="PaperReference"/>
      </w:pPr>
      <w:r>
        <w:rPr/>
        <w:t>MERLIN Project. 2026l. “Smart Citizen Mapping Ledger.” October 25. Experiment workbook record. https://github.com/OS4CSAPI/glaux-client/blob/work/details-view-20261023/Docs/Research/Studies/Smart_Citizen/Workbook/02_MAPPING_LEDGER.md.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QUDT.org. 2026. </w:t>
      </w:r>
      <w:r>
        <w:rPr>
          <w:i/>
        </w:rPr>
        <w:t>QUDT Units Vocabulary</w:t>
      </w:r>
      <w:r>
        <w:rPr/>
        <w:t>. Version 3.5.3. Accessed October 25, 2026. https://www.qudt.org/doc/DOC_VOCAB-UNITS.html.</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 xml:space="preserve">Scholl, Matthew, and Theresa Suloway. 2023. </w:t>
      </w:r>
      <w:r>
        <w:rPr>
          <w:i/>
        </w:rPr>
        <w:t>Introduction to Cybersecurity for Commercial Satellite Operations</w:t>
      </w:r>
      <w:r>
        <w:rPr/>
        <w:t>. NIST Interagency/Internal Report 8270. July. National Institute of Standards and Technology. https://doi.org/10.6028/NIST.IR.8270.</w:t>
      </w:r>
    </w:p>
    <w:p>
      <w:pPr>
        <w:pStyle w:val="PaperReference"/>
      </w:pPr>
      <w:r>
        <w:rPr/>
        <w:t>Seeed Studio. n.d. “Smart Citizen Kit 2.3—Open Source Environmental Monitoring Kit.” SKU 114993536. Accessed October 24, 2026. https://www.seeedstudio.com/Smart-Citizen2-3-p-6327.html.</w:t>
      </w:r>
    </w:p>
    <w:p>
      <w:pPr>
        <w:pStyle w:val="PaperReference"/>
      </w:pPr>
      <w:r>
        <w:rPr/>
        <w:t>Smart Citizen. 2026. “smartcitizen-api.” GitHub repository, revision 25a524cbfb036f8950c247b847d8884a4e776297. Accessed October 25, 2026. https://github.com/fablabbcn/smartcitizen-api/tree/25a524cbfb036f8950c247b847d8884a4e776297.</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2013. </w:t>
      </w:r>
      <w:r>
        <w:rPr>
          <w:i/>
        </w:rPr>
        <w:t>PROV-DM: The PROV Data Model</w:t>
      </w:r>
      <w:r>
        <w:rPr/>
        <w:t>. W3C Recommendation, April 30. https://www.w3.org/TR/prov-dm/.</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0.7   25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{"format":"glaux-paper-inputs-v1","sha256":"ae0a21c186cfc6a65806f553b6f1ffbe383e4064c3f6b27bf9f6d40e17bf0619"}</dc:description>
  <cp:lastModifiedBy/>
  <cp:revision>1</cp:revision>
  <dcterms:created xsi:type="dcterms:W3CDTF">2026-10-25T00:00:00Z</dcterms:created>
  <dcterms:modified xsi:type="dcterms:W3CDTF">2026-10-25T00:00:00Z</dcterms:modified>
  <cp:category/>
  <cp:version>0.7</cp:version>
</cp:coreProperties>
</file>