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0.6 | 24 October 2026 | Study protocol and preliminary source assessment</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sensor from the subject it observes, and a reported condition from an interpretation of that condition. This paper defines a proposed experiment using public Smart Citizen data, an authored adapter, an OGC API Connected Systems service, and the Glaux client to evaluate the MERLIN domain information model and Managed Physical Sensing Systems profile. The study will combine published source definitions with captured responses, document each consequential transformation, and compare competent generic and profile-aware presentations of the same standardized resources. Each mapping will explain both its standard representation and its relationship to the underlying domain model and individually identified donor concepts.</w:t>
      </w:r>
    </w:p>
    <w:p>
      <w:pPr/>
      <w:r>
        <w:rPr/>
        <w:t>Preliminary access checks establish that selected public measurements and aggregate history were retrievable; they do not establish a running adapter, a loaded CSAPI dataset, or a presentation benefit. The evaluation will report semantic preservation, domain coverage, and operator-facing utility separately. Initial diagrams and code fragments explain the proposed method. Paired source-interface and Glaux screenshots, executed mappings, and measured results will be added as evidence becomes available. The expected contribution is a reproducible account of which meanings survive integration, which require explicit enrichment, and which remain unsupported by the source.</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DIM and MPSS. Their presence in model documentation does not establish a verified component inventory for an individual installation.</w:t>
      </w:r>
    </w:p>
    <w:p>
      <w:pPr/>
      <w:r>
        <w:rPr/>
        <w:t>The specific starting specimen is public Smart Citizen registration 19639, captured on 24 October 2026 at 21:57:35 UTC. The returned record identifies its hardware as “SmartCitizen Kit 2.3,” with type “SCK,” version “2.3,” and slug “sck:2,3” (MERLIN Project 2026b, record “smart-citizen-current-19639”). Its channel catalogue includes environmental observations together with equipment-related readings such as battery percentage and Wi-Fi RSSI. A source registration and its reported model identify the selected data specimen, while the enduring physical identity and installed configuration still require separate evidence.</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GET https://api.smartcitizen.me/v0/devices/19639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Starting specimen for the proposed public-data integration;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being written before execution of the proposed integration. Its purpose is to state what will be built, why the experiment is needed, how evidence will be collected and interpreted, and what would justify a conclusion. The initial staged plan is refined here by placing public-data integration before hardware acquisition (MERLIN Project 2026e). An owned kit is a later means of obtaining physical installation and lifecycle evidence. Deterministic captures will accompany live access so that the same observations can be examined throughout the integration chain.</w:t>
      </w:r>
    </w:p>
    <w:p>
      <w:pPr>
        <w:pStyle w:val="Heading1"/>
      </w:pPr>
      <w:r>
        <w:rPr/>
        <w:t>2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3 Experimental integration infrastructure</w:t>
      </w:r>
    </w:p>
    <w:p>
      <w:pPr>
        <w:pStyle w:val="Heading2"/>
      </w:pPr>
      <w:r>
        <w:rPr/>
        <w:t>3.1 Experimental CSAPI server</w:t>
      </w:r>
    </w:p>
    <w:p>
      <w:pPr>
        <w:pStyle w:val="Heading3"/>
      </w:pPr>
      <w:r>
        <w:rPr/>
        <w:t>Origin and implementation lineage</w:t>
      </w:r>
    </w:p>
    <w:p>
      <w:pPr/>
      <w:r>
        <w:rPr/>
        <w:t>pygeoapi is an open-source Python server implementation of the OGC API family, designed around an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an initial Connected Systems API design and prototype were developed in KI:STE in synergy with MINKE and EMODnet Ingestion III,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native geospatial dependencies such as GDAL, PROJ, GEOS, NumPy, and Shapely.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3"/>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ARM64/native-dependency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ARM64/native-dependency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3"/>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3"/>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2"/>
      </w:pPr>
      <w:r>
        <w:rPr/>
        <w:t>3.2 Experimental Glaux client</w:t>
      </w:r>
    </w:p>
    <w:p>
      <w:pPr>
        <w:pStyle w:val="Heading3"/>
      </w:pPr>
      <w:r>
        <w:rPr/>
        <w:t>Origin and implementation lineage</w:t>
      </w:r>
    </w:p>
    <w:p>
      <w:pPr/>
      <w:r>
        <w:rPr/>
        <w:t xml:space="preserve">The experimental client is </w:t>
      </w:r>
      <w:r>
        <w:rPr>
          <w:rFonts w:ascii="DejaVu Sans Mono" w:hAnsi="DejaVu Sans Mono"/>
          <w:sz w:val="19"/>
        </w:rPr>
        <w:t>OS4CSAPI/glaux-client</w:t>
      </w:r>
      <w:r>
        <w:rPr/>
        <w:t>, a standalone TypeScript/Vite browser application created for this study rather than a fork of the existing Glaux, CSAPI Explorer, Alephex, or client-library applications. Its purpose is to keep standards access, MERLIN interpretation, and operator presentation under one observable application boundary while allowing each layer to be tested separately (MERLIN Project 2026g). The name reflects its relationship to the broader Glaux effort and possible future contribution, not an adoption or endorsement by DGIWG or another organization. The current study therefore treats Glaux Client as project-authored experimental software whose behavior must be versioned and examined like the server and adapter.</w:t>
      </w:r>
    </w:p>
    <w:p>
      <w:pPr/>
      <w:r>
        <w:rPr/>
        <w:t xml:space="preserve">Standards access is supplied by </w:t>
      </w:r>
      <w:r>
        <w:rPr>
          <w:rFonts w:ascii="DejaVu Sans Mono" w:hAnsi="DejaVu Sans Mono"/>
          <w:sz w:val="19"/>
        </w:rPr>
        <w:t>OS4CSAPI/ogc-client-CSAPI_2</w:t>
      </w:r>
      <w:r>
        <w:rPr/>
        <w:t xml:space="preserve">, an OS4CSAPI fork of Camptocamp's TypeScript </w:t>
      </w:r>
      <w:r>
        <w:rPr>
          <w:rFonts w:ascii="DejaVu Sans Mono" w:hAnsi="DejaVu Sans Mono"/>
          <w:sz w:val="19"/>
        </w:rPr>
        <w:t>ogc-client</w:t>
      </w:r>
      <w:r>
        <w:rPr/>
        <w:t xml:space="preserve"> library, while the application code remains a separate repository. The selected </w:t>
      </w:r>
      <w:r>
        <w:rPr>
          <w:rFonts w:ascii="DejaVu Sans Mono" w:hAnsi="DejaVu Sans Mono"/>
          <w:sz w:val="19"/>
        </w:rPr>
        <w:t>phase-10</w:t>
      </w:r>
      <w:r>
        <w:rPr/>
        <w:t xml:space="preserve"> revision is pinned at </w:t>
      </w:r>
      <w:r>
        <w:rPr>
          <w:rFonts w:ascii="DejaVu Sans Mono" w:hAnsi="DejaVu Sans Mono"/>
          <w:sz w:val="19"/>
        </w:rPr>
        <w:t>4ca1d7db9b1ccdf545adbef42ef941139fe11977</w:t>
      </w:r>
      <w:r>
        <w:rPr/>
        <w:t xml:space="preserve"> and is consumed under the upstream package identity </w:t>
      </w:r>
      <w:r>
        <w:rPr>
          <w:rFonts w:ascii="DejaVu Sans Mono" w:hAnsi="DejaVu Sans Mono"/>
          <w:sz w:val="19"/>
        </w:rPr>
        <w:t>@camptocamp/ogc-client</w:t>
      </w:r>
      <w:r>
        <w:rPr/>
        <w:t xml:space="preserve"> through the explicit </w:t>
      </w:r>
      <w:r>
        <w:rPr>
          <w:rFonts w:ascii="DejaVu Sans Mono" w:hAnsi="DejaVu Sans Mono"/>
          <w:sz w:val="19"/>
        </w:rPr>
        <w:t>@camptocamp/ogc-client/csapi</w:t>
      </w:r>
      <w:r>
        <w:rPr/>
        <w:t xml:space="preserve"> export (MERLIN Project 2026h; OS4CSAPI 2026). The dependency is linked as a Git submodule and built from its own committed lockfile, so a moving branch or npm release cannot silently change the experiment. Camptocamp's BSD-3-Clause license and attribution are retained, and the application records the library revision independently of its own source revision (Camptocamp n.d.; MERLIN Project 2026h).</w:t>
      </w:r>
    </w:p>
    <w:p>
      <w:pPr>
        <w:pStyle w:val="Heading3"/>
      </w:pPr>
      <w:r>
        <w:rPr/>
        <w:t>Why a standalone client and selected library</w:t>
      </w:r>
    </w:p>
    <w:p>
      <w:pPr/>
      <w:r>
        <w:rPr/>
        <w:t xml:space="preserve">An earlier architecture review compared forking CSAPI Explorer with building a smaller application on a client library. Explorer offered useful navigation and inspection features, but it also added application behavior such as discovery fallbacks, proxy-relative URL substitutions, and other state that would complicate attribution when a relationship appeared to work or fail (MERLIN Project 2026g). The same review considered </w:t>
      </w:r>
      <w:r>
        <w:rPr>
          <w:rFonts w:ascii="DejaVu Sans Mono" w:hAnsi="DejaVu Sans Mono"/>
          <w:sz w:val="19"/>
        </w:rPr>
        <w:t>cs-client-ts</w:t>
      </w:r>
      <w:r>
        <w:rPr/>
        <w:t xml:space="preserve"> a strong alternative because it provides authentication, pagination, validation, and transport hooks. Its convenient common model, however, would add another normalization layer between the wire representation and MERLIN's own interpretation, which is undesirable when the interpretation itself is the object of study. The control-first choice was therefore a standalone application using the ogc-client CSAPI fork, while retaining Explorer and other clients as external inspection or comparison tools rather than experimental foundations.</w:t>
      </w:r>
    </w:p>
    <w:p>
      <w:pPr/>
      <w:r>
        <w:rPr/>
        <w:t>This choice is task-specific rather than a claim that the selected library is the best general CSAPI SDK. The key experimental advantage is that request behavior and original responses remain under application control, allowing the study to distinguish what the server returned from what the parser extracted and what the profile interpreter concluded (MERLIN Project 2026g). The client also preserves unknown or unsupported content for Standard View rather than requiring the profile to explain every supplied field. A future library replacement should therefore be judged by whether it preserves this observable boundary, not by API similarity alone.</w:t>
      </w:r>
    </w:p>
    <w:p>
      <w:pPr>
        <w:pStyle w:val="Heading3"/>
      </w:pPr>
      <w:r>
        <w:rPr/>
        <w:t>Application architecture and comparison boundary</w:t>
      </w:r>
    </w:p>
    <w:p>
      <w:pPr/>
      <w:r>
        <w:rPr/>
        <w:t xml:space="preserve">Glaux Client deliberately separates three responsibilities: </w:t>
      </w:r>
      <w:r>
        <w:rPr>
          <w:rFonts w:ascii="DejaVu Sans Mono" w:hAnsi="DejaVu Sans Mono"/>
          <w:sz w:val="19"/>
        </w:rPr>
        <w:t>src/data</w:t>
      </w:r>
      <w:r>
        <w:rPr/>
        <w:t xml:space="preserve"> performs read-only retrieval, independent source capture, pinned-library parsing, and generic extraction; </w:t>
      </w:r>
      <w:r>
        <w:rPr>
          <w:rFonts w:ascii="DejaVu Sans Mono" w:hAnsi="DejaVu Sans Mono"/>
          <w:sz w:val="19"/>
        </w:rPr>
        <w:t>src/profile</w:t>
      </w:r>
      <w:r>
        <w:rPr/>
        <w:t xml:space="preserve"> applies bounded MPSS/DIM interpretation; and </w:t>
      </w:r>
      <w:r>
        <w:rPr>
          <w:rFonts w:ascii="DejaVu Sans Mono" w:hAnsi="DejaVu Sans Mono"/>
          <w:sz w:val="19"/>
        </w:rPr>
        <w:t>src/presentation</w:t>
      </w:r>
      <w:r>
        <w:rPr/>
        <w:t xml:space="preserve"> implements the operator-facing views (MERLIN Project 2026g). This separation supports the experimental chain from server representation, through generic parsing, through profile interpretation, to presentation without collapsing those stages into one opaque transformation. Standard View exposes supplied properties, types, units, definitions, relationships, warnings, original text or JSON, and response-body downloads even when the profile does not recognize their meaning. Operator View uses the bounded interpretation layer to organize only supported meanings and retains per-fact source and mapping disclosures.</w:t>
      </w:r>
    </w:p>
    <w:p>
      <w:pPr/>
      <w:r>
        <w:rPr/>
        <w:t>Both presentation modes operate over the same captured source information, so switching between them is not supposed to retrieve a more favorable dataset. Unsupported or ambiguous content remains available for generic inspection rather than being suppressed to make profile-aware behavior appear better (MERLIN Project 2026g). The current client also preserves the distinction among source time, retrieval time, measurement, estimate, configuration, and reported status when the source provides those meanings. These constraints make the client useful as an experimental instrument because a visible result can be traced backward to the server response and the interpretation rule that produced it.</w:t>
      </w:r>
    </w:p>
    <w:p>
      <w:pPr>
        <w:keepNext/>
        <w:spacing w:after="40"/>
        <w:jc w:val="center"/>
      </w:pPr>
      <w:r>
        <w:drawing>
          <wp:inline xmlns:a="http://schemas.openxmlformats.org/drawingml/2006/main" xmlns:pic="http://schemas.openxmlformats.org/drawingml/2006/picture">
            <wp:extent cx="6217920" cy="5078910"/>
            <wp:docPr id="3" name="Picture 3" descr="Architecture of the Glaux experimental client, showing the same captured CSAPI evidence feeding Standard View and bounded DIM/MPSS interpretation before Operator View" title="Architecture of the Glaux experimental client, showing the same captured CSAPI evidence feeding Standard View and bounded DIM/MPSS interpretation before Operator View"/>
            <wp:cNvGraphicFramePr>
              <a:graphicFrameLocks noChangeAspect="1"/>
            </wp:cNvGraphicFramePr>
            <a:graphic>
              <a:graphicData uri="http://schemas.openxmlformats.org/drawingml/2006/picture">
                <pic:pic>
                  <pic:nvPicPr>
                    <pic:cNvPr id="0" name="figure_03_client_architecture.png"/>
                    <pic:cNvPicPr/>
                  </pic:nvPicPr>
                  <pic:blipFill>
                    <a:blip r:embed="rId13"/>
                    <a:stretch>
                      <a:fillRect/>
                    </a:stretch>
                  </pic:blipFill>
                  <pic:spPr>
                    <a:xfrm>
                      <a:off x="0" y="0"/>
                      <a:ext cx="6217920" cy="5078910"/>
                    </a:xfrm>
                    <a:prstGeom prst="rect"/>
                  </pic:spPr>
                </pic:pic>
              </a:graphicData>
            </a:graphic>
          </wp:inline>
        </w:drawing>
      </w:r>
    </w:p>
    <w:p>
      <w:pPr>
        <w:pStyle w:val="PaperCaption"/>
        <w:keepNext w:val="0"/>
      </w:pPr>
      <w:r>
        <w:rPr>
          <w:b/>
        </w:rPr>
        <w:t>Figure 3. Glaux experimental client architecture and interpretation boundary.</w:t>
      </w:r>
      <w:r>
        <w:rPr/>
        <w:t xml:space="preserve"> The </w:t>
      </w:r>
      <w:r>
        <w:rPr>
          <w:rFonts w:ascii="DejaVu Sans Mono" w:hAnsi="DejaVu Sans Mono"/>
          <w:sz w:val="19"/>
        </w:rPr>
        <w:t>src/data</w:t>
      </w:r>
      <w:r>
        <w:rPr/>
        <w:t xml:space="preserve"> layer captures the server response and supplies generic extraction before the evidence branches to competent Standard View inspection and bounded MPSS/DIM interpretation. The </w:t>
      </w:r>
      <w:r>
        <w:rPr>
          <w:rFonts w:ascii="DejaVu Sans Mono" w:hAnsi="DejaVu Sans Mono"/>
          <w:sz w:val="19"/>
        </w:rPr>
        <w:t>src/profile</w:t>
      </w:r>
      <w:r>
        <w:rPr/>
        <w:t xml:space="preserve"> layer is the only branch in this diagram that applies project-specific semantic interpretation, while </w:t>
      </w:r>
      <w:r>
        <w:rPr>
          <w:rFonts w:ascii="DejaVu Sans Mono" w:hAnsi="DejaVu Sans Mono"/>
          <w:sz w:val="19"/>
        </w:rPr>
        <w:t>src/presentation</w:t>
      </w:r>
      <w:r>
        <w:rPr/>
        <w:t xml:space="preserve"> organizes those recognized meanings for the operator. Both branches therefore begin from the same captured evidence rather than from separate favorable and unfavorable datasets. Smart Citizen connected-resource traversal is shown only as the experiment's next client increment and is not current deployed behavior (MERLIN Project 2026g).</w:t>
      </w:r>
    </w:p>
    <w:p>
      <w:pPr>
        <w:pStyle w:val="Heading3"/>
      </w:pPr>
      <w:r>
        <w:rPr/>
        <w:t>Deployed client baseline</w:t>
      </w:r>
    </w:p>
    <w:p>
      <w:pPr/>
      <w:r>
        <w:rPr/>
        <w:t xml:space="preserve">The public experimental application is deployed as the Cloudflare Pages project </w:t>
      </w:r>
      <w:r>
        <w:rPr>
          <w:rFonts w:ascii="DejaVu Sans Mono" w:hAnsi="DejaVu Sans Mono"/>
          <w:sz w:val="19"/>
        </w:rPr>
        <w:t>glaux-client</w:t>
      </w:r>
      <w:r>
        <w:rPr/>
        <w:t xml:space="preserve"> at </w:t>
      </w:r>
      <w:r>
        <w:rPr>
          <w:rFonts w:ascii="DejaVu Sans Mono" w:hAnsi="DejaVu Sans Mono"/>
          <w:sz w:val="19"/>
        </w:rPr>
        <w:t>https://glaux-client.pages.dev/</w:t>
      </w:r>
      <w:r>
        <w:rPr/>
        <w:t xml:space="preserve"> (MERLIN Project 2026i). The current recorded runtime is Git commit </w:t>
      </w:r>
      <w:r>
        <w:rPr>
          <w:rFonts w:ascii="DejaVu Sans Mono" w:hAnsi="DejaVu Sans Mono"/>
          <w:sz w:val="19"/>
        </w:rPr>
        <w:t>71297c971e2e7532f7c7139600f41e9b58bdcc22</w:t>
      </w:r>
      <w:r>
        <w:rPr/>
        <w:t xml:space="preserve">, Cloudflare deployment </w:t>
      </w:r>
      <w:r>
        <w:rPr>
          <w:rFonts w:ascii="DejaVu Sans Mono" w:hAnsi="DejaVu Sans Mono"/>
          <w:sz w:val="19"/>
        </w:rPr>
        <w:t>97c801c4-c44f-4484-a175-e6651639fe07</w:t>
      </w:r>
      <w:r>
        <w:rPr/>
        <w:t>, published by Direct Upload rather than Git-triggered deployment. Its Resource Details template opens at the recovered 560 × 440 CSS-pixel working frame and preserves fixed identity/navigation regions around a scrolling content body. Later research and manuscript commits do not alter that deployed runtime unless a separate application build and Pages upload occurs.</w:t>
      </w:r>
    </w:p>
    <w:p>
      <w:pPr>
        <w:pStyle w:val="PaperCaption"/>
        <w:keepNext/>
      </w:pPr>
      <w:r>
        <w:rPr>
          <w:b/>
        </w:rPr>
        <w:t>Table 3. Client identity and deployment baseline.</w:t>
      </w:r>
      <w:r>
        <w:rPr/>
        <w:t xml:space="preserve"> The table records the application, pinned standards-access dependency, public deployment, and current remote-read boundary that exist before the Smart Citizen integration. Application, library, and deployed-runtime revisions are separate identifiers because each can change independently. The proposed Smart Citizen traversal is not attributed to the deployed client until that behavior is implemented and verified (MERLIN Project 2026g; 2026h; 2026i).</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repository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OS4CSAPI/glaux-client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Project-authored standalone experimental client; not a fork of Glaux or Explorer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Application stack</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TypeScript / Vite browser application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implementation technology, not a DIM or profile requirement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library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OS4CSAPI/ogc-client-CSAPI_2</w:t>
            </w:r>
            <w:r>
              <w:rPr>
                <w:sz w:val="20"/>
              </w:rPr>
              <w:t xml:space="preserve">, branch </w:t>
            </w:r>
            <w:r>
              <w:rPr>
                <w:rFonts w:ascii="DejaVu Sans Mono" w:hAnsi="DejaVu Sans Mono"/>
                <w:sz w:val="20"/>
              </w:rPr>
              <w:t>phase-10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Pinned standards-access dependency; separate from application source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library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4ca1d7db9b1ccdf545adbef42ef941139fe11977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Reproducible client-library checkpoint used by the current application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Package/export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@camptocamp/ogc-client</w:t>
            </w:r>
            <w:r>
              <w:rPr>
                <w:sz w:val="20"/>
              </w:rPr>
              <w:t xml:space="preserve"> 1.3.1-dev / </w:t>
            </w:r>
            <w:r>
              <w:rPr>
                <w:rFonts w:ascii="DejaVu Sans Mono" w:hAnsi="DejaVu Sans Mono"/>
                <w:sz w:val="20"/>
              </w:rPr>
              <w:t>@camptocamp/ogc-client/csapi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package identity and explicit CSAPI import boundary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 application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https://glaux-client.pages.dev/</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Pages production origin for the experiment UI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Deployed runtime commit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71297c971e2e7532f7c7139600f41e9b58bdcc22</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Application revision actually represented by the current public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Cloudflare deployment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97c801c4-c44f-4484-a175-e6651639fe07</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Upload deployment associated with the recorded runtime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Default review frame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560 × 440 CSS pixels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Recovered Resource Details working size; not a final Dockview constraint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 remote read boundary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Direct System URL, no credentials, at most one advertised SensorML alternate/describedby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capability; full connected-resource traversal remains to be implemented</w:t>
            </w:r>
          </w:p>
        </w:tc>
      </w:tr>
    </w:tbl>
    <w:p>
      <w:pPr>
        <w:spacing w:after="40" w:before="0" w:line="60" w:lineRule="exact"/>
      </w:pPr>
    </w:p>
    <w:p>
      <w:pPr/>
      <w:r>
        <w:rPr/>
        <w:t xml:space="preserve">The deployed client can currently read an explicitly supplied System resource URL, issue a credential-free GET, preserve the received body, and follow at most one advertised typed SensorML </w:t>
      </w:r>
      <w:r>
        <w:rPr>
          <w:rFonts w:ascii="DejaVu Sans Mono" w:hAnsi="DejaVu Sans Mono"/>
          <w:sz w:val="19"/>
        </w:rPr>
        <w:t>alternate</w:t>
      </w:r>
      <w:r>
        <w:rPr/>
        <w:t xml:space="preserve"> or </w:t>
      </w:r>
      <w:r>
        <w:rPr>
          <w:rFonts w:ascii="DejaVu Sans Mono" w:hAnsi="DejaVu Sans Mono"/>
          <w:sz w:val="19"/>
        </w:rPr>
        <w:t>describedby</w:t>
      </w:r>
      <w:r>
        <w:rPr/>
        <w:t xml:space="preserve"> link (MERLIN Project 2026g). It does not yet authenticate to a service, discover arbitrary collections, or traverse the full System-to-equipment/deployment/DataStream/schema/Observation graph required by the proposed Smart Citizen study. The existing synthetic power example resolves a fixed local bundle rather than discovering that graph from a server. Consequently, the Smart Citizen experiment includes a client implementation increment rather than assuming the current deployment already provides the necessary traversal.</w:t>
      </w:r>
    </w:p>
    <w:p>
      <w:pPr>
        <w:pStyle w:val="Heading3"/>
      </w:pPr>
      <w:r>
        <w:rPr/>
        <w:t>Role in the Smart Citizen experiment</w:t>
      </w:r>
    </w:p>
    <w:p>
      <w:pPr/>
      <w:r>
        <w:rPr/>
        <w:t>For the live experiment, Glaux will consume the connected resources published through the selected 52°North CSAPI server rather than reading Smart Citizen's native API directly for the operator comparison. The data layer must retrieve and retain the relevant standardized resources and responses, the profile layer must recognize only supported MPSS/DIM meanings, and the presentation layer must reconstruct the Resource Details experience from those meanings. The generic condition will remain competent enough to expose the same standard properties, relationships, units, times, and raw evidence without profile-specific organization. A profile-aware benefit will therefore require an observable difference in supported interpretation or task performance, not merely a more polished layout.</w:t>
      </w:r>
    </w:p>
    <w:p>
      <w:pPr/>
      <w:r>
        <w:rPr/>
        <w:t>Each executed run will record the Smart Citizen capture revision, adapter revision, CSAPI server revision and image, Glaux source revision, Glaux deployed-runtime revision, pinned client-library revision, and MPSS profile revision. This version chain is necessary because a change at any one layer could alter the final display without changing the others. The first client increment will add the connected-resource retrieval and Smart Citizen presentation needed for the study while retaining the existing original-response and Standard View boundaries. Until that increment is built and verified, Figures 6–8 and any claim that Glaux reconstructed the live Smart Citizen dataset remain pending experimental evidence.</w:t>
      </w:r>
    </w:p>
    <w:p>
      <w:pPr>
        <w:pStyle w:val="Heading1"/>
      </w:pPr>
      <w:r>
        <w:rPr/>
        <w:t>4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4" name="Picture 4"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4"/>
                    <a:stretch>
                      <a:fillRect/>
                    </a:stretch>
                  </pic:blipFill>
                  <pic:spPr>
                    <a:xfrm>
                      <a:off x="0" y="0"/>
                      <a:ext cx="6217920" cy="5285232"/>
                    </a:xfrm>
                    <a:prstGeom prst="rect"/>
                  </pic:spPr>
                </pic:pic>
              </a:graphicData>
            </a:graphic>
          </wp:inline>
        </w:drawing>
      </w:r>
    </w:p>
    <w:p>
      <w:pPr>
        <w:pStyle w:val="PaperCaption"/>
        <w:keepNext w:val="0"/>
      </w:pPr>
      <w:r>
        <w:rPr>
          <w:b/>
        </w:rPr>
        <w:t>Figure 4.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5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Existing feasibility evidence</w:t>
      </w:r>
    </w:p>
    <w:p>
      <w:pPr>
        <w:pStyle w:val="PaperCaption"/>
        <w:keepNext/>
      </w:pPr>
      <w:r>
        <w:rPr>
          <w:b/>
        </w:rPr>
        <w:t>Table 4. Selected observations from the preliminary public capture.</w:t>
      </w:r>
      <w:r>
        <w:rPr/>
        <w:t xml:space="preserve"> The preliminary study retrieved public registration 19639 on 24 October 2026 at 5:57:35 p.m. EDT, equivalent to 21:57:35 UTC. Selected measurements and their individual source timestamps are preserved in the evidence record. The table summarizes a subset; it is not a new live measurement or an executed adapter result (MERLIN Project 2026b). Source timestamps are on 24 October 2026 and are shown in UTC to preserve their original time basis.</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19.82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quantity, unit,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percentage kept separate from runtime or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10.6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21:46:09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a radio measurement distinguished from end-to-end availability?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SD-card indicator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Is the source's coded meaning retained?</w:t>
            </w:r>
          </w:p>
        </w:tc>
      </w:tr>
    </w:tbl>
    <w:p>
      <w:pPr>
        <w:spacing w:after="40" w:before="0" w:line="60" w:lineRule="exact"/>
      </w:pPr>
    </w:p>
    <w:p>
      <w:pPr/>
      <w:r>
        <w:rPr/>
        <w:t>The historical temperature request returned 24 groups with one-hour average aggregation and a response-wide sample size of 1,439. The returned timestamps are not all exact hour boundaries. The original exact retrieval time for this request was not retained. These limits remain part of the evidence; this paper does not reconstruct an acquisition time or invent averaging intervals (MERLIN Project 2026b, record “smart-citizen-history-19639-temperature”).</w:t>
      </w:r>
    </w:p>
    <w:p>
      <w:pPr>
        <w:pStyle w:val="PaperCaption"/>
        <w:keepNext/>
      </w:pPr>
      <w:r>
        <w:rPr>
          <w:b/>
        </w:rPr>
        <w:t>Listing 1. Selected native temperature fields.</w:t>
      </w:r>
      <w:r>
        <w:rPr/>
        <w:t xml:space="preserve"> These members are reproduced from one channel in the captured response. Other members are omitted. The excerpt is not a complete API response or a formal source schema (MERLIN Project 2026b, record “smart-citizen-current-19639”).</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19.82,</w:t>
      </w:r>
    </w:p>
    <w:p>
      <w:pPr>
        <w:pStyle w:val="PaperCode"/>
        <w:keepNext/>
      </w:pPr>
      <w:r>
        <w:t xml:space="preserve">  "last_reading_at": "2026-10-24T21:55:12Z"</w:t>
      </w:r>
    </w:p>
    <w:p>
      <w:pPr>
        <w:pStyle w:val="PaperCode"/>
        <w:keepNext w:val="0"/>
        <w:spacing w:after="160"/>
      </w:pPr>
      <w:r>
        <w:t>}</w:t>
      </w:r>
    </w:p>
    <w:p>
      <w:pPr/>
      <w:r>
        <w:rPr/>
        <w:t>The source meaning of a field will not be inferred from this example alone. The value, unit definition, channel description, timestamp documentation, and observation context must be considered together. Definitions and actual samples can reveal different problems: documentation may describe a field that a public response filters, while a sample may expose a value whose broader meaning is underspecified.</w:t>
      </w:r>
    </w:p>
    <w:p>
      <w:pPr>
        <w:pStyle w:val="Heading1"/>
      </w:pPr>
      <w:r>
        <w:rPr/>
        <w:t>6 Proposed dataset and mapping method</w:t>
      </w:r>
    </w:p>
    <w:p>
      <w:pPr>
        <w:pStyle w:val="Heading2"/>
      </w:pPr>
      <w:r>
        <w:rPr/>
        <w:t>Evidence collection and scope</w:t>
      </w:r>
    </w:p>
    <w:p>
      <w:pPr/>
      <w:r>
        <w:rPr/>
        <w:t>The first dataset will include source registration and model metadata, channel inventory, definitions, units, individual timestamps, current readings, and bounded history. It will cover varied supported meanings: environmental temperature and humidity, particulate mass and particle-number concentration, light or pressure, noise level, battery percentage, radio signal strength, and storage indication. Selecting these different cases is intended to exercise semantic distinctions rather than maximize record count.</w:t>
      </w:r>
    </w:p>
    <w:p>
      <w:pPr/>
      <w:r>
        <w:rPr/>
        <w:t>Each formal acquisition will retain the endpoint and query, acquisition time in UTC, HTTP outcome, available source-version information, original-response fingerprint, and review/transformation revision. Published excerpts will identify their omissions and relationship to the captured body. A fingerprint alone is not an archive. The earlier evidence record preserves excerpts and available fingerprints rather than every complete response, and formal experiment captures will not be retroactively attributed to those feasibility checks (MERLIN Project 2026b).</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5" name="Picture 5"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5"/>
                    <a:stretch>
                      <a:fillRect/>
                    </a:stretch>
                  </pic:blipFill>
                  <pic:spPr>
                    <a:xfrm>
                      <a:off x="0" y="0"/>
                      <a:ext cx="6217920" cy="5129784"/>
                    </a:xfrm>
                    <a:prstGeom prst="rect"/>
                  </pic:spPr>
                </pic:pic>
              </a:graphicData>
            </a:graphic>
          </wp:inline>
        </w:drawing>
      </w:r>
    </w:p>
    <w:p>
      <w:pPr>
        <w:pStyle w:val="PaperCaption"/>
        <w:keepNext w:val="0"/>
      </w:pPr>
      <w:r>
        <w:rPr>
          <w:b/>
        </w:rPr>
        <w:t>Figure 5.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5.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links the captured temperature channel to the proposed output declaration in Listing 2. The source supplies channel identifier 55, the value 19.82, a Celsius unit reference, an air-temperature definition reference, and the channel's source timestamp (MERLIN Project 2026b, record “smart-citizen-current-19639”). In the underlying model, this is an observation of an environmental property produced by a sensing system, with a result that remains distinct from the system description. MPSS R11 requires the producer, observed subject, and temporal context to remain distinguishable, so the observation cannot become a measurement of the kit merely because the kit reported it (MERLIN Project 2026a, sec. 5.8, R11). R10 also keeps a declared output distinct from the availability of recorded data (MERLIN Project 2026a, sec. 5.8, R10).</w:t>
      </w:r>
    </w:p>
    <w:p>
      <w:pPr/>
      <w:r>
        <w:rPr/>
        <w:t xml:space="preserve">The observation-concept lineage runs through CSAPI to W3C SOSA/SSN: CSAPI explicitly identifies that semantic foundation, while documenting its own adaptations and allowing representations other than RDF (Open Geospatial Consortium 2025a, annex C.1). The individual contributing concepts are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which distinguish producer, observation activity, observed property, subject, and outcome (World Wide Web Consortium 2017, secs. 4.3.2, 4.6.2, 4.7.2). CSAPI supplies the DataStream and Observation resources and their associations; its observation </w:t>
      </w:r>
      <w:r>
        <w:rPr>
          <w:rFonts w:ascii="DejaVu Sans Mono" w:hAnsi="DejaVu Sans Mono"/>
          <w:sz w:val="19"/>
        </w:rPr>
        <w:t>result</w:t>
      </w:r>
      <w:r>
        <w:rPr/>
        <w:t xml:space="preserve"> corresponds to </w:t>
      </w:r>
      <w:r>
        <w:rPr>
          <w:rFonts w:ascii="DejaVu Sans Mono" w:hAnsi="DejaVu Sans Mono"/>
          <w:sz w:val="19"/>
        </w:rPr>
        <w:t>sosa:hasResult</w:t>
      </w:r>
      <w:r>
        <w:rPr/>
        <w:t xml:space="preserve">, and </w:t>
      </w:r>
      <w:r>
        <w:rPr>
          <w:rFonts w:ascii="DejaVu Sans Mono" w:hAnsi="DejaVu Sans Mono"/>
          <w:sz w:val="19"/>
        </w:rPr>
        <w:t>samplingFeature</w:t>
      </w:r>
      <w:r>
        <w:rPr/>
        <w:t xml:space="preserve"> corresponds to </w:t>
      </w:r>
      <w:r>
        <w:rPr>
          <w:rFonts w:ascii="DejaVu Sans Mono" w:hAnsi="DejaVu Sans Mono"/>
          <w:sz w:val="19"/>
        </w:rPr>
        <w:t>sosa:hasFeatureOfInterest</w:t>
      </w:r>
      <w:r>
        <w:rPr/>
        <w:t xml:space="preserve"> (Open Geospatial Consortium 2025b, secs. 9.2, 9.7). This is an identified conceptual contribution through the standard, rather than an assertion that every SOSA/SSN term or constraint is adopted by the experiment.</w:t>
      </w:r>
    </w:p>
    <w:p>
      <w:pPr/>
      <w:r>
        <w:rPr/>
        <w:t xml:space="preserve">Two further source contributions explain the property and unit: GEMET concept 281 identifies air temperature, and QUDT </w:t>
      </w:r>
      <w:r>
        <w:rPr>
          <w:rFonts w:ascii="DejaVu Sans Mono" w:hAnsi="DejaVu Sans Mono"/>
          <w:sz w:val="19"/>
        </w:rPr>
        <w:t>unit:DEG_C</w:t>
      </w:r>
      <w:r>
        <w:rPr/>
        <w:t xml:space="preserve"> identifies degree Celsius (European Environment Agency 2021; QUDT.org n.d.). These are the vocabulary references carried by the native specimen; retaining them does not establish that they were historical donors to every part of the DIM. SWE's Quantity, semantic </w:t>
      </w:r>
      <w:r>
        <w:rPr>
          <w:rFonts w:ascii="DejaVu Sans Mono" w:hAnsi="DejaVu Sans Mono"/>
          <w:sz w:val="19"/>
        </w:rPr>
        <w:t>definition</w:t>
      </w:r>
      <w:r>
        <w:rPr/>
        <w:t xml:space="preserve">, and unit-reference mechanisms provide the typed representation, while SensorML's </w:t>
      </w:r>
      <w:r>
        <w:rPr>
          <w:rFonts w:ascii="DejaVu Sans Mono" w:hAnsi="DejaVu Sans Mono"/>
          <w:sz w:val="19"/>
        </w:rPr>
        <w:t>outputs</w:t>
      </w:r>
      <w:r>
        <w:rPr/>
        <w:t xml:space="preserve"> member declares the output (Open Geospatial Consortium 2025c, secs. 8.2, 9.1; 2025d, secs. 7.3, 8.2, 9.1). The local name </w:t>
      </w:r>
      <w:r>
        <w:rPr>
          <w:rFonts w:ascii="DejaVu Sans Mono" w:hAnsi="DejaVu Sans Mono"/>
          <w:sz w:val="19"/>
        </w:rPr>
        <w:t>airTemperature</w:t>
      </w:r>
      <w:r>
        <w:rPr/>
        <w:t xml:space="preserve"> and display label remain authored choices, while the final producer identity, sampling subject, observation-time interpretation, and executed CSAPI publication remain to be resolved and tested.</w:t>
      </w:r>
    </w:p>
    <w:p>
      <w:pPr>
        <w:pStyle w:val="Heading2"/>
      </w:pPr>
      <w:r>
        <w:rPr/>
        <w:t>Battery mapping SC BATT 01</w:t>
      </w:r>
    </w:p>
    <w:p>
      <w:pPr/>
      <w:r>
        <w:rPr/>
        <w:t xml:space="preserve">Mapping </w:t>
      </w:r>
      <w:r>
        <w:rPr>
          <w:rFonts w:ascii="DejaVu Sans Mono" w:hAnsi="DejaVu Sans Mono"/>
          <w:sz w:val="19"/>
        </w:rPr>
        <w:t>SC-BATT-01</w:t>
      </w:r>
      <w:r>
        <w:rPr/>
        <w:t xml:space="preserve"> concerns the source-reported remaining battery level of 99 percent, not a demonstrated physical power arrangement (MERLIN Project 2026b, record “smart-citizen-current-19639”). The underlying model distinguishes a reported property from an identified power-source entity and from a relationship describing which equipment it supplies. MPSS R17 preserves the quantity, subject, measurement point, time, and reading-versus-estimate meaning, while R11 preserves producer-versus-subject context (MERLIN Project 2026a, secs. 5.8, 5.10). Its Sensor, Observation, ObservableProperty, FeatureOfInterest, and Result distinctions follow the same SOSA/SSN lineage explained for </w:t>
      </w:r>
      <w:r>
        <w:rPr>
          <w:rFonts w:ascii="DejaVu Sans Mono" w:hAnsi="DejaVu Sans Mono"/>
          <w:sz w:val="19"/>
        </w:rPr>
        <w:t>SC-TEMP-01</w:t>
      </w:r>
      <w:r>
        <w:rPr/>
        <w:t xml:space="preserve"> (World Wide Web Consortium 2017, secs. 4.3.2, 4.6.2, 4.7.2; Open Geospatial Consortium 2025a, annex C.1). A percent-scaled SWE Quantity within a CSAPI stream/observation representation is a proposed carrier, but the exact property definition and observation contract still require a completed mapping record (Open Geospatial Consortium 2025b, secs. 9.2, 9.6–9.7; 2025d, secs. 8.2.8, 9.1.9).</w:t>
      </w:r>
    </w:p>
    <w:p>
      <w:pPr/>
      <w:r>
        <w:rPr/>
        <w:t>RFC 7326 contributes distinct power-source, metering, and aggregation relationship concepts; its Power Source Relationship concerns the energy-supply interconnection (Parello et al. 2014, secs. 6.6, 8.1–8.3). In this mapping, those concepts constrain interpretation by explaining why a battery percentage does not itself establish a supply edge. R16's OGC relationship binding is authored by MERLIN, so any later topology mapping must identify the reused RFC meaning and assess the binding's adaptations separately (MERLIN Project 2026a, sec. 5.10, R16). The present percentage mapping does not instantiate any of these three relationship concepts, and the paper will report that absence explicitly.</w:t>
      </w:r>
    </w:p>
    <w:p>
      <w:pPr/>
      <w:r>
        <w:rPr/>
        <w:t xml:space="preserve">RFC 7577 supplies separate battery-monitoring concepts, including </w:t>
      </w:r>
      <w:r>
        <w:rPr>
          <w:rFonts w:ascii="DejaVu Sans Mono" w:hAnsi="DejaVu Sans Mono"/>
          <w:sz w:val="19"/>
        </w:rPr>
        <w:t>batteryActualCharge</w:t>
      </w:r>
      <w:r>
        <w:rPr/>
        <w:t xml:space="preserve"> in milliampere hours and </w:t>
      </w:r>
      <w:r>
        <w:rPr>
          <w:rFonts w:ascii="DejaVu Sans Mono" w:hAnsi="DejaVu Sans Mono"/>
          <w:sz w:val="19"/>
        </w:rPr>
        <w:t>batteryActualVoltage</w:t>
      </w:r>
      <w:r>
        <w:rPr/>
        <w:t xml:space="preserve"> in millivolts (Quittek et al. 2015, sec. 4). Neither quantity is established by a percentage alone, so this mapping has no demonstrated equivalence to either individual MIB object. The RFC is used here to test and reject unsupported substitutions, rather than to claim a directly reused battery-field definition. The proposed display therefore retains the supplier's percentage and its evidence limits without adding charge in milliampere hours, voltage, runtime, battery identity, or charging state.</w:t>
      </w:r>
    </w:p>
    <w:p>
      <w:pPr>
        <w:pStyle w:val="Heading2"/>
      </w:pPr>
      <w:r>
        <w:rPr/>
        <w:t>Expected domain coverage</w:t>
      </w:r>
    </w:p>
    <w:p>
      <w:pPr>
        <w:pStyle w:val="PaperCaption"/>
        <w:keepNext/>
      </w:pPr>
      <w:r>
        <w:rPr>
          <w:b/>
        </w:rPr>
        <w:t>Table 6.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7 Integration and evaluation protocol</w:t>
      </w:r>
    </w:p>
    <w:p>
      <w:pPr>
        <w:pStyle w:val="Heading2"/>
      </w:pPr>
      <w:r>
        <w:rPr/>
        <w:t>Acquisition and publication</w:t>
      </w:r>
    </w:p>
    <w:p>
      <w:pPr/>
      <w:r>
        <w:rPr/>
        <w:t>Before execution, the team will reassess registration 19639 for sufficiently recent data and document any reason for choosing a different public registration. Polling, caching, and retry behavior will follow the source's documented and observed behavior. Repeated retrieval of the same old observation will not make it new. The adapter will preserve acquisition time separately from source time and will document its duplicate-handling policy.</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normalized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7.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8 Interface comparison and figure protocol</w:t>
      </w:r>
    </w:p>
    <w:p>
      <w:pPr>
        <w:pStyle w:val="Heading2"/>
      </w:pPr>
      <w:r>
        <w:rPr/>
        <w:t>Vendor presentation baseline</w:t>
      </w:r>
    </w:p>
    <w:p>
      <w:pPr/>
      <w:r>
        <w:rPr/>
        <w:t>Before implementing the CSAPI and Glaux comparison, the study fixes a source-provider presentation baseline using first-party Smart Citizen documentation. This reduces post hoc selection risk: the vendor-side examples are chosen before the experiment produces a preferred client result. Smart Citizen describes its website as a near-real-time exploration interface that combines device data with contextual information, and its onboarding guide instructs users to visit the Kit on the platform after it begins publishing and then scroll down to make basic explorations (Smart Citizen n.d.-a; n.d.-e). These documented screens are therefore evidence of intended presentation patterns, not merely decorative examples selected by this study.</w:t>
      </w:r>
    </w:p>
    <w:p>
      <w:pPr>
        <w:keepNext/>
        <w:spacing w:after="40"/>
        <w:jc w:val="center"/>
      </w:pPr>
      <w:r>
        <w:drawing>
          <wp:inline xmlns:a="http://schemas.openxmlformats.org/drawingml/2006/main" xmlns:pic="http://schemas.openxmlformats.org/drawingml/2006/picture">
            <wp:extent cx="6217920" cy="3971071"/>
            <wp:docPr id="6" name="Picture 6" descr="Official Smart Citizen documentation screenshot of the core platform measurement-exploration screen" title="Official Smart Citizen documentation screenshot of the core platform measurement-exploration screen"/>
            <wp:cNvGraphicFramePr>
              <a:graphicFrameLocks noChangeAspect="1"/>
            </wp:cNvGraphicFramePr>
            <a:graphic>
              <a:graphicData uri="http://schemas.openxmlformats.org/drawingml/2006/picture">
                <pic:pic>
                  <pic:nvPicPr>
                    <pic:cNvPr id="0" name="smart_citizen_platform_basic_exploration.png"/>
                    <pic:cNvPicPr/>
                  </pic:nvPicPr>
                  <pic:blipFill>
                    <a:blip r:embed="rId16"/>
                    <a:stretch>
                      <a:fillRect/>
                    </a:stretch>
                  </pic:blipFill>
                  <pic:spPr>
                    <a:xfrm>
                      <a:off x="0" y="0"/>
                      <a:ext cx="6217920" cy="3971071"/>
                    </a:xfrm>
                    <a:prstGeom prst="rect"/>
                  </pic:spPr>
                </pic:pic>
              </a:graphicData>
            </a:graphic>
          </wp:inline>
        </w:drawing>
      </w:r>
    </w:p>
    <w:p>
      <w:pPr>
        <w:pStyle w:val="PaperCaption"/>
        <w:keepNext w:val="0"/>
      </w:pPr>
      <w:r>
        <w:rPr>
          <w:b/>
        </w:rPr>
        <w:t>Figure 6. Official Smart Citizen platform example of device measurement exploration.</w:t>
      </w:r>
      <w:r>
        <w:rPr/>
        <w:t xml:space="preserve"> The first-party onboarding documentation presents this screen immediately after instructing a user to visit a newly publishing Kit and scroll down for basic exploration (Smart Citizen n.d.-e). The historical example shows kit page 14410, a device-level header with a 44 percent battery indication and last-data-received time, a horizontal strip of current light, noise, air-temperature, humidity, pressure, and particulate measurements, and a selected PM2.5 detail with property explanation, date controls, and a time-series graph. The visible data are dated 14 July 2021 and are not observations from registration 19639 or evidence that the current production interface is pixel-identical. The source pixels are reproduced unchanged from Smart Citizen's documentation and their provenance and published rights notices are retained with the study figures (MERLIN Project 2026j).</w:t>
      </w:r>
    </w:p>
    <w:p>
      <w:pPr/>
      <w:r>
        <w:rPr/>
        <w:t>The screen reveals a vendor presentation strategy that is useful to the experiment independently of its visual styling. Device-level context remains visible while multiple current quantities are summarized with values and units, after which one measurement can be expanded into a semantic explanation and temporal view. The presentation therefore connects resource identity/status, measurement inventory, selected-property meaning, and history instead of treating each API field as an isolated row. MERLIN does not need to copy this layout, but a standards-based reconstruction should preserve enough meaning to support the same kinds of operator questions when the source evidence permits them.</w:t>
      </w:r>
    </w:p>
    <w:p>
      <w:pPr>
        <w:keepNext/>
        <w:spacing w:after="40"/>
        <w:jc w:val="center"/>
      </w:pPr>
      <w:r>
        <w:drawing>
          <wp:inline xmlns:a="http://schemas.openxmlformats.org/drawingml/2006/main" xmlns:pic="http://schemas.openxmlformats.org/drawingml/2006/picture">
            <wp:extent cx="6217920" cy="3565588"/>
            <wp:docPr id="7" name="Picture 7" descr="Official Smart Citizen documentation screenshot of the Smart Citizen custom dashboard" title="Official Smart Citizen documentation screenshot of the Smart Citizen custom dashboard"/>
            <wp:cNvGraphicFramePr>
              <a:graphicFrameLocks noChangeAspect="1"/>
            </wp:cNvGraphicFramePr>
            <a:graphic>
              <a:graphicData uri="http://schemas.openxmlformats.org/drawingml/2006/picture">
                <pic:pic>
                  <pic:nvPicPr>
                    <pic:cNvPr id="0" name="smart_citizen_custom_dashboard.png"/>
                    <pic:cNvPicPr/>
                  </pic:nvPicPr>
                  <pic:blipFill>
                    <a:blip r:embed="rId17"/>
                    <a:stretch>
                      <a:fillRect/>
                    </a:stretch>
                  </pic:blipFill>
                  <pic:spPr>
                    <a:xfrm>
                      <a:off x="0" y="0"/>
                      <a:ext cx="6217920" cy="3565588"/>
                    </a:xfrm>
                    <a:prstGeom prst="rect"/>
                  </pic:spPr>
                </pic:pic>
              </a:graphicData>
            </a:graphic>
          </wp:inline>
        </w:drawing>
      </w:r>
    </w:p>
    <w:p>
      <w:pPr>
        <w:pStyle w:val="PaperCaption"/>
        <w:keepNext w:val="0"/>
      </w:pPr>
      <w:r>
        <w:rPr>
          <w:b/>
        </w:rPr>
        <w:t>Figure 7. Official Smart Citizen custom-dashboard example.</w:t>
      </w:r>
      <w:r>
        <w:rPr/>
        <w:t xml:space="preserve"> Smart Citizen's Data Tools documentation distinguishes the classic Smart Citizen Map from a separate JavaScript dashboard and describes the latter as a simpler but more advanced visualization with device status, filtering, customizable time-series plots, WebSocket notifications, and CSV download (Smart Citizen n.d.-f). The historical screenshot identifies device ERLIO as a Smart Citizen Kit 2.1 with Urban Sensor Board and presents current temperature and humidity values beside sensor designations and multi-day trend plots, with particulate sections continuing below the visible frame. It is an official example of an alternate Smart Citizen presentation, not the core platform screen shown in Figure 6 and not the SCK2.3 specimen selected for this experiment. The source image is reproduced unchanged from the first-party documentation and is retained as design evidence rather than a matched experimental condition (MERLIN Project 2026j).</w:t>
      </w:r>
    </w:p>
    <w:p>
      <w:pPr/>
      <w:r>
        <w:rPr/>
        <w:t>The two vendor examples show that Smart Citizen itself supports more than one valid presentation of the same broader information ecosystem. The core platform emphasizes a compact set of current metrics plus selected-measurement explanation and history, while the custom dashboard makes model/sensor labels and parallel trends more prominent. That variation is useful to the DIM/Profile study because it reinforces that the domain model should preserve reusable concepts without prescribing one universal screen arrangement. It also gives the Resource Details PBI concrete source-provider questions to preserve: what resource is being viewed, what can it report, what are the current values and units, what does a selected property mean, how recent is the information, and what history is available.</w:t>
      </w:r>
    </w:p>
    <w:p>
      <w:pPr>
        <w:pStyle w:val="PaperCaption"/>
        <w:keepNext/>
      </w:pPr>
      <w:r>
        <w:rPr>
          <w:b/>
        </w:rPr>
        <w:t>Table 8. Vendor presentation elements and reconstruction questions.</w:t>
      </w:r>
      <w:r>
        <w:rPr/>
        <w:t xml:space="preserve"> The table records information made visible in the two first-party examples and converts it into questions for the standards-based reconstruction. It does not assert that every element belongs in the default 560 × 440 Resource Details frame or that the MPSS profile already supplies every required binding. The eventual Glaux result will be evaluated against the underlying questions and preserved meanings rather than against pixel-level imitation of Smart Citizen's interface.</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Vendor presentation element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Visible source-provider role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for the DIM/Profile and Glaux reconstruction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Device/resource header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Keeps the selected Kit and recent reporting context visible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the client identify the represented resource and distinguish resource status/context from observations?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Current-measurement strip</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Summarizes several quantities with values and units at once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heterogeneous outputs remain individually meaningful while sharing a compact overview?</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and last-data context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Shows equipment-related status alongside sensing outputs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battery reporting and data freshness remain qualified without becoming readiness or power-topology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Selected PM2.5 detail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Adds a human explanation to the selected property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the standardized representation preserve a semantic property definition that the client can explain?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Date controls and time-series graph</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Gives temporal context and history for a selected quantity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Can source time, requested interval, aggregation, and retrieved history remain distinguishable?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Sensor/model labels in dashboard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Exposes technical description near current values and trends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Can model, sensing component/function, observed property, and result remain separate but navigable?</w:t>
            </w:r>
          </w:p>
        </w:tc>
      </w:tr>
    </w:tbl>
    <w:p>
      <w:pPr>
        <w:spacing w:after="40" w:before="0" w:line="60" w:lineRule="exact"/>
      </w:pPr>
    </w:p>
    <w:p>
      <w:pPr/>
      <w:r>
        <w:rPr/>
        <w:t>The eventual matched comparison has three conditions: the Smart Citizen source presentation for the selected specimen where a contemporaneous view can be obtained, a competent generic OGC presentation, and a profile-aware Glaux presentation. Figures 6 and 7 establish first-party historical presentation evidence before implementation, but neither is a matched screenshot of public registration 19639.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9. Planned figures and evidence status.</w:t>
      </w:r>
      <w:r>
        <w:rPr/>
        <w:t xml:space="preserve"> Figures 1–5 identify the system, server, client, experiment architecture, and conceptual model. Figures 6 and 7 now provide first-party historical Smart Citizen UI evidence selected before the CSAPI/Glaux result exists. Figures 8–10 remain reserved for contemporaneous or executed evidence and will not be filled with simulated substitutes.</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0.6</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server-lineage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Glaux experimental client architecture and interpretation boundary</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client-architecture diagram; Smart Citizen graph traversal remains planned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Smart Citizen core-platform measurement exploration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first-party documentation screenshot; historical kit 14410 example, not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custom-dashboard presentation</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first-party documentation screenshot; historical SCK2.1 dashboard example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8</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Contemporaneous Smart Citizen view for the selected registration/interval, if reproducible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documented capture; absence will be reported rather than substituted</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Matched generic and profile-aware Glaux views of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10</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Actual CSAPI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9 Results to be reported</w:t>
      </w:r>
    </w:p>
    <w:p>
      <w:pPr/>
      <w:r>
        <w:rPr>
          <w:b/>
        </w:rPr>
        <w:t>The proposed adapter, CSAPI loading, live integration, and comparative evaluation have not been executed as part of this study.</w:t>
      </w:r>
      <w:r>
        <w:rPr/>
        <w:t xml:space="preserve"> No experimental success rate, task-time improvement, or user outcome is reported in version 0.6. The public access observations in section 5 and the historical vendor UI evidence in section 8 establish feasibility and presentation context; neither is a matched experimental result.</w:t>
      </w:r>
    </w:p>
    <w:p>
      <w:pPr/>
      <w:r>
        <w:rPr/>
        <w:t>The results section will be completed in three parts. First, acquisition and integration results will identify the actual versions, selected records, publication/retrieval outcomes, and failures. Second, semantic and coverage results will account for every selected assertion and relevant relationship, with source limitations distinguished from implementation defects. Third, presentation results will connect the matched figures to the predefined operator questions and document where profile-aware organization helped, made no difference, or introduced a problem.</w:t>
      </w:r>
    </w:p>
    <w:p>
      <w:pPr/>
      <w:r>
        <w:rPr/>
        <w:t>The expected reporting structure does not presume a favorable outcome. An accurate generic presentation may answer a task as well as the profile-aware condition. A proposed binding may prove unnecessary or insufficient. Those findings would inform the model and PBI rather than invalidate the experiment's purpose.</w:t>
      </w:r>
    </w:p>
    <w:p>
      <w:pPr>
        <w:pStyle w:val="Heading1"/>
      </w:pPr>
      <w:r>
        <w:rPr/>
        <w:t>10 Discussion and limitations</w:t>
      </w:r>
    </w:p>
    <w:p>
      <w:pPr/>
      <w:r>
        <w:rPr/>
        <w:t>The immediate public-data case is strongest for measurements, descriptions, source context, and integration provenance. It is weaker for unit-specific physical composition, operating configuration, deployment history, power topology, and maintenance. More readings can enrich temporal evidence without filling those missing relationships. Documentary model enrichment must not be presented as observation of a particular installation (MERLIN Project 2026a; 2026b; Smart Citizen n.d.-c).</w:t>
      </w:r>
    </w:p>
    <w:p>
      <w:pPr/>
      <w:r>
        <w:rPr/>
        <w:t>The selected source may change its fields, permissions, or availability. The research captures are limited in scope, and not every original response body was archived. Timestamp semantics and historical location applicability require verification. The example cannot establish general performance across all sensor families, operational conditions, or users.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11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initial mapping record and actual execution evidence, including the first trace through the selected CSAPI service.</w:t>
      </w:r>
    </w:p>
    <w:p>
      <w:pPr>
        <w:pStyle w:val="Heading1"/>
      </w:pPr>
      <w:r>
        <w:rPr/>
        <w:t>12 Conclusion</w:t>
      </w:r>
    </w:p>
    <w:p>
      <w:pPr/>
      <w:r>
        <w:rPr/>
        <w:t>This protocol establishes a way to test whether a standards-grounded description of a sensing system remains useful after integration. The first case will combine public Smart Citizen readings with source definitions, documented model information, and explicit integration provenance. Its value will be assessed through traceable meaning, stated domain coverage, and observable operator tasks. The paper is prepared to accumulate both successful mappings and counterexamples as the experiment proceeds.</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Camptocamp. n.d. “ogc-client.” GitHub repository. Accessed October 24, 2026. https://github.com/camptocamp/ogc-client.</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MERLIN Project. 2026g. “Glaux Client Selection and Experimental Architecture Baseline.” October 24. Research evidence record. https://github.com/OS4CSAPI/glaux-client/blob/work/details-view-20261023/Docs/Research/Evidence/GLAUX_CLIENT_BASELINE_2026-10-24.md.</w:t>
      </w:r>
    </w:p>
    <w:p>
      <w:pPr>
        <w:pStyle w:val="PaperReference"/>
      </w:pPr>
      <w:r>
        <w:rPr/>
        <w:t>MERLIN Project. 2026h. “Dependency Provenance and Reproducibility.” October 23. Project dependency record. https://github.com/OS4CSAPI/glaux-client/blob/work/details-view-20261023/Docs/DEPENDENCIES.md.</w:t>
      </w:r>
    </w:p>
    <w:p>
      <w:pPr>
        <w:pStyle w:val="PaperReference"/>
      </w:pPr>
      <w:r>
        <w:rPr/>
        <w:t>MERLIN Project. 2026i. “Cloudflare Deployment Continuation.” October 24. Deployment record. https://github.com/OS4CSAPI/glaux-client/blob/work/details-view-20261023/Docs/Plans/CLOUDFLARE_DEPLOYMENT.md.</w:t>
      </w:r>
    </w:p>
    <w:p>
      <w:pPr>
        <w:pStyle w:val="PaperReference"/>
      </w:pPr>
      <w:r>
        <w:rPr/>
        <w:t>MERLIN Project. 2026j. “Smart Citizen Vendor Presentation Baseline.” October 24. Research evidence record. https://github.com/OS4CSAPI/glaux-client/blob/work/details-view-20261023/Docs/Research/Evidence/SMART_CITIZEN_VENDOR_UI_BASELINE_2026-10-24.md.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OS4CSAPI. 2026. “ogc-client-CSAPI_2.” GitHub repository, phase-10 revision 4ca1d7db9b1ccdf545adbef42ef941139fe11977. Accessed October 24, 2026. https://github.com/OS4CSAPI/ogc-client-CSAPI_2/tree/4ca1d7db9b1ccdf545adbef42ef941139fe11977.</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Seeed Studio. n.d. “Smart Citizen Kit 2.3—Open Source Environmental Monitoring Kit.” SKU 114993536. Accessed October 24, 2026. https://www.seeedstudio.com/Smart-Citizen2-3-p-6327.html.</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Smart Citizen. n.d.-e. “Onboarding Your Kit.” </w:t>
      </w:r>
      <w:r>
        <w:rPr>
          <w:i/>
        </w:rPr>
        <w:t>Smart Citizen Docs</w:t>
      </w:r>
      <w:r>
        <w:rPr/>
        <w:t>. Accessed October 24, 2026. https://docs.smartcitizen.me/guides/getting-started/onboarding-your-kit/.</w:t>
      </w:r>
    </w:p>
    <w:p>
      <w:pPr>
        <w:pStyle w:val="PaperReference"/>
      </w:pPr>
      <w:r>
        <w:rPr/>
        <w:t xml:space="preserve">Smart Citizen. n.d.-f. “Data Tools.” </w:t>
      </w:r>
      <w:r>
        <w:rPr>
          <w:i/>
        </w:rPr>
        <w:t>Smart Citizen Docs</w:t>
      </w:r>
      <w:r>
        <w:rPr/>
        <w:t>. Accessed October 24, 2026. https://docs.smartcitizen.me/data/data-tools/.</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0.6   24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{"format":"glaux-paper-inputs-v1","sha256":"2e6d1d928e88789ea174985f62accdabbd890964b7fb64d0e4327f4e6ce9aea0"}</dc:description>
  <cp:lastModifiedBy/>
  <cp:revision>1</cp:revision>
  <dcterms:created xsi:type="dcterms:W3CDTF">2026-10-24T00:00:00Z</dcterms:created>
  <dcterms:modified xsi:type="dcterms:W3CDTF">2026-10-24T00:00:00Z</dcterms:modified>
  <cp:category/>
  <cp:version>0.6</cp:version>
</cp:coreProperties>
</file>