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0.10 | 25 October 2026 | Corrective model-currency revision with reviewed Phase 1–4 evidence</w:t>
      </w:r>
    </w:p>
    <w:p>
      <w:pPr>
        <w:pStyle w:val="Heading1"/>
      </w:pPr>
      <w:r>
        <w:rPr/>
        <w:t>Abstract</w:t>
      </w:r>
    </w:p>
    <w:p>
      <w:pPr/>
      <w:r>
        <w:rPr/>
        <w:t>Integrating a sensing system requires preserving the meaning of its information as well as transporting its measurements. This paper evaluates a MERLIN domain information model (DIM) and Managed Physical Sensing Systems (MPSS) application profile intended to organize the whole employed sensing system: persistent identity, equipment, functions and products, deployment, configuration and actions, communications, power, condition, and lifecycle. The work is not a new sensor transport API; it is an evidence-controlled synthesis that selects, compares, qualifies, and explicitly dispositions concepts from a broad research corpus before binding accepted meanings to OGC API - Connected Systems (CSAPI), Sensor Model Language (SensorML), and Sensor Web Enablement (SWE) Common. Smart Citizen is used as an independent real-source experiment to test whether that accepted model can preserve meaning through adaptation, standardized publication, retrieval, and presentation.</w:t>
      </w:r>
    </w:p>
    <w:p>
      <w:pPr/>
      <w:r>
        <w:rPr/>
        <w:t>A corrective model-currency audit was performed before adapter implementation after an earlier paper revision exposed an outdated summary of the donor research. The audit found that the frozen source acquisition and characterization remain valid, the Phase 3 mappings retain their core semantics with repaired later-donor traceability, and the Phase 4 resource count remains defensible with a required R15 representation-source provenance carrier and clearer processing/execution distinctions (MERLIN Project 2026p). MPSS v0.3.5 remains the accepted technical baseline, while the wider v0.10 research corpus preserves accepted, rejected, deferred, conditional, and source-gated findings rather than silently turning every investigated standard into a profile obligation (MERLIN Project 2026n; 2026o). The deterministic adapter, CSAPI round trip, connected Glaux traversal, and matched generic/profile-aware interface comparison remain unexecuted, so no interoperability or operator-benefit result is claimed.</w:t>
      </w:r>
    </w:p>
    <w:p>
      <w:pPr/>
      <w:r>
        <w:rPr>
          <w:b/>
        </w:rPr>
        <w:t>Keywords:</w:t>
      </w:r>
      <w:r>
        <w:rPr/>
        <w:t xml:space="preserve"> sensor integration; domain information model; application profile; OGC API Connected Systems; SensorML; semantic preservation; standards reuse; resource details.</w:t>
      </w:r>
    </w:p>
    <w:p>
      <w:pPr>
        <w:pStyle w:val="Heading1"/>
      </w:pPr>
      <w:r>
        <w:rPr/>
        <w:t>1 Introduction</w:t>
      </w:r>
    </w:p>
    <w:p>
      <w:pPr/>
      <w:r>
        <w:rPr/>
        <w:t>Modern sensing integrations can transport values successfully while still losing the distinctions that make those values operationally intelligible. A client may receive a temperature, battery percentage, status code, or derived product yet still be unable to determine which persistent system produced it, what real-world subject it concerns, which deployment or configuration applied, what processing occurred, or which source assertion justified the representation. MERLIN's DIM/MPSS work addresses that semantic problem by organizing an employed physical sensing system as a connected domain model and then binding accepted meanings to existing OGC mechanisms. The experiment in this paper asks whether that architecture survives contact with a real producer rather than only with authored examples.</w:t>
      </w:r>
    </w:p>
    <w:p>
      <w:pPr/>
      <w:r>
        <w:rPr/>
        <w:t>The model did not originate from Smart Citizen. It grew from the Resource Details problem and unattended-sensor reference cases, then expanded through a controlled research program spanning OGC sensing standards, sensor-network and unattended-sensor architectures, hardware and industrial-device models, lifecycle and power models, communications models, and later bounded studies such as Army ISA, SAPIENT v2, The Open Group SOSA, IEEE 1451/TEDS, OMS, SOSA/SSN, I-ADOPT, QUDT, UCUM, SWEET, and the OSCAR stress test (MERLIN Project 2026n; 2026o; MERLIN Project 2026q; MERLIN Project 2026r; MERLIN Project 2026s). The project does not combine all of those standards indiscriminately or claim that investigating one means implementing it. Instead, each candidate contribution receives an explicit evidence-backed disposition before it can change the accepted technical baseline.</w:t>
      </w:r>
    </w:p>
    <w:p>
      <w:pPr/>
      <w:r>
        <w:rPr/>
        <w:t>This paper therefore explains the research-to-design method and current model before introducing the Smart Citizen case in detail. It then records the experiment's frozen source evidence, mapping method, audited Phase 4 resource graph, experimental server/client boundaries, and planned evaluation. Acronyms and formal definitions are retained as appendices so they support reading without interrupting the opening argument. Phase 5 remains intentionally blocked until this corrective paper and documentation closeout are complete.</w:t>
      </w:r>
    </w:p>
    <w:p>
      <w:pPr>
        <w:pStyle w:val="Heading1"/>
      </w:pPr>
      <w:r>
        <w:rPr/>
        <w:t>2 From research evidence to the MERLIN model</w:t>
      </w:r>
    </w:p>
    <w:p>
      <w:pPr>
        <w:pStyle w:val="Heading2"/>
      </w:pPr>
      <w:r>
        <w:rPr/>
        <w:t>Research program and current corpus</w:t>
      </w:r>
    </w:p>
    <w:p>
      <w:pPr/>
      <w:r>
        <w:rPr/>
        <w:t>The current research record is larger and more mature than the early profile-era source-selection table that was mistakenly used in paper v0.9. The repository continuity checkpoint identifies the master bibliography and source register as version 0.10, dated 22 October 2026, with 140 persistent source identities and 29 workbook worksheets; it also retains later SAPIENT, ISA, power, OMS, The Open Group SOSA, IEEE 1451/TEDS, foundational-semantics, and OSCAR work with their individual evidence limits (MERLIN Project 2026o). The accepted technical profile is separately versioned at MPSS v0.3.5 and does not automatically absorb every research finding. That separation between research evidence and accepted technical rules is a core control rather than a documentation inconvenience.</w:t>
      </w:r>
    </w:p>
    <w:p>
      <w:pPr/>
      <w:r>
        <w:rPr/>
        <w:t>The research program asks two directions of every material candidate: whether the existing model already preserves the donor's meaning accurately, and whether the donor exposes a distinction the current model would otherwise lose. Review considers the exact subject and identity, reference frame, time/context, cardinality, dependencies, source lineage, semantic loss, operator value, and implementation cost rather than matching labels alone (MERLIN Project 2026q; 2026r). Candidate dispositions include RETAIN, CLARIFY, REFINE, REPLACE, DEFER, and REJECT. A later source can therefore strengthen or challenge a relationship without forcing an architecture reset or being ignored because an earlier draft already exists.</w:t>
      </w:r>
    </w:p>
    <w:p>
      <w:pPr>
        <w:keepNext/>
        <w:spacing w:after="40"/>
        <w:jc w:val="center"/>
      </w:pPr>
      <w:r>
        <w:drawing>
          <wp:inline xmlns:a="http://schemas.openxmlformats.org/drawingml/2006/main" xmlns:pic="http://schemas.openxmlformats.org/drawingml/2006/picture">
            <wp:extent cx="6217920" cy="4050127"/>
            <wp:docPr id="1" name="Picture 1" descr="Evidence-to-design flow showing foundational and later donor studies passing through comparison and explicit disposition before accepted MPSS rules or residual research reach implementation tests" title="Evidence-to-design flow showing foundational and later donor studies passing through comparison and explicit disposition before accepted MPSS rules or residual research reach implementation tests"/>
            <wp:cNvGraphicFramePr>
              <a:graphicFrameLocks noChangeAspect="1"/>
            </wp:cNvGraphicFramePr>
            <a:graphic>
              <a:graphicData uri="http://schemas.openxmlformats.org/drawingml/2006/picture">
                <pic:pic>
                  <pic:nvPicPr>
                    <pic:cNvPr id="0" name="figure_01_research_reconciliation.png"/>
                    <pic:cNvPicPr/>
                  </pic:nvPicPr>
                  <pic:blipFill>
                    <a:blip r:embed="rId11"/>
                    <a:stretch>
                      <a:fillRect/>
                    </a:stretch>
                  </pic:blipFill>
                  <pic:spPr>
                    <a:xfrm>
                      <a:off x="0" y="0"/>
                      <a:ext cx="6217920" cy="4050127"/>
                    </a:xfrm>
                    <a:prstGeom prst="rect"/>
                  </pic:spPr>
                </pic:pic>
              </a:graphicData>
            </a:graphic>
          </wp:inline>
        </w:drawing>
      </w:r>
    </w:p>
    <w:p>
      <w:pPr>
        <w:pStyle w:val="PaperCaption"/>
        <w:keepNext w:val="0"/>
      </w:pPr>
      <w:r>
        <w:rPr>
          <w:b/>
        </w:rPr>
        <w:t>Figure 1. Evidence-to-design reconciliation and model currency.</w:t>
      </w:r>
      <w:r>
        <w:rPr/>
        <w:t xml:space="preserve"> Foundational evidence and later bounded studies enter the same comparison process rather than being stacked as simultaneous runtime dependencies. Only an explicitly approved bounded change becomes part of the accepted MPSS technical baseline, while deferred, rejected, gated, and not-yet-integrated findings remain visible in the wider research corpus. Real-source implementation can feed new evidence or a actual mapping failure back into that reconciliation loop. This figure summarizes the current control model recorded by the update plan, continuity materials, and Smart Citizen currency audit (MERLIN Project 2026o; 2026p; 2026q; 2026r).</w:t>
      </w:r>
    </w:p>
    <w:p>
      <w:pPr>
        <w:pStyle w:val="Heading2"/>
      </w:pPr>
      <w:r>
        <w:rPr/>
        <w:t>Donor and stress-test landscape</w:t>
      </w:r>
    </w:p>
    <w:p>
      <w:pPr>
        <w:pStyle w:val="PaperCaption"/>
        <w:keepNext/>
      </w:pPr>
      <w:r>
        <w:rPr>
          <w:b/>
        </w:rPr>
        <w:t>Table 1. Principal donor and research families in the current program.</w:t>
      </w:r>
      <w:r>
        <w:rPr/>
        <w:t xml:space="preserve"> The table distinguishes foundational donors, later bounded donor studies, semantic resources, and stress tests by the role the research assigns them rather than by implying universal adoption. Some findings have already informed owner-approved MPSS v0.3.5 rules, while others remain comparator-only, conditional, source-gated, deferred, or residual. The master bibliography and source register retain exact editions, locators, inspection depth, and source identities beyond this readable summary (MERLIN Project 2026n; 2026o; 2026p). The Open Group SOSA and W3C/OGC SOSA/SSN are different source families and are not conflated.</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family / study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Role in the research program</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Current standing relevant to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SensorML, SWE Common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Base resource, relationship, descriptive, dynamic-data, command, semantic-definition, unit, and encoding stack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Accepted technical foundation; MPSS adds purpose-specific domain obligations without redefining base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Network Reference Architecture and OSUS-R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Whole-system, node/gateway, unattended-sensor asset, capability, command, status, and media comparators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Foundational donors; OSUS concepts may be reused or translated without implementing the OSUS Java/OSGi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Hardware, industrial-device, lifecycle, communications, and power sources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RFC 8348; Asset Administration Shell; OPC UA/PA-DIM; MIMOSA; RFC 2863/8343/8345; RFC 7326/7577; marine SensorML profiles; MIP/JC3IEDM and related sources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Bounded concept donors and precedents; selected accepted meanings are represented through OGC rather than by silently stacking source protocol runtimes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Army Integrated Sensor Architecture (ISA)</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Capability contract; assignment versus actuation; physical composition versus proxy/mediation; normalized-plus-native information; extension maturity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Later bounded donor; selected identity/mediation/configuration/action clarifications informed v0.3.5, but ISA runtime implementation is not required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SAPIENT v2</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Sender/source versus physical identity; declared versus current mode; task acknowledgement versus proven effect; detection/track/fusion lineage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Later bounded donor; selected refinements informed v0.3.5, while native SAPIENT protocol implementation remains separate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 Open Group SOSA</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Hardware/module/host distinctions, physical versus logical composition, System Manager state, signal products, PowerPort/interface concepts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Later bounded donor; selected interpretive constraints informed v0.3.5 and do not make SOSA's modular architecture the universal MERLIN hierarchy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Observations, Measurements and Samples (OMS) 3.0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Observer, observing procedure, host, deployment, observation semantics, prospective capability, and measured-versus-administrative condition distinctions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Later bounded donor; selected semantic refinements informed v0.3.5 without requiring a parallel OMS service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IEEE 1451 / Transducer Electronic Data Sheets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Candidate transducer/channel identity, range, timing, units, calibration and uncertainty semantics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Conditional/source-gated for exact normative obligations; no IEEE/TEDS implementation is claimed by the first public Smart Citizen load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W3C/OGC SOSA/SSN, I-ADOPT, QUDT, UCUM, SWEET and related semantic work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Observation lineage, variable/property descriptions, quantity/unit semantics, ontology/vocabulary alignments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resources and comparison material; definition reuse or mapping does not imply mandatory RDF/ontology runtime conformance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OSCAR and related domain stress tests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 whether the common model survives a richer radiation-screening implementation and expose residual needs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Research stress test; identified residual questions around artifacts, processing/derivation execution, and operational episodes without silently modifying v0.3.5</w:t>
            </w:r>
          </w:p>
        </w:tc>
      </w:tr>
    </w:tbl>
    <w:p>
      <w:pPr>
        <w:spacing w:after="40" w:before="0" w:line="60" w:lineRule="exact"/>
      </w:pPr>
    </w:p>
    <w:p>
      <w:pPr>
        <w:pStyle w:val="Heading2"/>
      </w:pPr>
      <w:r>
        <w:rPr/>
        <w:t>Accepted technical baseline versus residual research</w:t>
      </w:r>
    </w:p>
    <w:p>
      <w:pPr/>
      <w:r>
        <w:rPr/>
        <w:t>Research currency does not mean that every newer paper replaces the technical profile. MPSS v0.3.5 is the accepted implementation authority for this experiment because it records four owner-approved bounded increments and the current R01-R20 relationship/binding text, catalogue, and connected example; the wider v0.10 corpus remains evidence that can reinforce, challenge, or trigger a future profile change (MERLIN Project 2026a; 2026o; 2026p). This arrangement protects the experiment from two opposite errors: implementing an obsolete early draft and silently turning every newly investigated donor idea into a requirement. A mapping is current only when its source evidence, accepted profile rule, and relevant later research disposition are all visible.</w:t>
      </w:r>
    </w:p>
    <w:p>
      <w:pPr>
        <w:pStyle w:val="PaperCaption"/>
        <w:keepNext/>
      </w:pPr>
      <w:r>
        <w:rPr>
          <w:b/>
        </w:rPr>
        <w:t>Table 2. Authority and currency layers used by this experiment.</w:t>
      </w:r>
      <w:r>
        <w:rPr/>
        <w:t xml:space="preserve"> Each layer answers a different question and therefore cannot substitute for the others. The Smart Citizen model-currency audit explicitly compared the first four experiment phases across these layers before allowing adapter implementation to proceed (MERLIN Project 2026p). Later research remains capable of exposing a gap, but it becomes implementation authority only through explicit disposition and acceptance. This table is the paper's control for distinguishing 'researched' from 'adopted.'</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Controlling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it controls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Smart Citizen evidence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Frozen specimen </w:t>
            </w:r>
            <w:r>
              <w:rPr>
                <w:rFonts w:ascii="DejaVu Sans Mono" w:hAnsi="DejaVu Sans Mono"/>
                <w:sz w:val="20"/>
              </w:rPr>
              <w:t>20261025T024348Z</w:t>
            </w:r>
            <w:r>
              <w:rPr>
                <w:sz w:val="20"/>
              </w:rPr>
              <w:t>, source documentation, inspected API implementation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producer actually reported: identities, values, units, source times, aggregation behavior, and source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Accepted technical baseline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v0.3.5 plus its accepted definition/group catalogue and connected example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owner-approved R01-R20 meanings and OGC/SensorML/SWE binding rules implemented by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Wider research corpus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DIM bibliography/source register v0.10; bounded Power, ISA, SAPIENT, The Open Group SOSA, IEEE 1451/TEDS, OMS/foundational-semantics and OSCAR studies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Evidence that can confirm, refine, reject, defer, or expose gaps in the accepted baseline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 currency audit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Smart Citizen </w:t>
            </w:r>
            <w:r>
              <w:rPr>
                <w:rFonts w:ascii="DejaVu Sans Mono" w:hAnsi="DejaVu Sans Mono"/>
                <w:sz w:val="20"/>
              </w:rPr>
              <w:t>06_MODEL_CURRENCY_AUDIT.md</w:t>
            </w:r>
            <w:r>
              <w:rPr>
                <w:sz w:val="20"/>
              </w:rPr>
              <w:t xml:space="preserve"> plus corrected mapping ledger/resource graph</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Proves which Phase 1-4 decisions survive current research and identifies required corrections before code</w:t>
            </w:r>
          </w:p>
        </w:tc>
      </w:tr>
    </w:tbl>
    <w:p>
      <w:pPr>
        <w:spacing w:after="40" w:before="0" w:line="60" w:lineRule="exact"/>
      </w:pPr>
    </w:p>
    <w:p>
      <w:pPr>
        <w:pStyle w:val="Heading1"/>
      </w:pPr>
      <w:r>
        <w:rPr/>
        <w:t>3 The current DIM and Managed Physical Sensing Systems profile</w:t>
      </w:r>
    </w:p>
    <w:p>
      <w:pPr>
        <w:pStyle w:val="Heading2"/>
      </w:pPr>
      <w:r>
        <w:rPr/>
        <w:t>Domain model, application profile, binding, and implementation</w:t>
      </w:r>
    </w:p>
    <w:p>
      <w:pPr/>
      <w:r>
        <w:rPr/>
        <w:t>The DIM, application profile, OGC binding, and software implementation are related but different artifacts. The DIM supplies the domain concepts and relationships needed to describe an employed sensing system coherently; the application profile states the shared scope and obligations; the binding selects concrete OGC resources, SensorML structures, SWE components, definition identifiers, and reference rules; and implementations produce, consume, validate, and present those representations (MERLIN Project 2026a; 2026o). Keeping those layers separate makes failures diagnosable instead of allowing a server limitation, source gap, mapping mistake, and model defect to collapse into one vague 'interoperability' result. It also prevents the client interface from becoming the de facto information model.</w:t>
      </w:r>
    </w:p>
    <w:p>
      <w:pPr>
        <w:pStyle w:val="PaperCaption"/>
        <w:keepNext/>
      </w:pPr>
      <w:r>
        <w:rPr>
          <w:b/>
        </w:rPr>
        <w:t>Table 3. Layers of the current MERLIN architecture.</w:t>
      </w:r>
      <w:r>
        <w:rPr/>
        <w:t xml:space="preserve"> The table distinguishes conceptual meaning, interoperability obligations, technical representation, and runtime behavior. A model is not completed merely because a JSON payload validates, and a useful client does not prove that a server or source conforms to every donor standard. Conversely, a donor concept can legitimately inform the model without requiring its originating protocol stack. These distinctions govern both the profile and the Smart Citizen evaluation (MERLIN Project 2026a;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answered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MERLIN/MPSS responsibility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entities, properties, relationships, roles, times, and distinctions matter?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Whole-system concepts and relationships across identity, equipment, employment, products/actions, communications, power, condition and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profile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Which concepts, options, constraints, and obligations are shared for this purpose?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Managed-physical-sensing-system scope, recognized groups/definitions, reference behavior, producer/consumer expectations, and specialization boundaries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are accepted meanings represented in the selected standards stack?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resources/associations, SensorML descriptions, SWE structures, semantic definitions, units, schemas, and profile-authored references where native mechanisms are insufficient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Implementation and client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independent software produce, preserve, retrieve, validate, interpret, and present the agreed information?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adapters, CSAPI servers, validators, standards libraries, profile interpretation, and operator presentation</w:t>
            </w:r>
          </w:p>
        </w:tc>
      </w:tr>
    </w:tbl>
    <w:p>
      <w:pPr>
        <w:spacing w:after="40" w:before="0" w:line="60" w:lineRule="exact"/>
      </w:pPr>
    </w:p>
    <w:p>
      <w:pPr>
        <w:pStyle w:val="Heading2"/>
      </w:pPr>
      <w:r>
        <w:rPr/>
        <w:t>Eight connected information subjects</w:t>
      </w:r>
    </w:p>
    <w:p>
      <w:pPr/>
      <w:r>
        <w:rPr/>
        <w:t>The model is centered on the persistent physical sensing system in employment rather than on a manufacturer screen, a single API response, or a list of SensorML properties. Eight connected information subjects organize the complete potential description: identity/model/technical description; equipment/physical arrangement; sensing capabilities/products; deployment/emplacement/responsibility; configuration/modes/actions; communications/access; power arrangement; and condition/service/recovery/lifecycle (MERLIN Project 2026a; 2026o). These subjects are not eight mandatory resources, eight servers, or eight user-interface tabs. A particular source populates only what its evidence actually supports, while family/domain specializations can add detail without changing the common meanings.</w:t>
      </w:r>
    </w:p>
    <w:p>
      <w:pPr>
        <w:pStyle w:val="PaperCaption"/>
        <w:keepNext/>
      </w:pPr>
      <w:r>
        <w:rPr>
          <w:b/>
        </w:rPr>
        <w:t>Table 4. Eight connected information subjects.</w:t>
      </w:r>
      <w:r>
        <w:rPr/>
        <w:t xml:space="preserve"> Each subject answers a different operational question while remaining connected to the same persistent System and employment context. The organization is deliberately broader than the fields available from any one vendor example, because absence in one source does not remove a concept from the common model. It is also deliberately narrower than a complete enterprise architecture, because analytics execution, storage, security infrastructure, and mission-specific workflows can remain companion contracts or specializations. The Smart Citizen experiment exercises only a subset and must preserve the rest as unpopulated rather than fabricate coverage.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question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model, and technical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persistent System is represented, what reusable model/kind describes it, and what technical description applies?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composition, and physical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sensing/supporting equipment participates, and what composition, attachment, or support relationships are actually known?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Sensing capabilities, performance, and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functions can the equipment perform, what parameters/conditions qualify them, and what products are exposed?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emplacement, location, and responsibility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Where, why, when, and under whose scoped responsibility is the System employed?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Operating configuration, modes, and supported actions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configuration applies, what state is merely reported, and what actions can legitimately be requested and verified?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connectivity, and access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interfaces, links, gateways, or mediation relationships are known, distinct from the URL of the representing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sources and operating power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source powers what consumer, what metering/aggregation relationship applies, and what readings or service history describe the 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recovery, and lifecycle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measured/method-derived condition evidence and what service/replacement/recovery history explain the current situation?</w:t>
            </w:r>
          </w:p>
        </w:tc>
      </w:tr>
    </w:tbl>
    <w:p>
      <w:pPr>
        <w:spacing w:after="40" w:before="0" w:line="60" w:lineRule="exact"/>
      </w:pPr>
    </w:p>
    <w:p>
      <w:pPr>
        <w:pStyle w:val="Heading2"/>
      </w:pPr>
      <w:r>
        <w:rPr/>
        <w:t>Relationship model R01-R12: system, employment, products, observations, and actions</w:t>
      </w:r>
    </w:p>
    <w:p>
      <w:pPr/>
      <w:r>
        <w:rPr/>
        <w:t>The current relationship framework uses R01-R20 as local MPSS review/binding identifiers rather than OGC-native relationship names. R01-R12 connect persistent System identity to reusable model description, equipment and functions, deployment participation and configuration, parameters and products, observations and their true subjects, and controls/commands whose acknowledgement remains distinct from proven physical effect (MERLIN Project 2026a; 2026p). The current v0.3.5 wording includes later-donor refinements around source versus physical identity, mode-scoped capability, assignment versus action, and observation subject/context without introducing parallel universal classes merely because ISA, SAPIENT, or another donor defines them. The diagram therefore shows domain roles and selected carrier relationships, not a claim that each box must be a separately addressable CSAPI resource.</w:t>
      </w:r>
    </w:p>
    <w:p>
      <w:pPr>
        <w:keepNext/>
        <w:spacing w:after="40"/>
        <w:jc w:val="center"/>
      </w:pPr>
      <w:r>
        <w:drawing>
          <wp:inline xmlns:a="http://schemas.openxmlformats.org/drawingml/2006/main" xmlns:pic="http://schemas.openxmlformats.org/drawingml/2006/picture">
            <wp:extent cx="6217920" cy="2891333"/>
            <wp:docPr id="2" name="Picture 2" descr="UML-style relationship diagram for MPSS R01-R12 showing System, Procedure/model, equipment, physical support, functions, Deployment participation, settings, parameters, products, DataStreams, Observations, observed subjects, ControlStreams, and Commands" title="UML-style relationship diagram for MPSS R01-R12 showing System, Procedure/model, equipment, physical support, functions, Deployment participation, settings, parameters, products, DataStreams, Observations, observed subjects, ControlStreams, and Commands"/>
            <wp:cNvGraphicFramePr>
              <a:graphicFrameLocks noChangeAspect="1"/>
            </wp:cNvGraphicFramePr>
            <a:graphic>
              <a:graphicData uri="http://schemas.openxmlformats.org/drawingml/2006/picture">
                <pic:pic>
                  <pic:nvPicPr>
                    <pic:cNvPr id="0" name="figure_02_mpss_core_relationships.png"/>
                    <pic:cNvPicPr/>
                  </pic:nvPicPr>
                  <pic:blipFill>
                    <a:blip r:embed="rId12"/>
                    <a:stretch>
                      <a:fillRect/>
                    </a:stretch>
                  </pic:blipFill>
                  <pic:spPr>
                    <a:xfrm>
                      <a:off x="0" y="0"/>
                      <a:ext cx="6217920" cy="2891333"/>
                    </a:xfrm>
                    <a:prstGeom prst="rect"/>
                  </pic:spPr>
                </pic:pic>
              </a:graphicData>
            </a:graphic>
          </wp:inline>
        </w:drawing>
      </w:r>
    </w:p>
    <w:p>
      <w:pPr>
        <w:pStyle w:val="PaperCaption"/>
        <w:keepNext w:val="0"/>
      </w:pPr>
      <w:r>
        <w:rPr>
          <w:b/>
        </w:rPr>
        <w:t>Figure 2. MPSS v0.3.5 core relationship model, R01-R12.</w:t>
      </w:r>
      <w:r>
        <w:rPr/>
        <w:t xml:space="preserve"> The view follows the persistent System through reusable model/type information, equipment and physical support, named functions, deployment participation, employment-scoped settings, parameters/products, observations, and supported actions. Solid relationships show the principal modeled connections; dashed/contextual paths distinguish employment context and requested/applied configuration from durable identity. The command path explicitly preserves the later-research distinction between a request, an acknowledgement, and verified physical effect. This is a UML-style explanatory view of the accepted relationship families, not a normative UML metamodel or a cardinality-complete schema (MERLIN Project 2026a; 2026p).</w:t>
      </w:r>
    </w:p>
    <w:p>
      <w:pPr>
        <w:pStyle w:val="Heading2"/>
      </w:pPr>
      <w:r>
        <w:rPr/>
        <w:t>Relationship model R13-R17: communications, representation provenance, and power</w:t>
      </w:r>
    </w:p>
    <w:p>
      <w:pPr/>
      <w:r>
        <w:rPr/>
        <w:t>R13-R17 extend the same System into communications, mediation/provenance, and power without allowing those concerns to replace System identity. R13-R14 describe interfaces and directed links when evidence supports them, while R15 covers mediated access and the accepted representation-source provenance that distinguishes native source/adapter identity from the physical System represented by an OGC resource (MERLIN Project 2026p). R16-R17 represent power relationships and power information separately so a voltage, battery percentage, or estimate cannot silently create a supply topology. These relationships were informed by multiple donors, but their OGC realization and cross-domain reference rules remain the explicitly governed MPSS contract.</w:t>
      </w:r>
    </w:p>
    <w:p>
      <w:pPr>
        <w:keepNext/>
        <w:spacing w:after="40"/>
        <w:jc w:val="center"/>
      </w:pPr>
      <w:r>
        <w:drawing>
          <wp:inline xmlns:a="http://schemas.openxmlformats.org/drawingml/2006/main" xmlns:pic="http://schemas.openxmlformats.org/drawingml/2006/picture">
            <wp:extent cx="6217920" cy="1729712"/>
            <wp:docPr id="3" name="Picture 3" descr="UML-style relationship diagram for MPSS R13-R17 showing System/equipment, representation source, communications interfaces, directed links, gateway mediation, energy relationships, power information, and optional Deployment context" title="UML-style relationship diagram for MPSS R13-R17 showing System/equipment, representation source, communications interfaces, directed links, gateway mediation, energy relationships, power information, and optional Deployment context"/>
            <wp:cNvGraphicFramePr>
              <a:graphicFrameLocks noChangeAspect="1"/>
            </wp:cNvGraphicFramePr>
            <a:graphic>
              <a:graphicData uri="http://schemas.openxmlformats.org/drawingml/2006/picture">
                <pic:pic>
                  <pic:nvPicPr>
                    <pic:cNvPr id="0" name="figure_03_mpss_comms_power.png"/>
                    <pic:cNvPicPr/>
                  </pic:nvPicPr>
                  <pic:blipFill>
                    <a:blip r:embed="rId13"/>
                    <a:stretch>
                      <a:fillRect/>
                    </a:stretch>
                  </pic:blipFill>
                  <pic:spPr>
                    <a:xfrm>
                      <a:off x="0" y="0"/>
                      <a:ext cx="6217920" cy="1729712"/>
                    </a:xfrm>
                    <a:prstGeom prst="rect"/>
                  </pic:spPr>
                </pic:pic>
              </a:graphicData>
            </a:graphic>
          </wp:inline>
        </w:drawing>
      </w:r>
    </w:p>
    <w:p>
      <w:pPr>
        <w:pStyle w:val="PaperCaption"/>
        <w:keepNext w:val="0"/>
      </w:pPr>
      <w:r>
        <w:rPr>
          <w:b/>
        </w:rPr>
        <w:t>Figure 3. MPSS v0.3.5 communications, representation-provenance, and power relationships, R13-R17.</w:t>
      </w:r>
      <w:r>
        <w:rPr/>
        <w:t xml:space="preserve"> The System remains the persistent represented infrastructure while source/adapter provenance, gateway mediation, communications interfaces/links, and energy relationships remain separate subjects. R15 representation-source provenance explains where the standardized representation came from and is explicitly not physical identity; R15 gateway mediation likewise does not replace the served System with the gateway. R16 makes supply/metering/aggregation a directed relationship and R17 keeps a reading tied to its actual subject rather than treating the reading as evidence of topology. The figure is explanatory and omits family-specific radio and electrical vocabularies that belong in specializations or source mappings (MERLIN Project 2026a; 2026p).</w:t>
      </w:r>
    </w:p>
    <w:p>
      <w:pPr>
        <w:pStyle w:val="Heading2"/>
      </w:pPr>
      <w:r>
        <w:rPr/>
        <w:t>Relationship model R18-R20: lifecycle, responsibility, and condition evidence</w:t>
      </w:r>
    </w:p>
    <w:p>
      <w:pPr/>
      <w:r>
        <w:rPr/>
        <w:t>R18-R20 organize change and condition without collapsing historical events, responsibility, and observations into one generic status field. Lifecycle Events or SystemEvents can record emplacement, service, replacement, recovery, and other changes affecting equipment or employment; R19 scopes people/organizations to the deployment, event, or finding to which their responsibility actually applies; and R20 connects a condition finding to its true subject and supporting evidence (MERLIN Project 2026a; 2026p). Later OMS/foundational-semantics work sharpened an important boundary: a measured or method-derived estimate can be an Observation, while a maintenance decision, administrative finding, or work order does not become an Observation merely because a UI wishes to show it under 'condition.' This is one example of later donor research refining the model without replacing its OGC foundation.</w:t>
      </w:r>
    </w:p>
    <w:p>
      <w:pPr>
        <w:keepNext/>
        <w:spacing w:after="40"/>
        <w:jc w:val="center"/>
      </w:pPr>
      <w:r>
        <w:drawing>
          <wp:inline xmlns:a="http://schemas.openxmlformats.org/drawingml/2006/main" xmlns:pic="http://schemas.openxmlformats.org/drawingml/2006/picture">
            <wp:extent cx="6217920" cy="1735365"/>
            <wp:docPr id="4" name="Picture 4" descr="UML-style relationship diagram for MPSS R18-R20 showing System/equipment, Deployment, lifecycle Event/SystemEvent, scoped responsible party, condition finding, and evidence/document" title="UML-style relationship diagram for MPSS R18-R20 showing System/equipment, Deployment, lifecycle Event/SystemEvent, scoped responsible party, condition finding, and evidence/document"/>
            <wp:cNvGraphicFramePr>
              <a:graphicFrameLocks noChangeAspect="1"/>
            </wp:cNvGraphicFramePr>
            <a:graphic>
              <a:graphicData uri="http://schemas.openxmlformats.org/drawingml/2006/picture">
                <pic:pic>
                  <pic:nvPicPr>
                    <pic:cNvPr id="0" name="figure_04_mpss_lifecycle.png"/>
                    <pic:cNvPicPr/>
                  </pic:nvPicPr>
                  <pic:blipFill>
                    <a:blip r:embed="rId14"/>
                    <a:stretch>
                      <a:fillRect/>
                    </a:stretch>
                  </pic:blipFill>
                  <pic:spPr>
                    <a:xfrm>
                      <a:off x="0" y="0"/>
                      <a:ext cx="6217920" cy="1735365"/>
                    </a:xfrm>
                    <a:prstGeom prst="rect"/>
                  </pic:spPr>
                </pic:pic>
              </a:graphicData>
            </a:graphic>
          </wp:inline>
        </w:drawing>
      </w:r>
    </w:p>
    <w:p>
      <w:pPr>
        <w:pStyle w:val="PaperCaption"/>
        <w:keepNext w:val="0"/>
      </w:pPr>
      <w:r>
        <w:rPr>
          <w:b/>
        </w:rPr>
        <w:t>Figure 4. MPSS v0.3.5 condition, service, responsibility, and lifecycle relationships, R18-R20.</w:t>
      </w:r>
      <w:r>
        <w:rPr/>
        <w:t xml:space="preserve"> Lifecycle change remains associated with the persistent equipment and employment instead of overwriting System identity, while responsibility is scoped to the record where it is asserted. Condition findings retain their actual subject and supporting evidence; the model does not manufacture a universal readiness score or treat every administrative record as an Observation. The arrangement allows present condition and explanatory history to be assembled together without conflating them. As with the other relationship figures, the diagram explains the accepted conceptual/binding structure rather than prescribing one screen layout (MERLIN Project 2026a; 2026p).</w:t>
      </w:r>
    </w:p>
    <w:p>
      <w:pPr>
        <w:pStyle w:val="PaperCaption"/>
        <w:keepNext/>
      </w:pPr>
      <w:r>
        <w:rPr>
          <w:b/>
        </w:rPr>
        <w:t>Table 5. R01-R20 relationship families.</w:t>
      </w:r>
      <w:r>
        <w:rPr/>
        <w:t xml:space="preserve"> The table provides a compact index to the three relationship diagrams and keeps the numbering subordinate to meaning. The relationship identifiers are stable review/binding handles used to trace source evidence, accepted profile rules, representations, and implementation findings. Later donor work can refine a relationship's semantics or carrier only through explicit disposition rather than by changing the meaning silently. Detailed locators and profile-authored terms remain in MPSS v0.3.5 and its definition catalogue (MERLIN Project 2026a;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Relationship family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Core responsibility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Model, equipment, and function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R01-R04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Reusable model/type, equipment/component roles, physical attachment/support, named functions and capabilities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participation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R05-R08</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Participants, parent/subdeployment, purpose/place/responsibility, employment-scoped configuration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Products, setup,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R09-R12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Function-to-parameter/output correspondence, producer/subject/context, controls, command/status/result distinctions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representation 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R13-R15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Interfaces, directed links, gateway mediation, and source/adapter provenance distinct from physical identity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R16-R17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Directed powers/meters/aggregates relationships plus correctly scoped power ratings/readings/estimates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R18-R20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Events affecting equipment/employment, scoped responsibility, and evidence-backed condition findings</w:t>
            </w:r>
          </w:p>
        </w:tc>
      </w:tr>
    </w:tbl>
    <w:p>
      <w:pPr>
        <w:spacing w:after="40" w:before="0" w:line="60" w:lineRule="exact"/>
      </w:pPr>
    </w:p>
    <w:p>
      <w:pPr>
        <w:pStyle w:val="Heading2"/>
      </w:pPr>
      <w:r>
        <w:rPr/>
        <w:t>Profile binding, generic access, and honest maturity</w:t>
      </w:r>
    </w:p>
    <w:p>
      <w:pPr/>
      <w:r>
        <w:rPr/>
        <w:t xml:space="preserve">MPSS uses existing OGC mechanisms first and adds the smallest justified profile-owned rule where the domain relationship would otherwise be ambiguous. Accepted content is carried through CSAPI resources and links, SensorML descriptions/groups, SWE typed components and semantic definitions, plus explicit local identifiers/reference rules where MPSS authors a cross-domain association (MERLIN Project 2026a). A standard </w:t>
      </w:r>
      <w:r>
        <w:rPr>
          <w:rFonts w:ascii="DejaVu Sans Mono" w:hAnsi="DejaVu Sans Mono"/>
          <w:sz w:val="19"/>
        </w:rPr>
        <w:t>profile</w:t>
      </w:r>
      <w:r>
        <w:rPr/>
        <w:t xml:space="preserve"> link relation can advertise the additional contract without changing the underlying media type, and a generic client should still be able to inspect the base resources, types, units, definitions, and links that it understands. A profile-aware client adds recognized whole-system assembly; it is not permitted to hide unsupported content or invent missing relationships merely to produce a cleaner interface.</w:t>
      </w:r>
    </w:p>
    <w:p>
      <w:pPr/>
      <w:r>
        <w:rPr/>
        <w:t>The work should be described at its present maturity as an evidence-controlled domain-information-model and application-profile synthesis in progress, not as a completed ontology, a finished formal conceptual schema, an OGC-approved profile, or proof that every donor has been reconciled (MERLIN Project 2026n; MERLIN Project 2026o; MERLIN Project 2026p; MERLIN Project 2026s). MPSS v0.3.5 is concrete enough to provide accepted R01-R20 rules, a definition/group catalogue, a connected synthetic example, and an implementation target for bounded experiments. The wider research corpus remains intentionally visible because rejected, deferred, source-gated, and not-yet-integrated findings are part of the evidence record rather than failures to remember. The next engineering proof is independent implementation and real-source testing against that accepted baseline, followed by explicit disposition of any actual model break.</w:t>
      </w:r>
    </w:p>
    <w:p>
      <w:pPr>
        <w:pStyle w:val="Heading1"/>
      </w:pPr>
      <w:r>
        <w:rPr/>
        <w:t>4 Experiment design and model-currency control</w:t>
      </w:r>
    </w:p>
    <w:p>
      <w:pPr>
        <w:pStyle w:val="Heading2"/>
      </w:pPr>
      <w:r>
        <w:rPr/>
        <w:t>Research questions</w:t>
      </w:r>
    </w:p>
    <w:p>
      <w:pPr/>
      <w:r>
        <w:rPr/>
        <w:t>The Smart Citizen study is a traceable integration case followed by a controlled comparison of information presentation. It separates semantic preservation, profile contribution, and transferability so that a successful transport or attractive screen cannot stand in for model evidence. The unit of technical analysis is a traceable assertion: a value, identity, relationship, or contextual statement with an identified source, accepted interpretation, and evidence standing. Findings about transport, domain meaning, profile interpretation, and presentation are reported separately.</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which remain unavailable from this source, and which mappings remain reusable when a second producer is introduced?</w:t>
      </w:r>
    </w:p>
    <w:p>
      <w:pPr>
        <w:pStyle w:val="Heading2"/>
      </w:pPr>
      <w:r>
        <w:rPr/>
        <w:t>Corrective model-currency audit before implementation</w:t>
      </w:r>
    </w:p>
    <w:p>
      <w:pPr/>
      <w:r>
        <w:rPr/>
        <w:t>The paper-review failure that exposed an outdated donor summary triggered a proof-level audit before any adapter code was written. That audit compared each experiment phase with three independent authorities: the frozen Smart Citizen evidence, the accepted MPSS v0.3.5 technical rules, and the wider later research corpus (MERLIN Project 2026p). The question was not whether later standards had been researched, but whether any later accepted or still-residual finding contradicted the actual Smart Citizen mappings or resource design. Phase 5 remains blocked unless the mapping ledger, Phase 4 graph, and audit agree.</w:t>
      </w:r>
    </w:p>
    <w:p>
      <w:pPr>
        <w:pStyle w:val="PaperCaption"/>
        <w:keepNext/>
      </w:pPr>
      <w:r>
        <w:rPr>
          <w:b/>
        </w:rPr>
        <w:t>Table 6. Phase-by-phase model-currency audit.</w:t>
      </w:r>
      <w:r>
        <w:rPr/>
        <w:t xml:space="preserve"> The audit did not simply declare the prior experiment 'current'; it assigned a disposition to each phase and recorded concrete corrections where later accepted research mattered. Source capture and native characterization survive because donor research cannot change what Smart Citizen actually returned, while semantic mapping and target design were checked at the relationship/carrier level. One accepted carrier omission was found and corrected: R15 representation-source provenance for SC-SYS-001; aggregate processing also received a clearer System/Procedure/execution distinction. No mapping was preserved merely because implementation work had already been planned (MERLIN Project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Audit disposition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changed or was proved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1 - frozen specimen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RETAIN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Device/history responses, headers, requests and hashes remain source evidence independent of later model revisions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2 - native characterization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RETAIN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identifiers, catalogue roles, values, source times, notification settings, location limitations and processing semantics remain valid; later research reinforces several cautions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3 - mapping ledger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RETAIN CORE SEMANTICS; REPAIR TRACEABILITY/CARRIERS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battery, RSSI, SD and aggregate decisions remain; later ISA/SAPIENT/The Open Group SOSA/OMS/foundational lineage is made explicit; R15 provenance becomes applicable to SC-ID-01</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 resource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RETAIN RESOURCE COUNT WITH CORRECTIONS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Still 2 Systems, 2 Procedures, 10 DataStreams/schemas, 56 Observations; add R15 representation-source; clarify persistent aggregate process versus reusable Procedure versus one query execution; qualify authored aggregate-property definitions</w:t>
            </w:r>
          </w:p>
        </w:tc>
      </w:tr>
    </w:tbl>
    <w:p>
      <w:pPr>
        <w:spacing w:after="40" w:before="0" w:line="60" w:lineRule="exact"/>
      </w:pPr>
    </w:p>
    <w:p>
      <w:pPr/>
      <w:r>
        <w:rPr/>
        <w:t>This audit does not say that every item in the v0.10 corpus is already part of MPSS v0.3.5. IEEE 1451/TEDS exact obligations remain source-gated for this use, OSCAR leaves residual processing/artifact/operational-context questions, and semantic-model studies may remain optional resources or future refinements (MERLIN Project 2026p). That is a feature of controlled synthesis: the experiment implements accepted rules while retaining residual research as evidence and a future review trigger. If Phase 5 uncovers a real mapping failure, it returns to the reconciliation process shown in Figure 1 rather than being patched silently in adapter code.</w:t>
      </w:r>
    </w:p>
    <w:p>
      <w:pPr>
        <w:pStyle w:val="Heading2"/>
      </w:pPr>
      <w:r>
        <w:rPr/>
        <w:t>Experimental path</w:t>
      </w:r>
    </w:p>
    <w:p>
      <w:pPr/>
      <w:r>
        <w:rPr/>
        <w:t>The immediate path is frozen public Smart Citizen evidence through a documented deterministic adapter into an identified CSAPI test service, followed later by Glaux retrieval and matched generic/profile-aware presentation. The adapter is required to implement the audited mapping and resource graph rather than invent semantic decisions while coding. An owned kit remains a later extension for physical installation, configuration, power, and lifecycle evidence that the public feed cannot establish, while an independent producer such as AirGradient is planned to test transfer. No live polling or server write is part of the current corrective paper phase.</w:t>
      </w:r>
    </w:p>
    <w:p>
      <w:pPr>
        <w:keepNext/>
        <w:spacing w:after="40"/>
        <w:jc w:val="center"/>
      </w:pPr>
      <w:r>
        <w:drawing>
          <wp:inline xmlns:a="http://schemas.openxmlformats.org/drawingml/2006/main" xmlns:pic="http://schemas.openxmlformats.org/drawingml/2006/picture">
            <wp:extent cx="6217920" cy="5285232"/>
            <wp:docPr id="5" name="Picture 5"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5"/>
                    <a:stretch>
                      <a:fillRect/>
                    </a:stretch>
                  </pic:blipFill>
                  <pic:spPr>
                    <a:xfrm>
                      <a:off x="0" y="0"/>
                      <a:ext cx="6217920" cy="5285232"/>
                    </a:xfrm>
                    <a:prstGeom prst="rect"/>
                  </pic:spPr>
                </pic:pic>
              </a:graphicData>
            </a:graphic>
          </wp:inline>
        </w:drawing>
      </w:r>
    </w:p>
    <w:p>
      <w:pPr>
        <w:pStyle w:val="PaperCaption"/>
        <w:keepNext w:val="0"/>
      </w:pPr>
      <w:r>
        <w:rPr>
          <w:b/>
        </w:rPr>
        <w:t>Figure 5. Smart Citizen experiment architecture.</w:t>
      </w:r>
      <w:r>
        <w:rPr/>
        <w:t xml:space="preserve"> The frozen source and published definitions inform the adapter only through the audited mapping decisions, while the CSAPI service forms a separate preservation boundary that must later be tested by create/retrieve comparison. Standard and profile-aware client conditions use the same standardized evidence so the profile does not receive a more favorable dataset. The provider interface remains a separate presentation reference rather than an authority for the standardized model. All adapter and service connections shown here remain proposed until their respective execution phases are performed (Open Geospatial Consortium 2025a; 2025b; MERLIN Project 2026p).</w:t>
      </w:r>
    </w:p>
    <w:p>
      <w:pPr>
        <w:pStyle w:val="Heading2"/>
      </w:pPr>
      <w:r>
        <w:rPr/>
        <w:t>Why Smart Citizen is the first real-source case</w:t>
      </w:r>
    </w:p>
    <w:p>
      <w:pPr/>
      <w:r>
        <w:rPr/>
        <w:t>Smart Citizen was selected because the preliminary study found accessible current and historical responses, informative channel metadata, official model documentation, and a plausible path to later owned hardware (MERLIN Project 2026c). The source is useful precisely because it is not one of the original unattended-ground-sensor reference cases and does not natively expose MPSS; it therefore tests whether the model can accept a independent producer without merely reproducing a vendor-specific schema. The case is purposive rather than statistically representative and does not establish generality by itself. A second producer and later physical hardware are required for broader transfer and lifecycle questions.</w:t>
      </w:r>
    </w:p>
    <w:p>
      <w:pPr>
        <w:pStyle w:val="Heading1"/>
      </w:pPr>
      <w:r>
        <w:rPr/>
        <w:t>5 Smart Citizen system and frozen source evidence</w:t>
      </w:r>
    </w:p>
    <w:p>
      <w:pPr>
        <w:pStyle w:val="Heading2"/>
      </w:pPr>
      <w:r>
        <w:rPr/>
        <w:t>System and selected public case</w:t>
      </w:r>
    </w:p>
    <w:p>
      <w:pPr/>
      <w:r>
        <w:rPr/>
        <w:t>The Smart Citizen Kit (SCK) is a modular environmental monitoring system. Its documented measurements include air temperature, humidity, particulate matter, noise level, light, and pressure. Figure 6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6" name="Picture 6"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6"/>
                    <a:stretch>
                      <a:fillRect/>
                    </a:stretch>
                  </pic:blipFill>
                  <pic:spPr>
                    <a:xfrm>
                      <a:off x="0" y="0"/>
                      <a:ext cx="6002216" cy="3200400"/>
                    </a:xfrm>
                    <a:prstGeom prst="rect"/>
                  </pic:spPr>
                </pic:pic>
              </a:graphicData>
            </a:graphic>
          </wp:inline>
        </w:drawing>
      </w:r>
    </w:p>
    <w:p>
      <w:pPr>
        <w:pStyle w:val="PaperCaption"/>
        <w:keepNext w:val="0"/>
      </w:pPr>
      <w:r>
        <w:rPr>
          <w:b/>
        </w:rPr>
        <w:t>Figure 6.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7.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1–4 source, mapping, and resource-design work;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8.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6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7" name="Picture 7"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7"/>
                    <a:stretch>
                      <a:fillRect/>
                    </a:stretch>
                  </pic:blipFill>
                  <pic:spPr>
                    <a:xfrm>
                      <a:off x="0" y="0"/>
                      <a:ext cx="6217920" cy="4663440"/>
                    </a:xfrm>
                    <a:prstGeom prst="rect"/>
                  </pic:spPr>
                </pic:pic>
              </a:graphicData>
            </a:graphic>
          </wp:inline>
        </w:drawing>
      </w:r>
    </w:p>
    <w:p>
      <w:pPr>
        <w:pStyle w:val="PaperCaption"/>
        <w:keepNext w:val="0"/>
      </w:pPr>
      <w:r>
        <w:rPr>
          <w:b/>
        </w:rPr>
        <w:t>Figure 7.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9.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8" name="Picture 8"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8"/>
                    <a:stretch>
                      <a:fillRect/>
                    </a:stretch>
                  </pic:blipFill>
                  <pic:spPr>
                    <a:xfrm>
                      <a:off x="0" y="0"/>
                      <a:ext cx="6217920" cy="5078910"/>
                    </a:xfrm>
                    <a:prstGeom prst="rect"/>
                  </pic:spPr>
                </pic:pic>
              </a:graphicData>
            </a:graphic>
          </wp:inline>
        </w:drawing>
      </w:r>
    </w:p>
    <w:p>
      <w:pPr>
        <w:pStyle w:val="PaperCaption"/>
        <w:keepNext w:val="0"/>
      </w:pPr>
      <w:r>
        <w:rPr>
          <w:b/>
        </w:rPr>
        <w:t>Figure 8.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10.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13 and any claim that Glaux reconstructed the Smart Citizen dataset from connected CSAPI resources remain pending experimental evidence.</w:t>
      </w:r>
    </w:p>
    <w:p>
      <w:pPr>
        <w:pStyle w:val="Heading1"/>
      </w:pPr>
      <w:r>
        <w:rPr/>
        <w:t>7 Mapping method and reviewed mappings</w:t>
      </w:r>
    </w:p>
    <w:p>
      <w:pPr>
        <w:pStyle w:val="Heading2"/>
      </w:pPr>
      <w:r>
        <w:rPr/>
        <w:t>Model-currency rule for every mapping</w:t>
      </w:r>
    </w:p>
    <w:p>
      <w:pPr/>
      <w:r>
        <w:rPr/>
        <w:t>The mapping ledger is governed by the accepted MPSS v0.3.5 technical baseline and is cross-checked against the wider research corpus rather than against the earlier v0.3 source-selection summary (MERLIN Project 2026p). The current audit found that the core Smart Citizen semantic decisions remain defensible, but it also identified under-documented later-donor lineage and one missing accepted carrier: R15 representation-source provenance for the standardized System. A later research source therefore does not silently become an implementation obligation, but neither may an accepted later-donor refinement disappear from the experiment because an older summary omitted it. Every mapping below must agree with the mapping ledger, the Phase 4 resource graph, and the model-currency audit before it can become adapter authority.</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9" name="Picture 9"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9"/>
                    <a:stretch>
                      <a:fillRect/>
                    </a:stretch>
                  </pic:blipFill>
                  <pic:spPr>
                    <a:xfrm>
                      <a:off x="0" y="0"/>
                      <a:ext cx="6217920" cy="5129784"/>
                    </a:xfrm>
                    <a:prstGeom prst="rect"/>
                  </pic:spPr>
                </pic:pic>
              </a:graphicData>
            </a:graphic>
          </wp:inline>
        </w:drawing>
      </w:r>
    </w:p>
    <w:p>
      <w:pPr>
        <w:pStyle w:val="PaperCaption"/>
        <w:keepNext w:val="0"/>
      </w:pPr>
      <w:r>
        <w:rPr>
          <w:b/>
        </w:rPr>
        <w:t>Figure 9.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11.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p>
      <w:pPr>
        <w:pStyle w:val="PaperCaption"/>
        <w:keepNext/>
      </w:pPr>
      <w:r>
        <w:rPr>
          <w:b/>
        </w:rPr>
        <w:t>Table 12. Historical Phase 1–3 review checkpoint.</w:t>
      </w:r>
      <w:r>
        <w:rPr/>
        <w:t xml:space="preserve"> This table preserves the state that was reviewed before Phase 4 and is retained as history rather than as the final implementation authority. Subsequent Phase 4 and model-currency work resolved the time projections and added current R15 representation-source provenance without changing the frozen source evidence. The current implementation baseline is summarized in Section 8 and in the model-currency audit (MERLIN Project 2026p).</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Phase 4 now supplies explicit phenomenon-time and result-time policies for the first load, and those authored projections are documented rather than inferred from the spelling of source timestamp fields (MERLIN Project 2026m). Complete request and response examples will be added only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xml:space="preserve">, rather than the adapter authoring that summary field directly (Open Geospatial Consortium 2025b, sec. 9.2).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source reading time as a disclosed coincident-time projection because Smart Citizen supplies no separate result-generation timestamp; experiment acquisition time remains separate provenance (MERLIN Project 2026m).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xml:space="preserve">. The source supplies no separate resultTime, so Phase 4 uses the same channel reading instant for </w:t>
      </w:r>
      <w:r>
        <w:rPr>
          <w:rFonts w:ascii="DejaVu Sans Mono" w:hAnsi="DejaVu Sans Mono"/>
          <w:sz w:val="19"/>
        </w:rPr>
        <w:t>phenomenonTime</w:t>
      </w:r>
      <w:r>
        <w:rPr/>
        <w:t xml:space="preserve"> and </w:t>
      </w:r>
      <w:r>
        <w:rPr>
          <w:rFonts w:ascii="DejaVu Sans Mono" w:hAnsi="DejaVu Sans Mono"/>
          <w:sz w:val="19"/>
        </w:rPr>
        <w:t>resultTime</w:t>
      </w:r>
      <w:r>
        <w:rPr/>
        <w:t xml:space="preserve"> as the disclosed coincident-time projection used for the other frozen current readings (MERLIN Project 2026m). This projection satisfies the target temporal structure without claiming that Smart Citizen supplied an independent second timestamp.</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retains a separate source-platform processing System and reusable aggregation Procedure, but the currency audit narrows their meanings: the System is the persistent study representation of the data-transforming source-platform process, the Procedure is the reusable method, and the frozen request/response is execution and integration provenance rather than another common-model resource (MERLIN Project 2026p).</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1"/>
      </w:pPr>
      <w:r>
        <w:rPr/>
        <w:t>8 Audited Phase 4 target resource design</w:t>
      </w:r>
    </w:p>
    <w:p>
      <w:pPr>
        <w:pStyle w:val="Heading2"/>
      </w:pPr>
      <w:r>
        <w:rPr/>
        <w:t>Audited Phase 4 Connected Systems resource design</w:t>
      </w:r>
    </w:p>
    <w:p>
      <w:pPr/>
      <w:r>
        <w:rPr/>
        <w:t>Phase 4 converts the reviewed mappings into a concrete Connected Systems resource graph without making any server writes, and the graph has now been re-audited against MPSS v0.3.5 plus the later research corpus (MERLIN Project 2026m; 2026p). The deterministic first-load design still contains two Systems, two Procedures, ten DataStreams with ten observation schemas, and fifty-six Observations: eight frozen current results plus twenty-four temperature and twenty-four PM2.5 aggregate results. The audit did not discover a missing Smart Citizen Deployment, SamplingFeature, battery System, Wi-Fi interface System, SD-card System, or installed transducer identity, so those negative-resource decisions remain deliberate. It did require R15 representation-source provenance on the physical sensing-system representation and clearer separation of the persistent aggregate process, reusable method, and individual acquisition execution.</w:t>
      </w:r>
    </w:p>
    <w:p>
      <w:pPr>
        <w:pStyle w:val="PaperCaption"/>
        <w:keepNext/>
      </w:pPr>
      <w:r>
        <w:rPr>
          <w:b/>
        </w:rPr>
        <w:t>Table 13. Audited Phase 4 resource graph and negative design decisions.</w:t>
      </w:r>
      <w:r>
        <w:rPr/>
        <w:t xml:space="preserve"> The table identifies what the deterministic adapter is allowed to create from the frozen specimen and what the evidence still forbids it from inventing. Deterministic UUIDv5 URNs identify MERLIN study representations rather than manufacturer-issued physical assets, while Smart Citizen identifiers remain explicitly source-scoped (Davis et al. 2024; MERLIN Project 2026m; 2026p). The accepted R15 representation-source group records the native source/specification and the MERLIN adapter responsible for the standardized representation without changing physical identity. These are reviewed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Audited 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source ID/UUID remain source identifiers, and accepted R15 representation-source provenance identifies the native source/specification plus representing adapter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received signal strength indication,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One persistent process System representing the source-platform data-transforming process plus one reusable one-hour-average Procedure; neither is one HTTP query execution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definitions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Two MERLIN-authored semantic identifiers for one-hour mean air temperature and PM2.5; each records base property, statistical qualification, Procedure, unit, and project authorship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topology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 R16 source-to-consumer relation; battery percentage alone does not establish a battery identity, interface, or supply relationship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no selected command evidence belongs to this read/integration experiment</w:t>
            </w:r>
          </w:p>
        </w:tc>
      </w:tr>
    </w:tbl>
    <w:p>
      <w:pPr>
        <w:spacing w:after="40" w:before="0" w:line="60" w:lineRule="exact"/>
      </w:pPr>
    </w:p>
    <w:p>
      <w:pPr/>
      <w:r>
        <w:rPr/>
        <w:t>The time projections remain explicit authored transformations because Smart Citizen exposes fewer temporal distinctions than the Connected Systems Observation model requires. For current results, both observation times use the channel reading instant while experiment acquisition time remains separate integration provenance; for the on-demand aggregate products, the tuple timestamp remains the phenomenon-time anchor and the frozen HTTP response date is only a source-response proxy for result availability (MERLIN Project 2026m; 2026p). Neither policy claims that Smart Citizen natively supplied two independent observation times. Any stronger future source-side time evidence would supersede the projection rather than being forced into the existing rule.</w:t>
      </w:r>
    </w:p>
    <w:p>
      <w:pPr/>
      <w:r>
        <w:rPr/>
        <w:t>The aggregate-processing distinction is equally explicit after the currency audit. SC-SYS-PROC-001 represents a persistent software/process producer for the derived aggregate products, SC-PROC-AGG-001 describes the reusable one-hour-average method, and the frozen query/response records the particular acquisition/execution context. Later OSCAR research exposed the general importance of distinguishing reusable Procedure, process implementation, and execution/derivation activity, but MPSS v0.3.5 does not yet define a universal ProcessingExecution resource. The Smart Citizen design therefore preserves the distinction as provenance without inventing a new common resource class (MERLIN Project 2026p).</w:t>
      </w:r>
    </w:p>
    <w:p>
      <w:pPr/>
      <w:r>
        <w:rPr/>
        <w:t xml:space="preserve">Target-source inspection at the exact 52°North revision </w:t>
      </w:r>
      <w:r>
        <w:rPr>
          <w:rFonts w:ascii="DejaVu Sans Mono" w:hAnsi="DejaVu Sans Mono"/>
          <w:sz w:val="19"/>
        </w:rPr>
        <w:t>6ad75aa7...</w:t>
      </w:r>
      <w:r>
        <w:rPr/>
        <w:t xml:space="preserve"> also exposed bounded implementation constraints: no POST creation route for Property resources despite example/create logic, an observation schema more permissive than the approved standard about phenomenon time, future rather than current support for aggregate meta-datastreams, and incomplete cascade deletion (52°North Spatial Information Research GmbH n.d.-a; MERLIN Project 2026m). The first-load strategy therefore uses stable semantic definition URIs instead of requiring local Property creation, sends both observation times explicitly, uses ordinary DataStreams for aggregate products, and requires child-first cleanup. These are findings about the tested target implementation, not a blanket Connected Systems conformance assessment.</w:t>
      </w:r>
    </w:p>
    <w:p>
      <w:pPr>
        <w:pStyle w:val="Heading2"/>
      </w:pPr>
      <w:r>
        <w:rPr/>
        <w:t>Expected domain coverage</w:t>
      </w:r>
    </w:p>
    <w:p>
      <w:pPr>
        <w:pStyle w:val="PaperCaption"/>
        <w:keepNext/>
      </w:pPr>
      <w:r>
        <w:rPr>
          <w:b/>
        </w:rPr>
        <w:t>Table 14.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9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15.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10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10" name="Picture 10"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20"/>
                    <a:stretch>
                      <a:fillRect/>
                    </a:stretch>
                  </pic:blipFill>
                  <pic:spPr>
                    <a:xfrm>
                      <a:off x="0" y="0"/>
                      <a:ext cx="6217920" cy="3971071"/>
                    </a:xfrm>
                    <a:prstGeom prst="rect"/>
                  </pic:spPr>
                </pic:pic>
              </a:graphicData>
            </a:graphic>
          </wp:inline>
        </w:drawing>
      </w:r>
    </w:p>
    <w:p>
      <w:pPr>
        <w:pStyle w:val="PaperCaption"/>
        <w:keepNext w:val="0"/>
      </w:pPr>
      <w:r>
        <w:rPr>
          <w:b/>
        </w:rPr>
        <w:t>Figure 10.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11" name="Picture 11"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21"/>
                    <a:stretch>
                      <a:fillRect/>
                    </a:stretch>
                  </pic:blipFill>
                  <pic:spPr>
                    <a:xfrm>
                      <a:off x="0" y="0"/>
                      <a:ext cx="6217920" cy="3565588"/>
                    </a:xfrm>
                    <a:prstGeom prst="rect"/>
                  </pic:spPr>
                </pic:pic>
              </a:graphicData>
            </a:graphic>
          </wp:inline>
        </w:drawing>
      </w:r>
    </w:p>
    <w:p>
      <w:pPr>
        <w:pStyle w:val="PaperCaption"/>
        <w:keepNext w:val="0"/>
      </w:pPr>
      <w:r>
        <w:rPr>
          <w:b/>
        </w:rPr>
        <w:t>Figure 11.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10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16.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7 and 8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17. Planned figures and evidence status.</w:t>
      </w:r>
      <w:r>
        <w:rPr/>
        <w:t xml:space="preserve"> Figures 1–5 explain the research-to-design method, the accepted relationship model, and the experiment architecture before the paper introduces the Smart Citizen case. Figures 6–11 then identify the selected system, server, client, Smart Citizen mapping distinctions, and two first-party vendor-presentation examples. Figures 12–14 remain reserved for contemporaneous or executed evidence and will not be filled with simulated substitutes. The sequence intentionally separates the generic model from the particular source being used to test it.</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0.10</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Evidence-to-design reconciliation from donor research through explicit disposition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research-control diagram based on the current currency model</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Core MPSS relationship model R01–R12</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Communications, representation-provenance and power relationships R13–R17</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responsibility and lifecycle relationships R18–R20</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experiment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experimental-flow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Citizen-specific model/subject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mapping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audited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11 Results to be reported</w:t>
      </w:r>
    </w:p>
    <w:p>
      <w:pPr/>
      <w:r>
        <w:rPr/>
        <w:t>Phases 1–4 now provide reportable source, mapping, design, and model-currency results, but the end-to-end integration remains incomplete. The experiment froze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A subsequent corrective audit compared those phases against MPSS v0.3.5 and the wider research corpus rather than the older v0.3-era source-selection summary (MERLIN Project 2026p). No adapter execution, server create/retrieve result, connected Glaux result, task-time improvement, or user outcome is reported.</w:t>
      </w:r>
    </w:p>
    <w:p>
      <w:pPr/>
      <w:r>
        <w:rPr/>
        <w:t>The currency audit found a mixed but bounded result: Phases 1–2 remain valid source evidence, Phase 3 retains its core semantic decisions with repaired later-donor traceability, and Phase 4 retains its resource count while adding accepted R15 representation-source provenance and clarifying process versus execution provenance. That outcome is stronger evidence than either assuming all prior work was current or discarding it wholesale. If a later donor study had contradicted a Smart Citizen mapping materially, the audit method required a REPLACE or similarly explicit disposition rather than preserving the mapping for convenience. The current adapter authority is therefore the audited combination of mapping ledger, Phase 4 graph, and currency audit, not the superseded paper narrative.</w:t>
      </w:r>
    </w:p>
    <w:p>
      <w:pPr/>
      <w:r>
        <w:rPr/>
        <w:t>The negative-resource findings remain substantive.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public location metadata does not establish a Deployment; and environmental SamplingFeatures are omitted because the source does not identify defensible sample features. Later ISA, SAPIENT, The Open Group SOSA, OMS, and foundational-semantics work generally reinforce these identity, subject, mediation, and evidence boundaries rather than overturning them (MERLIN Project 2026p). These absences are evidence-backed design outcomes rather than implementation incompleteness.</w:t>
      </w:r>
    </w:p>
    <w:p>
      <w:pPr/>
      <w:r>
        <w:rPr/>
        <w:t>The aggregate histories also show why processing provenance changes the resource graph. The one-hour averages are assigned to a persistent process System and reusable aggregation Procedure rather than being credited directly to the physical kit, while the individual HTTP query/response remains execution/integration provenance rather than another common resource. Current observations use a disclosed coincident-time projection and aggregate observations use a source-response result-time proxy because Smart Citizen supplies fewer time distinctions than CSAPI requires. The next reportable evidence must come from deterministic adapter output tested against this audited design.</w:t>
      </w:r>
    </w:p>
    <w:p>
      <w:pPr>
        <w:pStyle w:val="Heading1"/>
      </w:pPr>
      <w:r>
        <w:rPr/>
        <w:t>12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The audit strengthens that conclusion because later donor studies distinguish physical identity from sender/proxy identity, declared capability from current state, and observations from administrative findings rather than supplying missing Smart Citizen facts (MERLIN Project 2026p). Documentary model enrichment must therefore remain separate from observations of the particular installation.</w:t>
      </w:r>
    </w:p>
    <w:p>
      <w:pPr/>
      <w:r>
        <w:rPr/>
        <w:t>The broader model is also intentionally more mature than a loose donor list and less mature than a completed ontology or externally adopted profile. MPSS v0.3.5 is the accepted technical baseline for this experiment, while the current research corpus retains accepted, rejected, deferred, conditional, and source-gated findings rather than treating every investigated standard as an obligation (MERLIN Project 2026n; 2026o; 2026q; 2026r). This distinction is essential because later research can improve the model without requiring perpetual architectural reset, while real implementation failures can feed evidence back into the reconciliation process. The Smart Citizen experiment is one such implementation test, not the final proof of the whole model.</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domain-model adequacy, and operator benefit remain separate evidence questions. The study will retain the distinction among native source meanings, accepted profile rules, residual research, target implementation behavior, authored transformations, and client presentation.</w:t>
      </w:r>
    </w:p>
    <w:p>
      <w:pPr>
        <w:pStyle w:val="Heading1"/>
      </w:pPr>
      <w:r>
        <w:rPr/>
        <w:t>13 Reproducibility and document maintenance</w:t>
      </w:r>
    </w:p>
    <w:p>
      <w:pPr/>
      <w:r>
        <w:rPr/>
        <w:t>The manuscript, appendices, figures, code listings, reference metadata, publication manifest, and model-currency audit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evidence-bearing paper revision should add actual deterministic adapter results after the Phase 5 review gate; executed server relationships and source-to-display traces remain later evidence and must not be backfilled from the Phase 4 design alone.</w:t>
      </w:r>
    </w:p>
    <w:p>
      <w:pPr>
        <w:pStyle w:val="Heading1"/>
      </w:pPr>
      <w:r>
        <w:rPr/>
        <w:t>14 Conclusion</w:t>
      </w:r>
    </w:p>
    <w:p>
      <w:pPr/>
      <w:r>
        <w:rPr/>
        <w:t>This study now has an explicit and audited answer to the model-currency problem that surfaced during paper review. The Smart Citizen experiment was not designed wholly against the obsolete pre-ISA/pre-SAPIENT model: MPSS v0.3.5 is the accepted technical baseline and already contains later owner-approved refinements, while the wider research corpus remains a separately controlled body of accepted, rejected, deferred, conditional, and source-gated evidence (MERLIN Project 2026o; 2026p). The corrective audit retained Phases 1–2, retained the core Phase 3 semantics with improved donor traceability, and retained the Phase 4 resource count while correcting representation-source provenance and processing/execution wording. That result does not prove the DIM/Profile is finished; it establishes a defensible current baseline for the next implementation test.</w:t>
      </w:r>
    </w:p>
    <w:p>
      <w:pPr/>
      <w:r>
        <w:rPr/>
        <w:t>The next question is whether a deterministic adapter can emit exactly the audited graph from the frozen Smart Citizen specimen without adding unsupported semantics or dropping accepted profile content. That is the Phase 5 question, and it remains separate from Phase 6 server publication and later Glaux presentation. No server resource, user-interface result, or interoperability success is claimed merely because the mapping and graph are now current with the accepted model. Later execution findings will be fed back through the same evidence-to-design disposition process rather than allowed to redefine the model silently in code.</w:t>
      </w:r>
    </w:p>
    <w:p>
      <w:pPr>
        <w:pStyle w:val="Heading1"/>
      </w:pPr>
      <w:r>
        <w:rPr/>
        <w:t>Appendix A Acronyms and abbreviations</w:t>
      </w:r>
    </w:p>
    <w:p>
      <w:pPr/>
      <w:r>
        <w:rPr/>
        <w:t>This appendix provides one place to recover recurring shorthand after the paper has established its argument in full words near first substantive use.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AAS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Asset Administration Shell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I-ADOPT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InteroperAble Descriptions of Observable Property Terminology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ISA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Integrated Sensor Architecture; Army sensor-architecture source family studied by the project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MIMOSA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Machinery Information Management Open Systems Alliance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Observations, Measurements and Samples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OSCAR</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Project/application name used by the referenced radiation-screening implementation; this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OPC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Open Platform Communications; used here principally in the OPC UA device-model family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OPC UA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Platform Communications Unified Architecture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Open Standard for Unattended Sensors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PA-DIM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Process Automation Device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SAPIENT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BSI Flex 335 source-standard name used by the project; this paper does not invent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SNRA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Network Reference Architecture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TEDS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Transducer Electronic Data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UCUM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Unified Code for Units of Measure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Semantic Web for Earth and Environmental Terminology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IEEE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Institute of Electrical and Electronics Engineers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R01-R20</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Local MPSS relationship/binding identifiers used to trace domain meaning into selected OGC representations; they are not OGC-native relationship names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Unified Modeling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Decibel referenced to one milliwatt</w:t>
            </w:r>
          </w:p>
        </w:tc>
      </w:tr>
    </w:tbl>
    <w:p>
      <w:pPr>
        <w:spacing w:after="40" w:before="0" w:line="60" w:lineRule="exact"/>
      </w:pPr>
    </w:p>
    <w:p>
      <w:pPr>
        <w:pStyle w:val="Heading1"/>
      </w:pPr>
      <w:r>
        <w:rPr/>
        <w:t>Appendix B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MERLIN Project. 2026n. </w:t>
      </w:r>
      <w:r>
        <w:rPr>
          <w:i/>
        </w:rPr>
        <w:t>Domain Information Models and CSAPI Integration: Engineering Lineage, System-Family Applicability, and Narrative Annotated Bibliography</w:t>
      </w:r>
      <w:r>
        <w:rPr/>
        <w:t>. Version 0.10. October 22. Project research consolidation. https://github.com/OS4CSAPI/glaux-client/blob/work/details-view-20261023/Docs/Research/Bibliography/MERLIN_Domain_Information_Models_Annotated_Bibliography_v0.10_22OCT2026.docx.</w:t>
      </w:r>
    </w:p>
    <w:p>
      <w:pPr>
        <w:pStyle w:val="PaperReference"/>
      </w:pPr>
      <w:r>
        <w:rPr/>
        <w:t>MERLIN Project. 2026o. “MERLIN DIM and MPSS Continuity.” October 24. Repository continuity checkpoint. https://github.com/OS4CSAPI/glaux-client/blob/work/details-view-20261023/Docs/Plans/CONTINUITY.md.</w:t>
      </w:r>
    </w:p>
    <w:p>
      <w:pPr>
        <w:pStyle w:val="PaperReference"/>
      </w:pPr>
      <w:r>
        <w:rPr/>
        <w:t>MERLIN Project. 2026p. “Smart Citizen Model Currency and Experiment Audit.” October 25. Experiment workbook corrective audit. https://github.com/OS4CSAPI/glaux-client/blob/work/details-view-20261023/Docs/Research/Studies/Smart_Citizen/Workbook/06_MODEL_CURRENCY_AUDIT.md.</w:t>
      </w:r>
    </w:p>
    <w:p>
      <w:pPr>
        <w:pStyle w:val="PaperReference"/>
      </w:pPr>
      <w:r>
        <w:rPr/>
        <w:t xml:space="preserve">MERLIN Project. 2026q. </w:t>
      </w:r>
      <w:r>
        <w:rPr>
          <w:i/>
        </w:rPr>
        <w:t>MERLIN MPSS Evidence-to-Design Update Plan</w:t>
      </w:r>
      <w:r>
        <w:rPr/>
        <w:t>. Version 1.6. October 22. Preserved source-continuity plan. https://github.com/OS4CSAPI/glaux-client/blob/work/details-view-20261023/Docs/Plans/Source_Continuity/MERLIN_MPSS_Evidence_to_Design_Update_Plan_v1.6_22OCT2026.docx.</w:t>
      </w:r>
    </w:p>
    <w:p>
      <w:pPr>
        <w:pStyle w:val="PaperReference"/>
      </w:pPr>
      <w:r>
        <w:rPr/>
        <w:t xml:space="preserve">MERLIN Project. 2026r. </w:t>
      </w:r>
      <w:r>
        <w:rPr>
          <w:i/>
        </w:rPr>
        <w:t>PITON: MERLIN MPSS Integration Continuity</w:t>
      </w:r>
      <w:r>
        <w:rPr/>
        <w:t>. Version 4.6. October 22. Preserved source-continuity handoff. https://github.com/OS4CSAPI/glaux-client/blob/work/details-view-20261023/Docs/Plans/Source_Continuity/PITON_MERLIN_MPSS_Integration_Continuity_v4.6_22OCT2026.docx.</w:t>
      </w:r>
    </w:p>
    <w:p>
      <w:pPr>
        <w:pStyle w:val="PaperReference"/>
      </w:pPr>
      <w:r>
        <w:rPr/>
        <w:t xml:space="preserve">MERLIN Project. 2026s. </w:t>
      </w:r>
      <w:r>
        <w:rPr>
          <w:i/>
        </w:rPr>
        <w:t>OSCAR Mapped to MPSS: Worked Mapping and Residual Standards Assessment</w:t>
      </w:r>
      <w:r>
        <w:rPr/>
        <w:t>. Version 1.0. October 22. Bounded research and residual assessment. https://github.com/OS4CSAPI/glaux-client/blob/work/details-view-20261023/Docs/Research/Reports/MERLIN_OSCAR_Worked_Mapping_and_Residual_Standards_Assessment_v1.0_22OCT2026.docx.</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0.10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{"format":"glaux-paper-inputs-v1","sha256":"9eeded5b8b8ac713801737df38c36fb9b26583a21898efea6fcb0e50fadd5030"}</dc:description>
  <cp:lastModifiedBy/>
  <cp:revision>1</cp:revision>
  <dcterms:created xsi:type="dcterms:W3CDTF">2026-10-25T00:00:00Z</dcterms:created>
  <dcterms:modified xsi:type="dcterms:W3CDTF">2026-10-25T00:00:00Z</dcterms:modified>
  <cp:category/>
  <cp:version>0.10</cp:version>
</cp:coreProperties>
</file>