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0.9 | 25 October 2026 | Study protocol with reviewed Phase 1–4 evidence and explicit DIM/Profile architecture</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system from the subject it observes, a source-reported status from an interpretation of that status, and a direct reading from a platform-derived product. This paper defines and advances a Smart Citizen experiment using public source data, an authored adapter, an Open Geospatial Consortium (OGC) API — Connected Systems (CSAPI) service, and the Glaux client to evaluate the MERLIN domain information model (DIM) and Managed Physical Sensing Systems (MPSS) profile. Each consequential mapping is required to identify its native assertion, underlying domain concept, donor concepts, profile binding, standard carrier, authored transformation, presentation implication, and review outcome.</w:t>
      </w:r>
    </w:p>
    <w:p>
      <w:pPr/>
      <w:r>
        <w:rPr/>
        <w:t>Phases 1–4 have now frozen a reproducible public specimen, characterized its native identities and source semantics, reviewed nine current-state plus two aggregate-history mappings, and designed the connected CSAPI resource graph without writing to the target server. This revision makes the object of evaluation explicit by describing the MERLIN domain information model, the MPSS application-profile and binding layers, their eight whole-system information subjects, the standards-reuse method behind them, and the R01–R20 relationship framework before the experimental apparatus is introduced (MERLIN Project 2026a). The adapter, CSAPI publication and round trip, connected Glaux traversal, and matched generic/profile-aware interface comparison remain unexecuted, so no interoperability or operator-benefit result is claimed.</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TRSS is retained as the source-system name used by the project rather than expanded here without authoritative support. The subsequent domain-model work expanded the inquiry from individual manufacturer screens to the physical sensing system in employment: its identity, equipment, functions, deployment, configuration, communications, power, and lifecycle. The retained Managed Physical Sensing Systems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Universal Serial Bus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domain information model (DIM) and MPSS. Their presence in model documentation does not establish a verified component inventory for an individual installation.</w:t>
      </w:r>
    </w:p>
    <w:p>
      <w:pPr/>
      <w:r>
        <w:rPr/>
        <w:t>The selected specimen is public Smart Citizen registration 19639. A formal capture made on 25 October 2026 at 02:43:48 Coordinated Universal Time (UTC) retained the complete Device response, response headers, and bounded temperature and PM2.5 histories with request Uniform Resource Locators (URLs) and Secure Hash Algorithm 256-bit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received signal strength indication (RSSI), and SD-card indication. The registration and reported model identify the selected data specimen, but enduring physical identity and installed configuration remain separate evidence questions.</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1–4 source, mapping, and resource-design work;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maintained while the experiment proceeds rather than being written only before execution. Source acquisition, native characterization and the first mapping review are now executed and documented, while adapter publication, CSAPI round-trip testing and client comparison remain future phases (MERLIN Project 2026k; 2026l). Public-data integration still precedes hardware acquisition, and an owned kit remains a later route to physical installation and lifecycle evidence (MERLIN Project 2026e). The frozen specimen provides deterministic replay evidence while any later live acquisition is recorded separately.</w:t>
      </w:r>
    </w:p>
    <w:p>
      <w:pPr>
        <w:pStyle w:val="Heading1"/>
      </w:pPr>
      <w:r>
        <w:rPr/>
        <w:t>2 Acronyms and abbreviations</w:t>
      </w:r>
    </w:p>
    <w:p>
      <w:pPr/>
      <w:r>
        <w:rPr/>
        <w:t>The paper expands uncommon acronyms on first substantive use where practical, but this section provides one place to recover the meaning without searching backward through the text. It includes project shorthand, standards organizations, technical formats, and a few measurement abbreviations that recur in the experiment. Product/model identifiers such as SHT31, SEN5X, and MPL3115A2 are model names rather than acronyms and are therefore not expanded as if they were abbreviations. Where a source uses a particular expansion, the paper preserves that source wording instead of substituting a more familiar variant.</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Acronym / shorthand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Expansion or meaning in this paper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Programming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OGC API — Connected Systems; project shorthand used for the Connected Systems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Cascading Style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Comma-Separated Values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DGIWG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Defence Geospatial Information Working Group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Domain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GEMET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General Multilingual Environmental Thesaurus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HTTP</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Hypertext Transfer Protocol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JCGM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Joint Committee for Guides in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JSON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JavaScript Object Notation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MERLIN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Project name used by this study;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MPSS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Managed Physical Sensing Systems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NIST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National Institute of Standards and Technology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OGC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Geospatial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OS4CSAPI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Repository/organization identifier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PBI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 Backlog Item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PM2.5</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Particulate matter in the source category below 2.5 micrometres in size; common environmental shorthand rather than an acronym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PROV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 provenance family/model shorthand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QUDT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Quantities, Units, Dimensions and Types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R01-R20</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Local MPSS relationship/binding identifiers used to trace domain meaning into selected OGC representations; they are not OGC-native relationship names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RFC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Request for Comments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Received signal strength indication; Smart Citizen defines it as a measurement of power present in a received radio signal (Smart Citizen n.d.-d)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SCK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SDK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Software Development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SHA-256</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Secure Hash Algorithm 256-bit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SensorML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Model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Observation, Sample, and Actuator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SSN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Sensor Network</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SWE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Web Enablement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TRSS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Source-system name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User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Unique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URI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Uniform Resource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URL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Uniform Resource Locator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USB</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Universal Serial Bus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UTC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Coordinated Universal 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Ultraviolet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Universally Unique IDentifier; UUID version 5 is the name-based form used for deterministic Phase 4 study identities (Davis et al. 2024)</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VIM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International Vocabulary of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W3C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World Wide Web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dBA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A-weighted decibel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dBm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Decibel referenced to one milliwatt</w:t>
            </w:r>
          </w:p>
        </w:tc>
      </w:tr>
    </w:tbl>
    <w:p>
      <w:pPr>
        <w:spacing w:after="40" w:before="0" w:line="60" w:lineRule="exact"/>
      </w:pPr>
    </w:p>
    <w:p>
      <w:pPr>
        <w:pStyle w:val="Heading1"/>
      </w:pPr>
      <w:r>
        <w:rPr/>
        <w:t>3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the World Wide Web Consortium (W3C) PROV data model defines provenance generally, while this study applies that concept to source, processing and integration provenance; the National Institute of Standards and Technology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International Vocabulary of Metrology (VIM)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Received signal strength indication (RSSI) therefore remains untyped in the reviewed Phase 4 graph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uses a documented coincident-time projection for current readings and a qualified source-response result-time proxy for on-demand aggregate products; acquisition time remains separate integration provenance (MERLIN Project 2026m).</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4 The MERLIN domain information model and MPSS profile</w:t>
      </w:r>
    </w:p>
    <w:p>
      <w:pPr/>
      <w:r>
        <w:rPr/>
        <w:t>The experiment evaluates the MERLIN domain information model and Managed Physical Sensing Systems profile rather than treating them as unexplained background assumptions. The retained technical baseline is MPSS v0.3.5, dated 17 October 2026, which integrates the domain organization with an initial OGC binding while preserving the distinction between source-derived meaning, reused external concepts, and MERLIN-authored rules (MERLIN Project 2026a). The domain model contributes the protocol-neutral concepts and relationships needed to understand a managed sensing system; the profile and binding select how participating implementations express those meanings using the chosen standards stack. This section summarizes that architecture so later Smart Citizen mappings can be read as tests of a defined model rather than as isolated data-conversion choices.</w:t>
      </w:r>
    </w:p>
    <w:p>
      <w:pPr>
        <w:pStyle w:val="Heading2"/>
      </w:pPr>
      <w:r>
        <w:rPr/>
        <w:t>Why this work exists</w:t>
      </w:r>
    </w:p>
    <w:p>
      <w:pPr/>
      <w:r>
        <w:rPr/>
        <w:t>The work originated in the Resource Details problem: heterogeneous sensing systems expose useful information through different manufacturer screens, manuals, identifiers, field names, and operational workflows. Those sources can show what an operator needs to know, but copying each supplier's organization into a common client would preserve vendor silos rather than establish reusable meaning. The investigation therefore broadened from individual screens to the physical sensing system in employment, including its identity, equipment, sensing functions, deployment, configuration, communications, power arrangement, condition, and history (MERLIN Project 2026a, secs. 1, 4). Smart Citizen is an independent real-source test of that broader model, not the source from which the model itself was derived.</w:t>
      </w:r>
    </w:p>
    <w:p>
      <w:pPr/>
      <w:r>
        <w:rPr/>
        <w:t>The base OGC standards already provide capable resource and encoding mechanisms, so the purpose of MPSS is not to invent another sensor API. The missing problem is domain organization: an integrator still needs a defensible way to distinguish a model from an instance, equipment from a sensing function, the producer from the observed subject, a deployment from persistent equipment identity, or a battery reading from a power-supply relationship. MPSS attempts to make those distinctions reusable across sensing families so clients do not have to reconstruct the same domain logic supplier by supplier. Its value therefore depends on whether the resulting organization preserves real source meaning and remains implementable through the base standards rather than merely sounding plausible on paper.</w:t>
      </w:r>
    </w:p>
    <w:p>
      <w:pPr>
        <w:pStyle w:val="Heading2"/>
      </w:pPr>
      <w:r>
        <w:rPr/>
        <w:t>Domain model, application profile, binding, and implementation</w:t>
      </w:r>
    </w:p>
    <w:p>
      <w:pPr/>
      <w:r>
        <w:rPr/>
        <w:t>The retained profile explicitly separates a domain model, an application profile, and a binding, because those artifacts answer different questions (MERLIN Project 2026a, sec. 2). For this experiment, implementation and client behavior are kept as a fourth layer so execution evidence is not confused with the design contract itself. This separation is important when judging success: a sound domain concept can be encoded incorrectly, a correct encoding can be unsupported by one server, and a correctly retrieved representation can still be presented poorly.</w:t>
      </w:r>
    </w:p>
    <w:p>
      <w:pPr>
        <w:pStyle w:val="PaperCaption"/>
        <w:keepNext/>
      </w:pPr>
      <w:r>
        <w:rPr>
          <w:b/>
        </w:rPr>
        <w:t>Table 2. Layers of the MERLIN DIM/Profile architecture.</w:t>
      </w:r>
      <w:r>
        <w:rPr/>
        <w:t xml:space="preserve"> The four layers below distinguish conceptual meaning from the rules and software that realize it. They are complementary rather than interchangeable, and none of them by itself constitutes the whole MPSS result. The examples summarize the retained profile's architecture rather than introduce new requirements (MERLIN Project 2026a, secs. 2, 5).</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it answers</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MERLIN/MPSS role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What it does not establish</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Domain information model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things, properties, relationships, and distinctions matter in this domain?</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Defines concepts such as persistent System identity, reusable model description, equipment/function relationships, deployment participation, observation context, power relationships, and lifecycle history</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 particular API route, JSON shape, server implementation, or user-interface layout</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profile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Which concepts, options, constraints, and obligations are shared for this purpose?</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Selects the managed-physical-sensing-system scope, reusable domain groups, reference behavior, and producer/consumer expectations</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Wholesale implementation of every donor standard or identical content for every device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binding</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How are selected meanings carried in the chosen technical stack?</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Maps domain meaning to CSAPI resources/links, SensorML descriptions, SWE components, definition URIs, and dynamic resources</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Device-protocol behavior, analytics execution, storage architecture, or operator-screen design</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Implementation and client</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software produce, preserve, retrieve, interpret, and present the agreed representations?</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Adapter, CSAPI service, standards library, profile interpreter, and Glaux presentation become testable software boundaries</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Proof that the underlying domain model is correct merely because code runs</w:t>
            </w:r>
          </w:p>
        </w:tc>
      </w:tr>
    </w:tbl>
    <w:p>
      <w:pPr>
        <w:spacing w:after="40" w:before="0" w:line="60" w:lineRule="exact"/>
      </w:pPr>
    </w:p>
    <w:p>
      <w:pPr/>
      <w:r>
        <w:rPr/>
        <w:t>A profile-aware implementation therefore does more than attach a label to otherwise arbitrary JSON. It implements the selected base-standard representations plus the profile's explicit content, reference, and relationship rules, while any source-native protocol remains a separately identified integration responsibility. Conversely, citing a donor concept or translating one of its meanings into SensorML does not mean the donor's complete runtime or protocol stack has been implemented. This paper preserves those distinctions when it later describes source mappings and experimental results.</w:t>
      </w:r>
    </w:p>
    <w:p>
      <w:pPr>
        <w:pStyle w:val="Heading2"/>
      </w:pPr>
      <w:r>
        <w:rPr/>
        <w:t>One whole-system model organized through eight information subjects</w:t>
      </w:r>
    </w:p>
    <w:p>
      <w:pPr/>
      <w:r>
        <w:rPr/>
        <w:t>The MPSS scope centers on an identifiable physical sensing system whose useful description includes the equipment and capabilities that make it work and the deployment or other managed arrangement in which it is employed. Management can be local, remote, gateway-mediated, or maintained through responsible-party records; the family is not restricted to military equipment, continuous connectivity, battery power, or direct Internet addressing (MERLIN Project 2026a, secs. 1.1-1.4). The eight information subjects organize the potential whole-system description, while any one source or device may populate only the portions for which evidence actually exists. They are information responsibilities, not eight new services or a mandatory eight-tab user interface.</w:t>
      </w:r>
    </w:p>
    <w:p>
      <w:pPr>
        <w:pStyle w:val="PaperCaption"/>
        <w:keepNext/>
      </w:pPr>
      <w:r>
        <w:rPr>
          <w:b/>
        </w:rPr>
        <w:t>Table 3. Eight connected information subjects in the managed sensing-system model.</w:t>
      </w:r>
      <w:r>
        <w:rPr/>
        <w:t xml:space="preserve"> The subjects describe different but related questions about the same employed sensing system. They are broad enough to support family-specific detail without forcing every system into an identical field list. Missing source evidence remains missing rather than being manufactured to fill a subject area (MERLIN Project 2026a, sec. 4).</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question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model, and technical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is this system, what reusable model or kind describes it, and what technical information is needed to understand 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composition, and physical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sensing and supporting equipment participates, and how is that equipment physically related?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Sensing capabilities, performance, and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can the system sense or do, under what relevant conditions, and what information products does it provide?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emplacement, location, and responsibility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Where, why, when, and under whose responsibility is the system employed?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Operating configuration, modes, and supported actions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How is the system configured, what modes/settings matter, and what actions can legitimately be requested?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connectivity, and access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Through what interfaces, links, gateways, or access paths does the system exchange information or commands?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sources and operating power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powers the equipment, how are sources and consumers related, and what power measurements or service history are relevant?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service, recovery, and lifecycle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condition/history explains the system's present state, and what installation, service, replacement, recovery, or redeployment events matter?</w:t>
            </w:r>
          </w:p>
        </w:tc>
      </w:tr>
    </w:tbl>
    <w:p>
      <w:pPr>
        <w:spacing w:after="40" w:before="0" w:line="60" w:lineRule="exact"/>
      </w:pPr>
    </w:p>
    <w:p>
      <w:pPr>
        <w:keepNext/>
        <w:spacing w:after="40"/>
        <w:jc w:val="center"/>
      </w:pPr>
      <w:r>
        <w:drawing>
          <wp:inline xmlns:a="http://schemas.openxmlformats.org/drawingml/2006/main" xmlns:pic="http://schemas.openxmlformats.org/drawingml/2006/picture">
            <wp:extent cx="6217920" cy="4457118"/>
            <wp:docPr id="2" name="Picture 2" descr="Conceptual architecture showing research and donor evidence informing a MERLIN domain model organized through eight information subjects, then an MPSS application profile and OGC binding, OGC Connected Systems/SensorML/SWE representations, and generic versus profile-aware clients" title="Conceptual architecture showing research and donor evidence informing a MERLIN domain model organized through eight information subjects, then an MPSS application profile and OGC binding, OGC Connected Systems/SensorML/SWE representations, and generic versus profile-aware clients"/>
            <wp:cNvGraphicFramePr>
              <a:graphicFrameLocks noChangeAspect="1"/>
            </wp:cNvGraphicFramePr>
            <a:graphic>
              <a:graphicData uri="http://schemas.openxmlformats.org/drawingml/2006/picture">
                <pic:pic>
                  <pic:nvPicPr>
                    <pic:cNvPr id="0" name="figure_02_mpss_architecture.png"/>
                    <pic:cNvPicPr/>
                  </pic:nvPicPr>
                  <pic:blipFill>
                    <a:blip r:embed="rId12"/>
                    <a:stretch>
                      <a:fillRect/>
                    </a:stretch>
                  </pic:blipFill>
                  <pic:spPr>
                    <a:xfrm>
                      <a:off x="0" y="0"/>
                      <a:ext cx="6217920" cy="4457118"/>
                    </a:xfrm>
                    <a:prstGeom prst="rect"/>
                  </pic:spPr>
                </pic:pic>
              </a:graphicData>
            </a:graphic>
          </wp:inline>
        </w:drawing>
      </w:r>
    </w:p>
    <w:p>
      <w:pPr>
        <w:pStyle w:val="PaperCaption"/>
        <w:keepNext w:val="0"/>
      </w:pPr>
      <w:r>
        <w:rPr>
          <w:b/>
        </w:rPr>
        <w:t>Figure 2. How the MERLIN DIM and MPSS profile fit together.</w:t>
      </w:r>
      <w:r>
        <w:rPr/>
        <w:t xml:space="preserve"> Domain research and operator/vendor evidence inform a protocol-neutral model of the sensing system in employment; MPSS then selects purpose-specific constraints and bindings, using native OGC mechanisms first and adding profile-owned definitions only where needed. The resulting CSAPI, SensorML, and SWE Common representations remain available to generic standards clients, while profile-aware clients can use the documented relationships and group definitions to reconstruct a richer whole-system view. The figure is conceptual: it is not a class diagram, API topology, or claim that every donor standard is implemented (MERLIN Project 2026a).</w:t>
      </w:r>
    </w:p>
    <w:p>
      <w:pPr>
        <w:pStyle w:val="Heading2"/>
      </w:pPr>
      <w:r>
        <w:rPr/>
        <w:t>Where the model came from: reuse rather than reinvention</w:t>
      </w:r>
    </w:p>
    <w:p>
      <w:pPr/>
      <w:r>
        <w:rPr/>
        <w:t>The model was developed through a deliberate standards and information-model review rather than by promoting the first vendor schema or screen layout into a universal design. Different source families were treated as donors for the areas in which they provide useful established concepts, constraints, or implementation precedent, and their inspection limits were retained rather than erased by the synthesis (MERLIN Project 2026a, secs. 3-4). That approach allows the common model to reuse mature work while keeping MERLIN-authored OGC projections visible as project decisions. It also means that a useful concept may inform MPSS even when the originating supplier, protocol, or standards community does not natively implement CSAPI.</w:t>
      </w:r>
    </w:p>
    <w:p>
      <w:pPr>
        <w:pStyle w:val="PaperCaption"/>
        <w:keepNext/>
      </w:pPr>
      <w:r>
        <w:rPr>
          <w:b/>
        </w:rPr>
        <w:t>Table 4. Principal donor responsibilities behind the profile architecture.</w:t>
      </w:r>
      <w:r>
        <w:rPr/>
        <w:t xml:space="preserve"> The table summarizes the bounded roles assigned in the retained profile rather than listing standards that every implementation must implement. A donor can contribute a concept, constraint, comparison point, or profiling precedent without its whole protocol or runtime becoming part of MPSS. Detailed edition, locator, and evidence limits remain in the profile's research traceability and are carried into individual mappings where those concepts are actually invoked (MERLIN Project 2026a, secs. 3-5).</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family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Bounded contribution to the model/profile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API - Connected Systems, SensorML, and SWE Common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Base resource, relationship, descriptive, dynamic-data, command, semantic-definition, unit, and encoding mechanisms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ISO/IEC sensor-network reference architecture and Open Standard for Unattended Sensors material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Whole-system coverage, node/gateway context, unattended-sensor asset/capability examples, and family-level comparison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Internet Engineering Task Force hardware, interface, and topology models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Hardware identity/revision concepts, interface layering, and network-node/link distinctions where those meanings apply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MIMOSA asset/lifecycle and installation/removal material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Asset continuity, changing associations, service/lifecycle events, and installation/removal concepts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Internet Engineering Task Force energy-management and battery models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Power-source, supply, metering, aggregation, battery, and energy-management distinctions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Industrial device, technical-data, hierarchy, and capability models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Alternative/complementary equipment, hierarchy, technical-description, and capability concepts used where they improve the common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Marine SensorML profiling work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Precedent for purpose-specific SensorML descriptions, shared vocabularies, and reusable model/instance conventions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Military information-model research</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Candidate operational organization, purpose, role, and mission detail when the base deployment description is insufficient</w:t>
            </w:r>
          </w:p>
        </w:tc>
      </w:tr>
    </w:tbl>
    <w:p>
      <w:pPr>
        <w:spacing w:after="40" w:before="0" w:line="60" w:lineRule="exact"/>
      </w:pPr>
    </w:p>
    <w:p>
      <w:pPr/>
      <w:r>
        <w:rPr/>
        <w:t>This donor model is intentionally not a standards shopping list. Each consequential reuse must still say whether MERLIN directly reuses a meaning, translates it into an OGC representation, uses it only as an interpretive constraint or precedent, or has not established equivalence. Native OGC mechanisms remain preferred when they already express the required relationship, and locally authored additions remain explicitly local rather than being attributed to the external source. The Smart Citizen experiment uses that same discipline when it traces every selected source assertion through the DIM, donor concepts, MPSS rule, standard carrier, and eventual presentation.</w:t>
      </w:r>
    </w:p>
    <w:p>
      <w:pPr>
        <w:pStyle w:val="Heading2"/>
      </w:pPr>
      <w:r>
        <w:rPr/>
        <w:t>How MPSS connects domain meaning to OGC representations</w:t>
      </w:r>
    </w:p>
    <w:p>
      <w:pPr/>
      <w:r>
        <w:rPr/>
        <w:t>The twenty R01-R20 identifiers are local profile relationship identifiers used to make the binding reviewable; they are not names assigned by OGC or another standards organization. Each relationship defines an intended domain meaning, identifies supporting source concepts, selects the applicable native OGC carrier where one exists, and states any additional rule authored by the profile (MERLIN Project 2026a, sec. 5). This makes the design inspectable at the relationship level rather than asking an implementer to infer semantics from labels or from the physical nesting of JSON. It also provides stable handles for findings: an implementation can support one relationship correctly while another remains provisional or unsupported.</w:t>
      </w:r>
    </w:p>
    <w:p>
      <w:pPr/>
      <w:r>
        <w:rPr/>
        <w:t xml:space="preserve">For example, R01 relates a particular System to the reusable description of its kind by using the Connected Systems system-kind relationship and SensorML </w:t>
      </w:r>
      <w:r>
        <w:rPr>
          <w:rFonts w:ascii="DejaVu Sans Mono" w:hAnsi="DejaVu Sans Mono"/>
          <w:sz w:val="19"/>
        </w:rPr>
        <w:t>typeOf</w:t>
      </w:r>
      <w:r>
        <w:rPr/>
        <w:t xml:space="preserve"> rather than inventing a second model-link mechanism. Other relationships connect equipment to functions, functions to products and settings, observations to their context, supported actions to control resources, communications equipment to interfaces/links/gateways, power sources to consumers, and lifecycle or assessment information to the affected subjects. Some of those associations are direct uses of existing OGC relationships, while others use SensorML/SWE content plus a profile-authored reference rule. The point of R01-R20 is therefore not the numbering itself but the explicit bridge from domain meaning to a concrete, attributable representation.</w:t>
      </w:r>
    </w:p>
    <w:p>
      <w:pPr/>
      <w:r>
        <w:rPr/>
        <w:t xml:space="preserve">MPSS also defines reusable group contracts for recognized content such as technical descriptions, equipment roles, sensing functions, function/output bindings, communications interfaces, communication links, gateway access, power associations, and assessment results. Those groups use native SensorML/SWE carriers and semantic definition identifiers, while the profile adds rules such as stable embedded identifiers and how references to embedded subjects are resolved (MERLIN Project 2026a, secs. 5.3-5.5). The profile can be advertised through the standard </w:t>
      </w:r>
      <w:r>
        <w:rPr>
          <w:rFonts w:ascii="DejaVu Sans Mono" w:hAnsi="DejaVu Sans Mono"/>
          <w:sz w:val="19"/>
        </w:rPr>
        <w:t>profile</w:t>
      </w:r>
      <w:r>
        <w:rPr/>
        <w:t xml:space="preserve"> link relation without changing the underlying representation's media type or inventing a second API. That mechanism tells a capable client that additional interpretation rules apply; it does not certify conformance or require a profile-unaware client to understand the richer organization.</w:t>
      </w:r>
    </w:p>
    <w:p>
      <w:pPr>
        <w:pStyle w:val="Heading2"/>
      </w:pPr>
      <w:r>
        <w:rPr/>
        <w:t>Generic access and profile-aware reconstruction</w:t>
      </w:r>
    </w:p>
    <w:p>
      <w:pPr/>
      <w:r>
        <w:rPr/>
        <w:t>The profile is intended to preserve competent base-standard access rather than make useful data visible only to MERLIN software. A generic client that understands the underlying OGC representations should still be able to inspect Systems, Procedures, Deployments, DataStreams, Observations, typed values, semantic definitions, units, and ordinary links to the extent it supports those standards. A profile-aware client can additionally recognize the MPSS group definitions and relationship rules and assemble those pieces into a coherent whole-system view without relying on supplier-specific labels (MERLIN Project 2026a, secs. 7-8). The experiment's generic-versus-profile-aware comparison is designed to test whether that extra organization adds value without weakening the generic condition.</w:t>
      </w:r>
    </w:p>
    <w:p>
      <w:pPr/>
      <w:r>
        <w:rPr/>
        <w:t>This distinction also separates information architecture from screen design. MPSS does not prescribe that the eight subjects become eight tabs, and the recovered 560 x 440 Resource Details frame is a project presentation baseline rather than a profile conformance requirement (MERLIN Project 2026d). Glaux therefore keeps standards capture, profile interpretation, and presentation as separate software layers, so a display decision cannot silently redefine the domain model. Sparse or ambiguous source data must remain sparse or ambiguous in both conditions; profile awareness is intended to organize supported meaning, not manufacture completeness.</w:t>
      </w:r>
    </w:p>
    <w:p>
      <w:pPr>
        <w:pStyle w:val="Heading1"/>
      </w:pPr>
      <w:r>
        <w:rPr/>
        <w:t>5 Technical standards baseline</w:t>
      </w:r>
    </w:p>
    <w:p>
      <w:pPr/>
      <w:r>
        <w:rPr/>
        <w:t>The MPSS design uses the OGC sensor and dynamic-data stack as its primary technical realization rather than replacing those standards with a new transport or top-level resource architecture. Open Geospatial Consortium (OGC) API - Connected Systems Part 1 supplies feature-resource mechanisms for Systems, Procedures, Deployments, and related subjects, while Part 2 addresses DataStreams, observation schemas, Observations, controls, commands, and other dynamic resources. These are approved standards in the inspected version 1.0 editions; a specific server must still be checked for the classes and operations it actually implements (Open Geospatial Consortium 2025a, secs. 7-15; 2025b, secs. 9-12). MPSS requirements therefore add a purpose-specific contract on top of the base specifications rather than replacing their conformance obligations.</w:t>
      </w:r>
    </w:p>
    <w:p>
      <w:pPr/>
      <w:r>
        <w:rPr/>
        <w:t>Sensor Model Language (SensorML) 3.0 provides rich descriptions of processes and physical systems, including outputs, configuration, components, capabilities, and related descriptive content. Sensor Web Enablement (SWE) Common 3.0 provides typed components, semantic definitions, units, structured values, and encoding mechanisms, with official JSON schemas supplying machine-readable structural constraints. These standards provide powerful representation mechanisms, but structural validity alone does not determine whether an integration has identified the correct subject, relationship, time meaning, or source provenance (Open Geospatial Consortium 2025c, secs. 8-9; 2025d, secs. 7-10; n.d.-a; n.d.-b). The Smart Citizen experiment therefore evaluates semantic preservation separately from schema acceptance.</w:t>
      </w:r>
    </w:p>
    <w:p>
      <w:pPr>
        <w:pStyle w:val="Heading2"/>
      </w:pPr>
      <w:r>
        <w:rPr/>
        <w:t>Power as a discriminating example</w:t>
      </w:r>
    </w:p>
    <w:p>
      <w:pPr/>
      <w:r>
        <w:rPr/>
        <w:t>Power illustrates why mapping requires more than matching labels. Request for Comments (RFC) 7326 distinguishes power-source, metering, and aggregation relationships, while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 A standards-grounded profile can therefore preserve a simple battery reading without pretending that the reading establishes the larger power arrangement.</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 This is representative of the broader method: a profile can define meaningful relationships without permitting an adapter to invent them when the source does not supply the necessary evidence.</w:t>
      </w:r>
    </w:p>
    <w:p>
      <w:pPr>
        <w:pStyle w:val="Heading1"/>
      </w:pPr>
      <w:r>
        <w:rPr/>
        <w:t>6 Experimental integration infrastructure</w:t>
      </w:r>
    </w:p>
    <w:p>
      <w:pPr>
        <w:pStyle w:val="Heading2"/>
      </w:pPr>
      <w:r>
        <w:rPr/>
        <w:t>Experimental CSAPI server</w:t>
      </w:r>
    </w:p>
    <w:p>
      <w:pPr>
        <w:pStyle w:val="Heading3"/>
      </w:pPr>
      <w:r>
        <w:rPr/>
        <w:t>Origin and implementation lineage</w:t>
      </w:r>
    </w:p>
    <w:p>
      <w:pPr/>
      <w:r>
        <w:rPr/>
        <w:t>pygeoapi is an open-source Python server implementation of the OGC API family, designed around a Hypertext Transfer Protocol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the initial Connected Systems API design and prototype were developed through several research projects and were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the native geospatial dependencies required by the implementation.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64-bit processor-architecture/native-dependency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3" name="Picture 3"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3"/>
                    <a:stretch>
                      <a:fillRect/>
                    </a:stretch>
                  </pic:blipFill>
                  <pic:spPr>
                    <a:xfrm>
                      <a:off x="0" y="0"/>
                      <a:ext cx="6217920" cy="4663440"/>
                    </a:xfrm>
                    <a:prstGeom prst="rect"/>
                  </pic:spPr>
                </pic:pic>
              </a:graphicData>
            </a:graphic>
          </wp:inline>
        </w:drawing>
      </w:r>
    </w:p>
    <w:p>
      <w:pPr>
        <w:pStyle w:val="PaperCaption"/>
        <w:keepNext w:val="0"/>
      </w:pPr>
      <w:r>
        <w:rPr>
          <w:b/>
        </w:rPr>
        <w:t>Figure 3.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5.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64-bit processor-architecture/native-dependency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software development kit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4" name="Picture 4"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4"/>
                    <a:stretch>
                      <a:fillRect/>
                    </a:stretch>
                  </pic:blipFill>
                  <pic:spPr>
                    <a:xfrm>
                      <a:off x="0" y="0"/>
                      <a:ext cx="6217920" cy="5078910"/>
                    </a:xfrm>
                    <a:prstGeom prst="rect"/>
                  </pic:spPr>
                </pic:pic>
              </a:graphicData>
            </a:graphic>
          </wp:inline>
        </w:drawing>
      </w:r>
    </w:p>
    <w:p>
      <w:pPr>
        <w:pStyle w:val="PaperCaption"/>
        <w:keepNext w:val="0"/>
      </w:pPr>
      <w:r>
        <w:rPr>
          <w:b/>
        </w:rPr>
        <w:t>Figure 4.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6.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 10 and any claim that Glaux reconstructed the Smart Citizen dataset from connected CSAPI resources remain pending experimental evidence.</w:t>
      </w:r>
    </w:p>
    <w:p>
      <w:pPr>
        <w:pStyle w:val="Heading1"/>
      </w:pPr>
      <w:r>
        <w:rPr/>
        <w:t>7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5" name="Picture 5"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5"/>
                    <a:stretch>
                      <a:fillRect/>
                    </a:stretch>
                  </pic:blipFill>
                  <pic:spPr>
                    <a:xfrm>
                      <a:off x="0" y="0"/>
                      <a:ext cx="6217920" cy="5285232"/>
                    </a:xfrm>
                    <a:prstGeom prst="rect"/>
                  </pic:spPr>
                </pic:pic>
              </a:graphicData>
            </a:graphic>
          </wp:inline>
        </w:drawing>
      </w:r>
    </w:p>
    <w:p>
      <w:pPr>
        <w:pStyle w:val="PaperCaption"/>
        <w:keepNext w:val="0"/>
      </w:pPr>
      <w:r>
        <w:rPr>
          <w:b/>
        </w:rPr>
        <w:t>Figure 5.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8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7.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9 Proposed dataset and mapping method</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6" name="Picture 6"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6"/>
                    <a:stretch>
                      <a:fillRect/>
                    </a:stretch>
                  </pic:blipFill>
                  <pic:spPr>
                    <a:xfrm>
                      <a:off x="0" y="0"/>
                      <a:ext cx="6217920" cy="5129784"/>
                    </a:xfrm>
                    <a:prstGeom prst="rect"/>
                  </pic:spPr>
                </pic:pic>
              </a:graphicData>
            </a:graphic>
          </wp:inline>
        </w:drawing>
      </w:r>
    </w:p>
    <w:p>
      <w:pPr>
        <w:pStyle w:val="PaperCaption"/>
        <w:keepNext w:val="0"/>
      </w:pPr>
      <w:r>
        <w:rPr>
          <w:b/>
        </w:rPr>
        <w:t>Figure 6.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8.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that Phase 1–3 gate is now a completed historical checkpoint.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owner subsequently accepted those findings and authorized the Phase 4 resource-graph design recorded below.</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Phase 4 supplies the processing System/Procedure and qualified time policy without inventing interval bounds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Phase 4 now supplies explicit phenomenon-time and result-time policies for the first load, and those authored projections are documented rather than inferred from the spelling of source timestamp fields (MERLIN Project 2026m). Complete request and response examples will be added only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xml:space="preserve">, rather than the adapter authoring that summary field directly (Open Geospatial Consortium 2025b, sec. 9.2).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source reading time as a disclosed coincident-time projection because Smart Citizen supplies no separate result-generation timestamp; experiment acquisition time remains separate provenance (MERLIN Project 2026m).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xml:space="preserve">. The source supplies no separate resultTime, so Phase 4 uses the same channel reading instant for </w:t>
      </w:r>
      <w:r>
        <w:rPr>
          <w:rFonts w:ascii="DejaVu Sans Mono" w:hAnsi="DejaVu Sans Mono"/>
          <w:sz w:val="19"/>
        </w:rPr>
        <w:t>phenomenonTime</w:t>
      </w:r>
      <w:r>
        <w:rPr/>
        <w:t xml:space="preserve"> and </w:t>
      </w:r>
      <w:r>
        <w:rPr>
          <w:rFonts w:ascii="DejaVu Sans Mono" w:hAnsi="DejaVu Sans Mono"/>
          <w:sz w:val="19"/>
        </w:rPr>
        <w:t>resultTime</w:t>
      </w:r>
      <w:r>
        <w:rPr/>
        <w:t xml:space="preserve"> as the disclosed coincident-time projection used for the other frozen current readings (MERLIN Project 2026m). This projection satisfies the target temporal structure without claiming that Smart Citizen supplied an independent second timestamp.</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Received signal strength indication (RSSI)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Citizen's source vocabulary expands RSSI as “received signal strength indication” and defines it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reviewed Phase 4 design keeps the optional DataStream </w:t>
      </w:r>
      <w:r>
        <w:rPr>
          <w:rFonts w:ascii="DejaVu Sans Mono" w:hAnsi="DejaVu Sans Mono"/>
          <w:sz w:val="19"/>
        </w:rPr>
        <w:t>type</w:t>
      </w:r>
      <w:r>
        <w:rPr/>
        <w:t xml:space="preserve"> unset because the source still does not establish that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Phase 4 now instantiates that distinction conceptually as a separate source-platform processing System and reusable aggregation Procedure while leaving actual target-server execution for later phases.</w:t>
      </w:r>
    </w:p>
    <w:p>
      <w:pPr/>
      <w:r>
        <w:rPr/>
        <w:t xml:space="preserve">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is invented from the request spelling. Phase 4 uses the frozen history response date as an explicitly qualified source-response proxy for </w:t>
      </w:r>
      <w:r>
        <w:rPr>
          <w:rFonts w:ascii="DejaVu Sans Mono" w:hAnsi="DejaVu Sans Mono"/>
          <w:sz w:val="19"/>
        </w:rPr>
        <w:t>resultTime</w:t>
      </w:r>
      <w:r>
        <w:rPr/>
        <w:t>, rather than pretending it is the internal computation-completion time (MERLIN Project 2026m). If the target server cannot preserve the processing distinction without distortion, omitting the aggregate products from the first load is preferable to presenting them as direct physical-kit output.</w:t>
      </w:r>
    </w:p>
    <w:p>
      <w:pPr>
        <w:pStyle w:val="Heading2"/>
      </w:pPr>
      <w:r>
        <w:rPr/>
        <w:t>Phase 4 reviewed Connected Systems resource graph</w:t>
      </w:r>
    </w:p>
    <w:p>
      <w:pPr/>
      <w:r>
        <w:rPr/>
        <w:t>Phase 4 converts the reviewed meanings into a concrete, reviewable Connected Systems resource graph without making any server writes (MERLIN Project 2026m). The deterministic first-load design contains two Systems, two Procedures, ten DataStreams with ten observation schemas, and fifty-six Observations: eight frozen current results plus twenty-four temperature and twenty-four PM2.5 aggregate results. The physical Smart Citizen case and the source-platform aggregation process are separate producing Systems, so a one-hour average is not silently attributed to the physical kit. Every created resource is traceable to a Phase 3 mapping, while unsupported topology is represented by deliberate absence rather than by placeholder resources.</w:t>
      </w:r>
    </w:p>
    <w:p>
      <w:pPr>
        <w:pStyle w:val="PaperCaption"/>
        <w:keepNext/>
      </w:pPr>
      <w:r>
        <w:rPr>
          <w:b/>
        </w:rPr>
        <w:t>Table 9. Phase 4 resource graph and negative design decisions.</w:t>
      </w:r>
      <w:r>
        <w:rPr/>
        <w:t xml:space="preserve"> The table summarizes the design that would be implemented by the adapter after this review gate. Study-owned System and Procedure identities use deterministic Universally Unique IDentifier version 5 (UUIDv5) URNs derived from documented project name strings; those identifiers identify MERLIN study representations rather than manufacturer-issued physical assets (Davis et al. 2024; MERLIN Project 2026m). The target graph deliberately omits resource types for which the source does not supply defensible identity or relationship evidence. These choices are design results, not executed server results.</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Design element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4 decision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sensing case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 CSAPI System representing the sensing-system instance known through registration 19639; Smart Citizen ID/UUID remain source identifiers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Reusable product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One Procedure for the SCK2.3 model/datasheet; linked through System kind / SensorML </w:t>
            </w:r>
            <w:r>
              <w:rPr>
                <w:rFonts w:ascii="DejaVu Sans Mono" w:hAnsi="DejaVu Sans Mono"/>
                <w:sz w:val="20"/>
              </w:rPr>
              <w:t>typeOf</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Eight DataStreams/schemas for temperature, PM2.5, humidity, pressure, A-weighted sound level, battery level, RSSI, and SD-card indication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processing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Separate process System plus reusable one-hour-average Procedure; two aggregate DataStreams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Channel source time copied to both phenomenonTime and resultTime as a disclosed coincident-time projection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Returned tuple time as phenomenonTime; frozen source HTTP response date as a qualified resultTime proxy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Environmental SamplingFeature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source does not identify a defensible sample/air-volume feature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position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created/populated in first load; public location precision and employment meaning are insufficient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Component/battery/Wi-Fi/SD Systems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catalogue/status fields do not establish independently identified resources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derived Property resources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required for first load; stable authored property URIs carry meaning while target Property creation remains unreliable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Controls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no selected command evidence belongs to this read/integration experiment</w:t>
            </w:r>
          </w:p>
        </w:tc>
      </w:tr>
    </w:tbl>
    <w:p>
      <w:pPr>
        <w:spacing w:after="40" w:before="0" w:line="60" w:lineRule="exact"/>
      </w:pPr>
    </w:p>
    <w:p>
      <w:pPr/>
      <w:r>
        <w:rPr/>
        <w:t xml:space="preserve">The time projections are deliberately explicit because the source exposes fewer temporal distinctions than the Connected Systems Observation model requires. For the eight current results,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reading timestamp and keeps experiment acquisition time separate as integration provenance. For the on-demand aggregate products, the returned tuple timestamp remains the phenomenon-time anchor while the corresponding frozen HTTP response date is used only as a source-response proxy for result time. Neither rule claims that Smart Citizen originally supplied two independent timestamps, and both must be revisited if stronger source-side time evidence becomes available.</w:t>
      </w:r>
    </w:p>
    <w:p>
      <w:pPr/>
      <w:r>
        <w:rPr/>
        <w:t xml:space="preserve">Phase 4 also exposes implementation constraints in the exact 52°North target revision </w:t>
      </w:r>
      <w:r>
        <w:rPr>
          <w:rFonts w:ascii="DejaVu Sans Mono" w:hAnsi="DejaVu Sans Mono"/>
          <w:sz w:val="19"/>
        </w:rPr>
        <w:t>6ad75aa7...</w:t>
      </w:r>
      <w:r>
        <w:rPr/>
        <w:t>. Its route table lacks POST creation for Property resources despite repository examples/create logic, its observation schema is more permissive than the approved standard about phenomenon time, its documentation treats aggregate “meta-datastreams” as future functionality, and cascade deletion remains incomplete (52°North Spatial Information Research GmbH n.d.-a; MERLIN Project 2026m). The design therefore does not depend on local Property creation or implementation-specific aggregate shortcuts, sends both observation times explicitly, and defines child-first cleanup from Observations to DataStreams to Systems to Procedures. These are bounded target-implementation findings, not a claim of complete standards-conformance assessment.</w:t>
      </w:r>
    </w:p>
    <w:p>
      <w:pPr>
        <w:pStyle w:val="Heading2"/>
      </w:pPr>
      <w:r>
        <w:rPr/>
        <w:t>Expected domain coverage</w:t>
      </w:r>
    </w:p>
    <w:p>
      <w:pPr>
        <w:pStyle w:val="PaperCaption"/>
        <w:keepNext/>
      </w:pPr>
      <w:r>
        <w:rPr>
          <w:b/>
        </w:rPr>
        <w:t>Table 10.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10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against the exact Phase 4 resource graph before publication. Only reviewed resource types and relationships will be emitted, and the actual endpoint, running revision, assigned server identifiers, and cleanup evidence will be recorded in the execution record. A source sample will then be followed through capture, deterministic adapter output,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11.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11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7" name="Picture 7"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17"/>
                    <a:stretch>
                      <a:fillRect/>
                    </a:stretch>
                  </pic:blipFill>
                  <pic:spPr>
                    <a:xfrm>
                      <a:off x="0" y="0"/>
                      <a:ext cx="6217920" cy="3971071"/>
                    </a:xfrm>
                    <a:prstGeom prst="rect"/>
                  </pic:spPr>
                </pic:pic>
              </a:graphicData>
            </a:graphic>
          </wp:inline>
        </w:drawing>
      </w:r>
    </w:p>
    <w:p>
      <w:pPr>
        <w:pStyle w:val="PaperCaption"/>
        <w:keepNext w:val="0"/>
      </w:pPr>
      <w:r>
        <w:rPr>
          <w:b/>
        </w:rPr>
        <w:t>Figure 7.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8" name="Picture 8"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18"/>
                    <a:stretch>
                      <a:fillRect/>
                    </a:stretch>
                  </pic:blipFill>
                  <pic:spPr>
                    <a:xfrm>
                      <a:off x="0" y="0"/>
                      <a:ext cx="6217920" cy="3565588"/>
                    </a:xfrm>
                    <a:prstGeom prst="rect"/>
                  </pic:spPr>
                </pic:pic>
              </a:graphicData>
            </a:graphic>
          </wp:inline>
        </w:drawing>
      </w:r>
    </w:p>
    <w:p>
      <w:pPr>
        <w:pStyle w:val="PaperCaption"/>
        <w:keepNext w:val="0"/>
      </w:pPr>
      <w:r>
        <w:rPr>
          <w:b/>
        </w:rPr>
        <w:t>Figure 8.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7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12.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7 and 8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13. Planned figures and evidence status.</w:t>
      </w:r>
      <w:r>
        <w:rPr/>
        <w:t xml:space="preserve"> Figures 1–6 identify the selected system, the DIM/Profile architecture, the server, the client, the experiment architecture, and the Smart Citizen-specific conceptual distinctions. Figures 7 and 8 provide first-party historical Smart Citizen user-interface evidence, while the Phase 4 resource graph is maintained as a reviewed design artifact rather than being misrepresented as executed server evidence. Figures 9–11 remain reserved for contemporaneous or executed evidence and will not be filled with simulated substitutes.</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MERLIN DIM / MPSS architecture and standards-binding flow</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conceptual architecture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Smart Citizen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design exists; actual server relationships and traced display remain awaiting execution</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12 Results to be reported</w:t>
      </w:r>
    </w:p>
    <w:p>
      <w:pPr/>
      <w:r>
        <w:rPr/>
        <w:t>Phases 1–4 now provide reportable source, mapping, and design results, but the end-to-end integration remains incomplete. The experiment has frozen a complete formal Device specimen and two bounded histories, characterized all 21 current channels, reviewed nine current-state plus two aggregate-history mappings, and designed the first connected CSAPI graph containing two Systems, two Procedures, ten DataStreams/schemas, and fifty-six frozen Observations (MERLIN Project 2026k; 2026l; 2026m). It has also recorded corrections and design constraints discovered by review, including source-processing provenance, notification-setting semantics, the 11+10 timing cohorts, the unresolved RSSI subject, qualified time projections, and explicit negative-resource decisions. No adapter execution, server create/retrieve result, connected Glaux result, task-time improvement, or user outcome is reported.</w:t>
      </w:r>
    </w:p>
    <w:p>
      <w:pPr/>
      <w:r>
        <w:rPr/>
        <w:t xml:space="preserve">The Phase 4 graph demonstrates that semantic preservation can require </w:t>
      </w:r>
      <w:r>
        <w:rPr>
          <w:b/>
        </w:rPr>
        <w:t>not</w:t>
      </w:r>
      <w:r>
        <w:rPr/>
        <w:t xml:space="preserve"> creating apparently convenient resources. A Smart Citizen registration UUID is not established as a manufacturer serial; source catalogue parents do not establish installed-component identity; battery percentage does not establish a battery System or supply topology; received signal strength indication does not establish an interface/link-status resource; and public location metadata does not establish a Deployment. Environmental SamplingFeatures are also omitted because the source does not identify defensible sample features. These absences are evidence-backed design outcomes rather than implementation incompleteness.</w:t>
      </w:r>
    </w:p>
    <w:p>
      <w:pPr/>
      <w:r>
        <w:rPr/>
        <w:t>The aggregate histories further show why processing provenance changes the resource graph. The one-hour averages are assigned to a separate process System and aggregation Procedure instead of being credited directly to the physical kit, while stable authored property URIs distinguish those derived products from their base observed properties (MERLIN Project 2026m). Current observations use a disclosed coincident-time projection, and aggregate observations use a source-response result-time proxy, because the source supplies fewer time distinctions than CSAPI requires. The next reportable evidence must come from deterministic adapter output and later server round-trip testing against this reviewed design.</w:t>
      </w:r>
    </w:p>
    <w:p>
      <w:pPr>
        <w:pStyle w:val="Heading1"/>
      </w:pPr>
      <w:r>
        <w:rPr/>
        <w:t>13 Discussion and limitations</w:t>
      </w:r>
    </w:p>
    <w:p>
      <w:pPr/>
      <w:r>
        <w:rPr/>
        <w:t>The immediate public-data case is strongest for reported quantities, source-platform descriptions, telemetry, and integration provenance. It remains weaker for unit-specific physical composition, operating configuration, deployment history, power topology, maintenance, and independently identified environmental samples, and more readings cannot fill those relationships by themselves. Phase 4 makes those boundaries concrete by declining to create a Deployment, SamplingFeature, battery, Wi-Fi interface, storage component, or other resource that the evidence cannot identify (MERLIN Project 2026m). Documentary model enrichment must not be presented as observation of the particular installation, while source-platform processing must not be presented as direct physical-sensor output.</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The current and aggregate time mappings are therefore explicit projections rather than claims that Smart Citizen supplied all CSAPI-required temporal semantics natively. A later independent producer can test transfer, while an owned kit can address physical evidence gaps; these are different extensions.</w:t>
      </w:r>
    </w:p>
    <w:p>
      <w:pPr/>
      <w:r>
        <w:rPr/>
        <w:t>The Phase 4 target-server findings are similarly bounded. The inspected 52°North revision exposes concrete route/schema/delete behaviors that affect this experiment's planned request strategy, but the study has not performed a full OGC conformance test or established that the deployed Oracle instance is byte-for-byte identical to every inspected upstream behavior (52°North Spatial Information Research GmbH n.d.-a; MERLIN Project 2026f; 2026m). Structural correctness, service interoperability, and operator benefit remain separate evidence questions. The study will retain the distinction between native source meanings, approved standard requirements, target implementation behavior, MERLIN-authored bindings, and client choices throughout later phases.</w:t>
      </w:r>
    </w:p>
    <w:p>
      <w:pPr>
        <w:pStyle w:val="Heading1"/>
      </w:pPr>
      <w:r>
        <w:rPr/>
        <w:t>14 Reproducibility and document maintenance</w:t>
      </w:r>
    </w:p>
    <w:p>
      <w:pPr/>
      <w:r>
        <w:rPr/>
        <w:t>The manuscript, acronyms-and-abbreviations table,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 New domain-specific acronyms or recurring abbreviations must be expanded on first substantive use where practical and added to the maintained acronym table; the publication verifier checks the required acronym inventory and repeated uppercase shorthand against documented exclusions.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actual deterministic adapter evidence after the Phase 5 review gate; executed server relationships and source-to-display traces remain later evidence and must not be backfilled from the Phase 4 design alone.</w:t>
      </w:r>
    </w:p>
    <w:p>
      <w:pPr>
        <w:pStyle w:val="Heading1"/>
      </w:pPr>
      <w:r>
        <w:rPr/>
        <w:t>15 Conclusion</w:t>
      </w:r>
    </w:p>
    <w:p>
      <w:pPr/>
      <w:r>
        <w:rPr/>
        <w:t>This study has moved from source assessment and semantic mapping through a reviewed Phase 4 resource design. A formal Smart Citizen specimen is frozen, its native identities and source semantics are characterized, the representative mappings are reviewed, and a concrete CSAPI graph now states what would be created and what must remain absent. The graph separates the physical sensing case from source-platform aggregate processing, uses deterministic study identities without claiming manufacturer identity, and makes temporal projections explicit rather than hiding source under-specification (MERLIN Project 2026m). The accompanying acronym and definition sections are maintained as part of the evidence discipline so specialized shorthand does not become an implicit barrier to understanding.</w:t>
      </w:r>
    </w:p>
    <w:p>
      <w:pPr/>
      <w:r>
        <w:rPr/>
        <w:t>The next question is whether a deterministic adapter can emit exactly this reviewed graph from the frozen specimen without adding unsupported semantics. That is the Phase 5 question, and it remains separate from Phase 6 server publication and later Glaux presentation. No server resource, user-interface result, or interoperability success is claimed merely because the graph is now concrete. Later execution results will be evaluated against this Phase 4 baseline rather than allowing code or target-server behavior to redefine the mapping after the fact.</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Davis, Kyle, Brad Peabody, and Paul Leach. 2024. </w:t>
      </w:r>
      <w:r>
        <w:rPr>
          <w:i/>
        </w:rPr>
        <w:t>Universally Unique IDentifiers (UUIDs)</w:t>
      </w:r>
      <w:r>
        <w:rPr/>
        <w:t>. RFC 9562. Standards Track. May. https://doi.org/10.17487/RFC9562.</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MERLIN Project. 2026m. “Smart Citizen Proposed CSAPI Resource Graph and Request Design.” October 25. Experiment workbook record. https://github.com/OS4CSAPI/glaux-client/blob/work/details-view-20261023/Docs/Research/Studies/Smart_Citizen/Workbook/03_CSAPI_RESOURCE_GRAPH.md.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0.9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{"format":"glaux-paper-inputs-v1","sha256":"18b49910c090ba18247beef9603761d1b2604d3b7d865e2a50248787131e4ff8"}</dc:description>
  <cp:lastModifiedBy/>
  <cp:revision>1</cp:revision>
  <dcterms:created xsi:type="dcterms:W3CDTF">2026-10-25T00:00:00Z</dcterms:created>
  <dcterms:modified xsi:type="dcterms:W3CDTF">2026-10-25T00:00:00Z</dcterms:modified>
  <cp:category/>
  <cp:version>0.9</cp:version>
</cp:coreProperties>
</file>