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0.7 | 25 October 2026 | Study protocol with reviewed Phase 1–3 evidence</w:t>
      </w:r>
    </w:p>
    <w:p>
      <w:pPr>
        <w:pStyle w:val="Heading1"/>
      </w:pPr>
      <w:r>
        <w:rPr/>
        <w:t>Abstract</w:t>
      </w:r>
    </w:p>
    <w:p>
      <w:pPr/>
      <w:r>
        <w:rPr/>
        <w:t>Integrating a sensing system requires preserving the meaning of its information as well as transporting its measurements. An operator may need to distinguish a product model from an installed unit, a producing system from the subject it observes, a source-reported status from an interpretation of that status, and a direct reading from a platform-derived product. This paper defines and begins a Smart Citizen experiment using public source data, an authored adapter, an OGC API — Connected Systems service, and the Glaux client to evaluate the MERLIN domain information model and Managed Physical Sensing Systems profile. Each consequential mapping is required to identify its native assertion, underlying domain concept, donor concepts, MPSS binding, standard carrier, authored transformation, presentation implication, and review outcome.</w:t>
      </w:r>
    </w:p>
    <w:p>
      <w:pPr/>
      <w:r>
        <w:rPr/>
        <w:t>Phases 1–3 have now frozen a reproducible public specimen, characterized its native identities, channels, times and source semantics, and reviewed nine current-state plus two aggregate-history mappings. This revision also establishes sourced definitions for terms whose casual use could otherwise obscure the experiment, including telemetry, provenance, measurement, calibration, Observation, DataStream, phenomenon time and result time. The adapter, CSAPI publication and round trip, connected Glaux traversal, and matched generic/profile-aware interface comparison remain unexecuted, so no interoperability or operator-benefit result is claimed. The expected contribution remains a reproducible account of which meanings survive integration, which require explicit enrichment, which are transformed by source-platform processing, and which remain unsupported.</w:t>
      </w:r>
    </w:p>
    <w:p>
      <w:pPr/>
      <w:r>
        <w:rPr>
          <w:b/>
        </w:rPr>
        <w:t>Keywords:</w:t>
      </w:r>
      <w:r>
        <w:rPr/>
        <w:t xml:space="preserve"> sensor integration; domain information model; SensorML; SWE Common; OGC API Connected Systems; semantic preservation; resource details.</w:t>
      </w:r>
    </w:p>
    <w:p>
      <w:pPr>
        <w:pStyle w:val="Heading1"/>
      </w:pPr>
      <w:r>
        <w:rPr/>
        <w:t>1 Introduction</w:t>
      </w:r>
    </w:p>
    <w:p>
      <w:pPr/>
      <w:r>
        <w:rPr/>
        <w:t>The MERLIN Resource Details effort began with the problem of presenting information from heterogeneous sensing systems in a consistent, useful view. TRSS and McQ OmniSense II remain motivating cases. The subsequent domain-model work expanded the inquiry from individual manufacturer screens to the physical sensing system in employment: its identity, equipment, functions, deployment, configuration, communications, power, and lifecycle. The retained MPSS draft organizes these concerns through eight information subjects and twenty relationship identifiers, R01–R20 (MERLIN Project 2026a, secs. 4–5).</w:t>
      </w:r>
    </w:p>
    <w:p>
      <w:pPr>
        <w:pStyle w:val="Heading2"/>
      </w:pPr>
      <w:r>
        <w:rPr/>
        <w:t>System selected for the experiment</w:t>
      </w:r>
    </w:p>
    <w:p>
      <w:pPr>
        <w:keepLines/>
      </w:pPr>
      <w:r>
        <w:rPr/>
        <w:t>The Smart Citizen Kit (SCK) is a modular environmental monitoring system. Its documented measurements include air temperature, humidity, particulate matter, noise level, light, and pressure. Figure 1 introduces the SCK2.3 model reported by the first public data specimen selected for this study (Smart Citizen n.d.-c, “What is the Smart Citizen Kit?” and “Measurements”; MERLIN Project 2026b, record “smart-citizen-current-19639”).</w:t>
      </w:r>
    </w:p>
    <w:p>
      <w:pPr>
        <w:keepNext/>
        <w:spacing w:after="40"/>
        <w:jc w:val="center"/>
      </w:pPr>
      <w:r>
        <w:drawing>
          <wp:inline xmlns:a="http://schemas.openxmlformats.org/drawingml/2006/main" xmlns:pic="http://schemas.openxmlformats.org/drawingml/2006/picture">
            <wp:extent cx="6002216" cy="3200400"/>
            <wp:docPr id="1" name="Picture 1" descr="Official Smart Citizen Kit 2.3 model reference photograph showing the Data Board, Urban Board, and separate particulate-matter module from left to right" title="Official Smart Citizen Kit 2.3 model reference photograph showing the Data Board, Urban Board, and separate particulate-matter module from left to right"/>
            <wp:cNvGraphicFramePr>
              <a:graphicFrameLocks noChangeAspect="1"/>
            </wp:cNvGraphicFramePr>
            <a:graphic>
              <a:graphicData uri="http://schemas.openxmlformats.org/drawingml/2006/picture">
                <pic:pic>
                  <pic:nvPicPr>
                    <pic:cNvPr id="0" name="smart_citizen_kit_23.jpg"/>
                    <pic:cNvPicPr/>
                  </pic:nvPicPr>
                  <pic:blipFill>
                    <a:blip r:embed="rId11"/>
                    <a:stretch>
                      <a:fillRect/>
                    </a:stretch>
                  </pic:blipFill>
                  <pic:spPr>
                    <a:xfrm>
                      <a:off x="0" y="0"/>
                      <a:ext cx="6002216" cy="3200400"/>
                    </a:xfrm>
                    <a:prstGeom prst="rect"/>
                  </pic:spPr>
                </pic:pic>
              </a:graphicData>
            </a:graphic>
          </wp:inline>
        </w:drawing>
      </w:r>
    </w:p>
    <w:p>
      <w:pPr>
        <w:pStyle w:val="PaperCaption"/>
        <w:keepNext w:val="0"/>
      </w:pPr>
      <w:r>
        <w:rPr>
          <w:b/>
        </w:rPr>
        <w:t>Figure 1. Smart Citizen Kit 2.3 model reference.</w:t>
      </w:r>
      <w:r>
        <w:rPr/>
        <w:t xml:space="preserve"> The photograph shows the Data Board at left, Urban Board in the center, and particulate-matter module at right. It is reproduced unchanged from the official Smart Citizen / Fab Lab Barcelona documentation (Smart Citizen n.d.-c, “Versions”). It illustrates the product model; it has not been verified as a photograph of the unit associated with registration 19639. The boards and module are shown separately, so the image does not establish that unit's assembled configuration, enclosure, or power connections.</w:t>
      </w:r>
    </w:p>
    <w:p>
      <w:pPr/>
      <w:r>
        <w:rPr/>
        <w:t>The Data Board provides logging, Wi-Fi, memory-card access, USB, and a battery connector. The Urban Board carries sensing components and connects a separate particulate-matter module (Smart Citizen n.d.-c, “What is the Smart Citizen Kit?”). For this study, those component roles make physical equipment, sensing functions, communications, and power concrete subjects to examine through the DIM and MPSS. Their presence in model documentation does not establish a verified component inventory for an individual installation.</w:t>
      </w:r>
    </w:p>
    <w:p>
      <w:pPr/>
      <w:r>
        <w:rPr/>
        <w:t>The selected specimen is public Smart Citizen registration 19639. A formal capture made on 25 October 2026 at 02:43:48 UTC retained the complete Device response, response headers, and bounded temperature and PM2.5 histories with request URLs and SHA-256 hashes; it supersedes the earlier 24 October feasibility values as the evidence basis for formal mappings (MERLIN Project 2026k). The source reports hardware “SmartCitizen Kit 2.3,” type “SCK,” version “2.3,” and slug “sck:2,3,” while its channel catalogue includes environmental observations and system-related telemetry such as battery level, RSSI and SD-card indication. The registration and reported model identify the selected data specimen, but enduring physical identity and installed configuration remain separate evidence questions.</w:t>
      </w:r>
    </w:p>
    <w:p>
      <w:pPr>
        <w:pStyle w:val="PaperCaption"/>
        <w:keepNext/>
      </w:pPr>
      <w:r>
        <w:rPr>
          <w:b/>
        </w:rPr>
        <w:t>Table 1. System identification and study boundary.</w:t>
      </w:r>
      <w:r>
        <w:rPr/>
        <w:t xml:space="preserve"> The table separates the physical product family, selected source record, and service through which the study will obtain data. Model-level descriptions and registration metadata have different evidentiary roles. These entries identify the first case without implying that its integration has already been executed (Smart Citizen n.d.-a; n.d.-c; MERLIN Project 2026b).</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Identification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Meaning for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System type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Modular environmental monitoring kit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Plain-language description of the equipment; not a newly adopted MPSS classification code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Reported product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SmartCitizen Kit 2.3; type SCK; version 2.3; slug sck:2,3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Native metadata to preserve and compare with official product documentation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Selected public record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Registration 19639; formal frozen capture 20261025T024348Z</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Evidence basis for the Phase 1–3 mappings; not a verified physical serial number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Source software platform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 Citizen Platform and its public 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Existing source service for acquiring data; the proposed CSAPI service and Glaux client have different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Physical installation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Photograph, serial identity, installed inventory, enclosure, and supply connections unverified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Evidence to obtain before claiming a complete unit-specific equipment or deployment model</w:t>
            </w:r>
          </w:p>
        </w:tc>
      </w:tr>
    </w:tbl>
    <w:p>
      <w:pPr>
        <w:spacing w:after="40" w:before="0" w:line="60" w:lineRule="exact"/>
      </w:pPr>
    </w:p>
    <w:p>
      <w:pPr/>
      <w:r>
        <w:rPr/>
        <w:t>The first case therefore concerns one public Smart Citizen registration, with documentary descriptions of its reported product model. It does not begin with a kit acquired or operated by this project. An owned kit is a later extension for physical and lifecycle evidence, and AirGradient is a later independent comparison. TRSS and McQ OmniSense II remain motivating systems whose accommodation matters to the wider model, but their native datasets are not the input to this first integration case (MERLIN Project 2026c; 2026e).</w:t>
      </w:r>
    </w:p>
    <w:p>
      <w:pPr>
        <w:pStyle w:val="Heading2"/>
      </w:pPr>
      <w:r>
        <w:rPr/>
        <w:t>Integration question and case selection</w:t>
      </w:r>
    </w:p>
    <w:p>
      <w:pPr/>
      <w:r>
        <w:rPr/>
        <w:t>The present question is whether this organization helps a client reconstruct useful meaning after integration. Receiving a temperature value demonstrates access to a measurement. It does not establish that the client can identify its producer, distinguish the sampled environment from the equipment, interpret its time, or explain how the information reached the application. Likewise, a populated battery field does not establish an identified power source or its relationship to the operating system. A useful experiment must make such distinctions inspectable rather than treating successful transport as sufficient evidence of semantic preservation.</w:t>
      </w:r>
    </w:p>
    <w:p>
      <w:pPr/>
      <w:r>
        <w:rPr/>
        <w:t>Smart Citizen was selected as the first candidate because the preliminary study found accessible current and historical responses, informative channel metadata, official model documentation, and a plausible route to an owned physical kit. This is a purposive selection for an integration case study, not the outcome of an exhaustive device survey or a measured ranking of product quality. AirGradient was identified as a later independent comparison, while networking, acoustic, seismic, and radiation sources remain complementary candidates for other questions (MERLIN Project 2026c).</w:t>
      </w:r>
    </w:p>
    <w:p>
      <w:pPr/>
      <w:r>
        <w:rPr/>
        <w:t>This paper is maintained while the experiment proceeds rather than being written only before execution. Source acquisition, native characterization and the first mapping review are now executed and documented, while adapter publication, CSAPI round-trip testing and client comparison remain future phases (MERLIN Project 2026k; 2026l). Public-data integration still precedes hardware acquisition, and an owned kit remains a later route to physical installation and lifecycle evidence (MERLIN Project 2026e). The frozen specimen provides deterministic replay evidence while any later live acquisition is recorded separately.</w:t>
      </w:r>
    </w:p>
    <w:p>
      <w:pPr>
        <w:pStyle w:val="Heading1"/>
      </w:pPr>
      <w:r>
        <w:rPr/>
        <w:t>2 Terms and definitions</w:t>
      </w:r>
    </w:p>
    <w:p>
      <w:pPr/>
      <w:r>
        <w:rPr/>
        <w:t>The study uses several technical terms that carry narrower meanings than their everyday equivalents. The definitions below are taken from the cited standards or source documentation where an authoritative definition exists, while study-specific terms are explicitly identified as operational definitions rather than external standards. Later uses in the paper are intended to remain consistent with these meanings, and ambiguous source labels are not allowed to override them.</w:t>
      </w:r>
    </w:p>
    <w:p>
      <w:pPr/>
      <w:r>
        <w:rPr/>
        <w:t xml:space="preserve">The distinction between a sourced definition and the study's application is important. For example, W3C PROV defines provenance generally, while this study applies that concept to source, processing and integration provenance; NIST defines telemetry around remote measurement transmission, while the paper does not call static model metadata telemetry. Likewise, a source-code method named </w:t>
      </w:r>
      <w:r>
        <w:rPr>
          <w:rFonts w:ascii="DejaVu Sans Mono" w:hAnsi="DejaVu Sans Mono"/>
          <w:sz w:val="19"/>
        </w:rPr>
        <w:t>calibrated_value</w:t>
      </w:r>
      <w:r>
        <w:rPr/>
        <w:t xml:space="preserve"> is not treated as proof of calibration in the metrological sense.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Term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Sourced definition or basis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Meaning used in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Telemetry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NIST defines telemetry as measuring one or more quantities, transmitting the results to a distant station, and interpreting, indicating or recording what was measured (Scholl and Suloway 2023).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Remotely transmitted environmental readings and system-related measurement/status reports can be called telemetry. Static catalogue/model metadata, identifiers and documentation are not telemetry merely because they arrive through an 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Provenance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W3C PROV describes provenance as information about entities, activities and people/agents involved in producing data or another thing, supporting assessments of quality, reliability or trustworthiness (World Wide Web Consortium 2013).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provenance</w:t>
            </w:r>
            <w:r>
              <w:rPr>
                <w:sz w:val="20"/>
              </w:rPr>
              <w:t xml:space="preserve"> records where source assertions came from; </w:t>
            </w:r>
            <w:r>
              <w:rPr>
                <w:b/>
                <w:sz w:val="20"/>
              </w:rPr>
              <w:t>processing provenance</w:t>
            </w:r>
            <w:r>
              <w:rPr>
                <w:sz w:val="20"/>
              </w:rPr>
              <w:t xml:space="preserve"> records transformations such as Smart Citizen/Kairos aggregation; </w:t>
            </w:r>
            <w:r>
              <w:rPr>
                <w:b/>
                <w:sz w:val="20"/>
              </w:rPr>
              <w:t>integration provenance</w:t>
            </w:r>
            <w:r>
              <w:rPr>
                <w:sz w:val="20"/>
              </w:rPr>
              <w:t xml:space="preserve"> records adapter/server/client acquisition and transformation steps. Rights/licensing metadata can accompany provenance but is not itself the same concept.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Measurement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VIM 3 defines measurement as the process of experimentally obtaining one or more quantity values reasonably attributable to a quantity (Joint Committee for Guides in Metrology 2012, sec. 2.1).</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When quoting Smart Citizen, “measurement” may also denote the source platform's Measurement vocabulary resource. The study does not infer uncertainty, accuracy or formal calibration merely because the source uses the word measurement.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Calibration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VIM 3 defines calibration as an operation that first relates standards and indications with their uncertainties and then uses that relationship to obtain a measurement result (Joint Committee for Guides in Metrology 2012, sec. 2.39).</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The paper reserves formal calibration claims for evidence satisfying that meaning. The Smart Citizen source-code method name </w:t>
            </w:r>
            <w:r>
              <w:rPr>
                <w:rFonts w:ascii="DejaVu Sans Mono" w:hAnsi="DejaVu Sans Mono"/>
                <w:sz w:val="20"/>
              </w:rPr>
              <w:t>calibrated_value</w:t>
            </w:r>
            <w:r>
              <w:rPr>
                <w:sz w:val="20"/>
              </w:rPr>
              <w:t xml:space="preserve"> is quoted as implementation terminology only.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System / Procedure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CSAPI uses </w:t>
            </w:r>
            <w:r>
              <w:rPr>
                <w:b/>
                <w:sz w:val="20"/>
              </w:rPr>
              <w:t>System</w:t>
            </w:r>
            <w:r>
              <w:rPr>
                <w:sz w:val="20"/>
              </w:rPr>
              <w:t xml:space="preserve"> for an instance of infrastructure implementing Procedures and </w:t>
            </w:r>
            <w:r>
              <w:rPr>
                <w:b/>
                <w:sz w:val="20"/>
              </w:rPr>
              <w:t>Procedure</w:t>
            </w:r>
            <w:r>
              <w:rPr>
                <w:sz w:val="20"/>
              </w:rPr>
              <w:t xml:space="preserve"> for a datasheet or methodology that can be implemented by multiple System instances (Open Geospatial Consortium 2025a, secs. 9, 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represented SCK instance is distinct from the reusable SCK2.3 model description. Source-platform processing may also be represented as a process System with an associated Procedure when evidence supports that role.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Observation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CSAPI Observation implements the SOSA Observation concept and carries a result plus required phenomenonTime/resultTime, within a DataStream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 reading or derived result is not interchangeable with the System, observed property or observed subject.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Feature of Interest / Sampling Feature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calls the real-world domain feature whose properties are ultimately observed the Feature of Interest; a Sampling Feature represents the subset/sample on which observations are actually made (Open Geospatial Consortium 2025a, sec. 14).</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kit is not automatically the observed environmental subject. If the source does not identify a defensible Sampling Feature, the study leaves that association absent rather than inventing one.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DataStream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CSAPI defines a DataStream as observations acquired by the same System and sharing observed properties; </w:t>
            </w:r>
            <w:r>
              <w:rPr>
                <w:rFonts w:ascii="DejaVu Sans Mono" w:hAnsi="DejaVu Sans Mono"/>
                <w:sz w:val="20"/>
              </w:rPr>
              <w:t>status</w:t>
            </w:r>
            <w:r>
              <w:rPr>
                <w:sz w:val="20"/>
              </w:rPr>
              <w:t xml:space="preserve"> is for status observations of the parent System/subsystems, while </w:t>
            </w:r>
            <w:r>
              <w:rPr>
                <w:rFonts w:ascii="DejaVu Sans Mono" w:hAnsi="DejaVu Sans Mono"/>
                <w:sz w:val="20"/>
              </w:rPr>
              <w:t>observation</w:t>
            </w:r>
            <w:r>
              <w:rPr>
                <w:sz w:val="20"/>
              </w:rPr>
              <w:t xml:space="preserve"> is for other features of interest (Open Geospatial Consortium 2025b, secs. 4.7, 9.2).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DataStream type is selected only after the observed subject is supported. RSSI therefore remains untyped at the Phase 3 design stage rather than being forced into </w:t>
            </w:r>
            <w:r>
              <w:rPr>
                <w:rFonts w:ascii="DejaVu Sans Mono" w:hAnsi="DejaVu Sans Mono"/>
                <w:sz w:val="20"/>
              </w:rPr>
              <w:t>status</w:t>
            </w:r>
            <w:r>
              <w:rPr>
                <w:sz w:val="20"/>
              </w:rPr>
              <w: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phenomenonTime / resultTime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defines phenomenonTime as the time the observed property value applies to the feature of interest and resultTime as the time the result value was obtained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Citizen's channel timestamp is preserved as source time and is a candidate phenomenonTime. Experiment acquisition time is not substituted for an unavailable source resultTime.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Registration / Component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says a real device can be registered multiple times; its Component is the platform join between a Device and a Sensor (Smart Citizen n.d.-d, “Schema” and “Components”).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Registration IDs/UUIDs and Component IDs remain source-platform identities, not manufacturer serials or independently identified physical components.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Aggregation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Smart Citizen </w:t>
            </w:r>
            <w:r>
              <w:rPr>
                <w:rFonts w:ascii="DejaVu Sans Mono" w:hAnsi="DejaVu Sans Mono"/>
                <w:sz w:val="20"/>
              </w:rPr>
              <w:t>rollup</w:t>
            </w:r>
            <w:r>
              <w:rPr>
                <w:sz w:val="20"/>
              </w:rPr>
              <w:t xml:space="preserve"> defines the grouping timespan, </w:t>
            </w:r>
            <w:r>
              <w:rPr>
                <w:rFonts w:ascii="DejaVu Sans Mono" w:hAnsi="DejaVu Sans Mono"/>
                <w:sz w:val="20"/>
              </w:rPr>
              <w:t>function</w:t>
            </w:r>
            <w:r>
              <w:rPr>
                <w:sz w:val="20"/>
              </w:rPr>
              <w:t xml:space="preserve"> defines the grouping method, and </w:t>
            </w:r>
            <w:r>
              <w:rPr>
                <w:rFonts w:ascii="DejaVu Sans Mono" w:hAnsi="DejaVu Sans Mono"/>
                <w:sz w:val="20"/>
              </w:rPr>
              <w:t>sample_size</w:t>
            </w:r>
            <w:r>
              <w:rPr>
                <w:sz w:val="20"/>
              </w:rPr>
              <w:t xml:space="preserve"> is the count of readings examined to build the response (Smart Citizen n.d.-d, “Get Historical Readings”).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“One-hour average” means the source-platform </w:t>
            </w:r>
            <w:r>
              <w:rPr>
                <w:rFonts w:ascii="DejaVu Sans Mono" w:hAnsi="DejaVu Sans Mono"/>
                <w:sz w:val="20"/>
              </w:rPr>
              <w:t>rollup=1h</w:t>
            </w:r>
            <w:r>
              <w:rPr>
                <w:sz w:val="20"/>
              </w:rPr>
              <w:t xml:space="preserve"> and </w:t>
            </w:r>
            <w:r>
              <w:rPr>
                <w:rFonts w:ascii="DejaVu Sans Mono" w:hAnsi="DejaVu Sans Mono"/>
                <w:sz w:val="20"/>
              </w:rPr>
              <w:t>function=avg</w:t>
            </w:r>
            <w:r>
              <w:rPr>
                <w:sz w:val="20"/>
              </w:rPr>
              <w:t xml:space="preserve"> product. The paper does not reinterpret </w:t>
            </w:r>
            <w:r>
              <w:rPr>
                <w:rFonts w:ascii="DejaVu Sans Mono" w:hAnsi="DejaVu Sans Mono"/>
                <w:sz w:val="20"/>
              </w:rPr>
              <w:t>sample_size</w:t>
            </w:r>
            <w:r>
              <w:rPr>
                <w:sz w:val="20"/>
              </w:rPr>
              <w:t xml:space="preserve"> as a per-bin count or invent exact interval boundaries around returned tuple timestamps.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 / acquisition 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These are study operational terms grounded in the source timestamps and provenance requirements rather than external standard terms (MERLIN Project 2026k).</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w:t>
            </w:r>
            <w:r>
              <w:rPr>
                <w:sz w:val="20"/>
              </w:rPr>
              <w:t xml:space="preserve"> is the timestamp the source associates with a reading or aggregate. </w:t>
            </w:r>
            <w:r>
              <w:rPr>
                <w:b/>
                <w:sz w:val="20"/>
              </w:rPr>
              <w:t>Acquisition time</w:t>
            </w:r>
            <w:r>
              <w:rPr>
                <w:sz w:val="20"/>
              </w:rPr>
              <w:t xml:space="preserve"> is when this experiment obtained the response and is integration provenance, not an observation 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Semantic preservation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This is the study's operational criterion, informed by the role/time distinctions of CSAPI and the mapping method (Open Geospatial Consortium 2025a; 2025b; MERLIN Project 2026l).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Source-supported meaning about identity, producer, observed subject, property, unit, value, time, aggregation, provenance and qualified absence is preserved when the integration does not silently change or invent it.</w:t>
            </w:r>
          </w:p>
        </w:tc>
      </w:tr>
    </w:tbl>
    <w:p>
      <w:pPr>
        <w:spacing w:after="40" w:before="0" w:line="60" w:lineRule="exact"/>
      </w:pPr>
    </w:p>
    <w:p>
      <w:pPr>
        <w:pStyle w:val="Heading1"/>
      </w:pPr>
      <w:r>
        <w:rPr/>
        <w:t>3 Background and technical baseline</w:t>
      </w:r>
    </w:p>
    <w:p>
      <w:pPr>
        <w:pStyle w:val="Heading2"/>
      </w:pPr>
      <w:r>
        <w:rPr/>
        <w:t>Domain concepts and standards bindings</w:t>
      </w:r>
    </w:p>
    <w:p>
      <w:pPr/>
      <w:r>
        <w:rPr/>
        <w:t>The study distinguishes domain concepts, standards mechanisms, and presentation decisions. The domain model identifies meaningful subjects and relationships. The MPSS working profile selects or authors bindings for those meanings. The client applies documented presentation rules to the resulting information. The profile does not prescribe a universal tab arrangement or require every device to populate every information subject (MERLIN Project 2026a, secs. 5.1, 7).</w:t>
      </w:r>
    </w:p>
    <w:p>
      <w:pPr/>
      <w:r>
        <w:rPr/>
        <w:t>OGC API Connected Systems Part 1 supplies feature-resource mechanisms for systems, procedures, deployments, and related subjects. Part 2 addresses dynamic resources, including datastreams, observation schemas, observations, and control-related resources. These are approved standards in the inspected version 1.0 editions; a specific server must still be checked for the classes and operations it actually implements (Open Geospatial Consortium 2025a, secs. 7–15; 2025b, secs. 9–12).</w:t>
      </w:r>
    </w:p>
    <w:p>
      <w:pPr/>
      <w:r>
        <w:rPr/>
        <w:t>SensorML 3.0 provides rich descriptions of processes and physical systems, including outputs, configurations, and related descriptive content. SWE Common 3.0 provides typed components, semantic definitions, units, structured values, and encoding mechanisms. Their official JSON schemas provide machine-readable structural constraints. These standards supply representation mechanisms; a structurally valid document can still identify the wrong subject or misinterpret a source field (Open Geospatial Consortium 2025c, secs. 8–9; 2025d, secs. 7–10; n.d.-a; n.d.-b).</w:t>
      </w:r>
    </w:p>
    <w:p>
      <w:pPr/>
      <w:r>
        <w:rPr/>
        <w:t>The retained project baseline is MPSS v0.3.5, dated 17 October 2026. The first presentation comparison will use the recovered 560 × 440 CSS-pixel Resource Details frame. That frame is an existing review baseline with provisional layout choices; it is not evidence that the proposed Smart Citizen interface already exists or that the final PBI is complete (MERLIN Project 2026a; 2026d).</w:t>
      </w:r>
    </w:p>
    <w:p>
      <w:pPr>
        <w:pStyle w:val="Heading2"/>
      </w:pPr>
      <w:r>
        <w:rPr/>
        <w:t>Power as a discriminating example</w:t>
      </w:r>
    </w:p>
    <w:p>
      <w:pPr/>
      <w:r>
        <w:rPr/>
        <w:t>Power illustrates why mapping requires more than matching labels. RFC 7326 distinguishes power-source, metering, and aggregation relationships. RFC 7577 defines battery-monitoring objects. MERLIN's selected OGC bindings remain project-authored uses of those donor meanings; neither RFC establishes a MERLIN screen layout or an automatic equivalence with a supplier's battery percentage (Parello et al. 2014, secs. 6.6, 8; Quittek et al. 2015, sec. 4; MERLIN Project 2026a, sec. 5.10).</w:t>
      </w:r>
    </w:p>
    <w:p>
      <w:pPr/>
      <w:r>
        <w:rPr/>
        <w:t>The public Smart Citizen specimen reports remaining battery level as a percentage. That is useful measurement evidence, but it does not identify the installed battery, establish which source powers which equipment, or supply replacement history. The experiment will therefore distinguish successful preservation of the percentage from coverage of the wider power-arrangement model (MERLIN Project 2026b, record “smart-citizen-current-19639”).</w:t>
      </w:r>
    </w:p>
    <w:p>
      <w:pPr>
        <w:pStyle w:val="Heading1"/>
      </w:pPr>
      <w:r>
        <w:rPr/>
        <w:t>4 Experimental integration infrastructure</w:t>
      </w:r>
    </w:p>
    <w:p>
      <w:pPr>
        <w:pStyle w:val="Heading2"/>
      </w:pPr>
      <w:r>
        <w:rPr/>
        <w:t>3.1 Experimental CSAPI server</w:t>
      </w:r>
    </w:p>
    <w:p>
      <w:pPr>
        <w:pStyle w:val="Heading3"/>
      </w:pPr>
      <w:r>
        <w:rPr/>
        <w:t>Origin and implementation lineage</w:t>
      </w:r>
    </w:p>
    <w:p>
      <w:pPr/>
      <w:r>
        <w:rPr/>
        <w:t>pygeoapi is an open-source Python server implementation of the OGC API family, designed around an HTTP API, configuration, core API behavior, and pluggable data, process, and formatter components (pygeoapi Development Team 2026, “How pygeoapi works”). 52°North developed its Connected Systems implementation on that foundation and describes the repository as a proof of concept of OGC API – Connected Systems based on pygeoapi (52°North Spatial Information Research GmbH n.d.-a). 52°North reports that an initial Connected Systems API design and prototype were developed in KI:STE in synergy with MINKE and EMODnet Ingestion III, followed by continued pygeoapi-community work around the prototype (52°North Spatial Information Research GmbH 2023; n.d.-b). This lineage explains where the server implementation came from without implying that pygeoapi itself natively supplies every Connected Systems behavior used by the prototype.</w:t>
      </w:r>
    </w:p>
    <w:p>
      <w:pPr/>
      <w:r>
        <w:rPr/>
        <w:t xml:space="preserve">The implementation tested by MERLIN was upstream commit </w:t>
      </w:r>
      <w:r>
        <w:rPr>
          <w:rFonts w:ascii="DejaVu Sans Mono" w:hAnsi="DejaVu Sans Mono"/>
          <w:sz w:val="19"/>
        </w:rPr>
        <w:t>6ad75aa7fbfc76517c8a24c21446471845007855</w:t>
      </w:r>
      <w:r>
        <w:rPr/>
        <w:t xml:space="preserve">, whose project metadata identifies connected-systems-pygeoapi version 0.6.0 and pins the 52°North pygeoapi fork at commit </w:t>
      </w:r>
      <w:r>
        <w:rPr>
          <w:rFonts w:ascii="DejaVu Sans Mono" w:hAnsi="DejaVu Sans Mono"/>
          <w:sz w:val="19"/>
        </w:rPr>
        <w:t>ec1eb38d9a64d93ec9a2e1b9db6fea6dc05f194a</w:t>
      </w:r>
      <w:r>
        <w:rPr/>
        <w:t xml:space="preserve"> (52°North Spatial Information Research GmbH n.d.-a). At that revision, the container starts Hypercorn over </w:t>
      </w:r>
      <w:r>
        <w:rPr>
          <w:rFonts w:ascii="DejaVu Sans Mono" w:hAnsi="DejaVu Sans Mono"/>
          <w:sz w:val="19"/>
        </w:rPr>
        <w:t>connected-systems-api/app:APP</w:t>
      </w:r>
      <w:r>
        <w:rPr/>
        <w:t xml:space="preserve"> and includes native geospatial dependencies such as GDAL, PROJ, GEOS, NumPy, and Shapely. The upstream repository provides examples for multiple backends and a simulator for inserting example data, so its source tree represents several deployment possibilities rather than one fixed storage architecture. The exact backend used by the OS4CSAPI instance therefore has to come from our deployment evidence, not from inference based on the upstream dependency list.</w:t>
      </w:r>
    </w:p>
    <w:p>
      <w:pPr>
        <w:pStyle w:val="Heading3"/>
      </w:pPr>
      <w:r>
        <w:rPr/>
        <w:t>OS4CSAPI Oracle deployment</w:t>
      </w:r>
    </w:p>
    <w:p>
      <w:pPr/>
      <w:r>
        <w:rPr/>
        <w:t xml:space="preserve">The server selected for this experiment is the existing Oracle-hosted OS4CSAPI deployment at </w:t>
      </w:r>
      <w:r>
        <w:rPr>
          <w:rFonts w:ascii="DejaVu Sans Mono" w:hAnsi="DejaVu Sans Mono"/>
          <w:sz w:val="19"/>
        </w:rPr>
        <w:t>https://129-80-248-53.sslip.io/csapi-pygeoapi</w:t>
      </w:r>
      <w:r>
        <w:rPr/>
        <w:t xml:space="preserve"> (MERLIN Project 2026f). The tested running build corresponded to upstream commit </w:t>
      </w:r>
      <w:r>
        <w:rPr>
          <w:rFonts w:ascii="DejaVu Sans Mono" w:hAnsi="DejaVu Sans Mono"/>
          <w:sz w:val="19"/>
        </w:rPr>
        <w:t>6ad75aa7...</w:t>
      </w:r>
      <w:r>
        <w:rPr/>
        <w:t xml:space="preserve"> plus documented deployment adaptations, with container image ID </w:t>
      </w:r>
      <w:r>
        <w:rPr>
          <w:rFonts w:ascii="DejaVu Sans Mono" w:hAnsi="DejaVu Sans Mono"/>
          <w:sz w:val="19"/>
        </w:rPr>
        <w:t>sha256:15e6991a3697e5f7130ed50bbb958720f2ffa7954f114a70be66cc93c0c489da</w:t>
      </w:r>
      <w:r>
        <w:rPr/>
        <w:t>. Those adaptations consisted of a public-URL correction, an asynchronous full-scan/bootstrap-ID patch, and retained ARM64/native-dependency adaptations. Project inventory recorded the endpoint as unauthenticated for the test environment, but that access posture will be reverified before the Smart Citizen run.</w:t>
      </w:r>
    </w:p>
    <w:p>
      <w:pPr/>
      <w:r>
        <w:rPr/>
        <w:t>The retained evidence does not establish the running instance's exact storage/backend choice, persistent-volume layout, reverse-proxy configuration, restart policy, or complete Docker Compose topology (MERLIN Project 2026f). Upstream examples support multiple backends, and the tested source includes dependencies for more than one potential storage technology, so assigning one of them to the Oracle instance without runtime evidence would be speculation. These configuration details matter because the experiment will eventually evaluate publication, retrieval, relationships, history, and durability rather than only a single request. They are therefore explicit pre-run evidence requirements rather than assumed infrastructure facts.</w:t>
      </w:r>
    </w:p>
    <w:p>
      <w:pPr/>
      <w:r>
        <w:rPr/>
        <w:t xml:space="preserve">A separate 52°North demonstration is publicly available at </w:t>
      </w:r>
      <w:r>
        <w:rPr>
          <w:rFonts w:ascii="DejaVu Sans Mono" w:hAnsi="DejaVu Sans Mono"/>
          <w:sz w:val="19"/>
        </w:rPr>
        <w:t>https://csa.demo.52north.org/</w:t>
      </w:r>
      <w:r>
        <w:rPr/>
        <w:t>, where the landing page identifies 52°North Spatial Information Research GmbH as the provider and advertises Connected Systems assets (52°North Spatial Information Research GmbH n.d.-c). That service is not the Oracle-hosted deployment used in the MERLIN preservation experiment. Earlier verification work explicitly corrected a test package that targeted the 52°North demo when the intended primary comparison was the OS4CSAPI Oracle instance (MERLIN Project 2026f). The Smart Citizen study will preserve that deployment distinction so a result from one environment cannot be attributed to the other.</w:t>
      </w:r>
    </w:p>
    <w:p>
      <w:pPr>
        <w:keepNext/>
        <w:spacing w:after="40"/>
        <w:jc w:val="center"/>
      </w:pPr>
      <w:r>
        <w:drawing>
          <wp:inline xmlns:a="http://schemas.openxmlformats.org/drawingml/2006/main" xmlns:pic="http://schemas.openxmlformats.org/drawingml/2006/picture">
            <wp:extent cx="6217920" cy="4663440"/>
            <wp:docPr id="2" name="Picture 2" descr="Lineage from pygeoapi through the 52°North Connected Systems proof of concept to the OS4CSAPI Oracle deployment, with the proposed Smart Citizen adapter and Glaux use shown separately" title="Lineage from pygeoapi through the 52°North Connected Systems proof of concept to the OS4CSAPI Oracle deployment, with the proposed Smart Citizen adapter and Glaux use shown separately"/>
            <wp:cNvGraphicFramePr>
              <a:graphicFrameLocks noChangeAspect="1"/>
            </wp:cNvGraphicFramePr>
            <a:graphic>
              <a:graphicData uri="http://schemas.openxmlformats.org/drawingml/2006/picture">
                <pic:pic>
                  <pic:nvPicPr>
                    <pic:cNvPr id="0" name="figure_02_server_lineage.png"/>
                    <pic:cNvPicPr/>
                  </pic:nvPicPr>
                  <pic:blipFill>
                    <a:blip r:embed="rId12"/>
                    <a:stretch>
                      <a:fillRect/>
                    </a:stretch>
                  </pic:blipFill>
                  <pic:spPr>
                    <a:xfrm>
                      <a:off x="0" y="0"/>
                      <a:ext cx="6217920" cy="4663440"/>
                    </a:xfrm>
                    <a:prstGeom prst="rect"/>
                  </pic:spPr>
                </pic:pic>
              </a:graphicData>
            </a:graphic>
          </wp:inline>
        </w:drawing>
      </w:r>
    </w:p>
    <w:p>
      <w:pPr>
        <w:pStyle w:val="PaperCaption"/>
        <w:keepNext w:val="0"/>
      </w:pPr>
      <w:r>
        <w:rPr>
          <w:b/>
        </w:rPr>
        <w:t>Figure 2. Experimental CSAPI server lineage and study role.</w:t>
      </w:r>
      <w:r>
        <w:rPr/>
        <w:t xml:space="preserve"> The solid path identifies the implemented lineage from pygeoapi through 52°North's Connected Systems proof of concept to the OS4CSAPI Oracle deployment. The separate 52°North public demo is shown as another deployment rather than as part of the study server. Dashed arrows identify the proposed Smart Citizen adapter and Glaux use, which have not yet been executed. The figure is an authored synthesis of the upstream repositories and the retained deployment baseline (52°North Spatial Information Research GmbH n.d.-a; MERLIN Project 2026f; pygeoapi Development Team 2026).</w:t>
      </w:r>
    </w:p>
    <w:p>
      <w:pPr>
        <w:pStyle w:val="PaperCaption"/>
        <w:keepNext/>
      </w:pPr>
      <w:r>
        <w:rPr>
          <w:b/>
        </w:rPr>
        <w:t>Table 2. Server identity and deployment baseline.</w:t>
      </w:r>
      <w:r>
        <w:rPr/>
        <w:t xml:space="preserve"> The table records facts established for the tested server and distinguishes them from deployment details that still need to be recovered. The exact image and upstream revisions provide a reproducible software checkpoint, while the unknown backend and persistence settings remain real evidence gaps. These gaps do not prevent beginning the mapping work, but they must be closed before claims about durability or exact deployment reproduction (MERLIN Project 2026f).</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implementation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52North/connected-systems-pygeoapi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Connected Systems proof of concept based on pygeoapi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Tested upstream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6ad75aa7fbfc76517c8a24c21446471845007855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source checkpoint used to identify the running build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 version at tested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0.6.0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package metadata, not a conformance level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Pinned pygeoapi fork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ec1eb38d9a64d93ec9a2e1b9db6fea6dc05f194a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Upstream dependency of that source revision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OS4CSAPI endpoint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https://129-80-248-53.sslip.io/csapi-pygeoapi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Intended Smart Citizen CSAPI target, subject to fresh pre-run health check</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Hosting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Oracle Cloud test environment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project infrastructure; no new server is required for the first run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Tested container image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sha256:15e6991a3697e5f7130ed50bbb958720f2ffa7954f114a70be66cc93c0c489da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image identity recorded during October verification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adaptations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Public-URL fix; async full-scan/bootstrap-ID patch; ARM64/native-dependency adaptations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deployment differences from the upstream source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Authentication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Recorded as none for the test endpoint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Must be reverified before live publication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Backend, persistent storage, restart policy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established by the recovered evidence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Capture from the running deployment before durability or reproducibility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public demo</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https://csa.demo.52north.org/</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Separate external deployment; not the primary study server</w:t>
            </w:r>
          </w:p>
        </w:tc>
      </w:tr>
    </w:tbl>
    <w:p>
      <w:pPr>
        <w:spacing w:after="40" w:before="0" w:line="60" w:lineRule="exact"/>
      </w:pPr>
    </w:p>
    <w:p>
      <w:pPr>
        <w:pStyle w:val="Heading3"/>
      </w:pPr>
      <w:r>
        <w:rPr/>
        <w:t>Why this implementation is the initial study server</w:t>
      </w:r>
    </w:p>
    <w:p>
      <w:pPr/>
      <w:r>
        <w:rPr/>
        <w:t xml:space="preserve">The server was not selected by a claim that 52°North/pygeoapi is universally the best Connected Systems implementation. The glaux-client bootstrap already identified the existing pygeoapi CSAPI test server as the intended server for the later prototype, and a subsequent 19 October 2026 comparison supplied a more specific experimental reason to keep it (MERLIN Project 2026f). In that bounded comparison, the same profile-style SensorML System was submitted to three running Oracle deployments: CS-GO rejected </w:t>
      </w:r>
      <w:r>
        <w:rPr>
          <w:rFonts w:ascii="DejaVu Sans Mono" w:hAnsi="DejaVu Sans Mono"/>
          <w:sz w:val="19"/>
        </w:rPr>
        <w:t>characteristics</w:t>
      </w:r>
      <w:r>
        <w:rPr/>
        <w:t>, OpenSensorHub accepted the resource but omitted tested group IDs and conditions on retrieval, and pygeoapi accepted the resource and returned all submitted fields. This result aligns directly with the present study's question about whether profile-relevant meaning survives an integration boundary.</w:t>
      </w:r>
    </w:p>
    <w:p>
      <w:pPr/>
      <w:r>
        <w:rPr/>
        <w:t xml:space="preserve">The pygeoapi creation returned HTTP 201 with an explicit UUID in the response body but no </w:t>
      </w:r>
      <w:r>
        <w:rPr>
          <w:rFonts w:ascii="DejaVu Sans Mono" w:hAnsi="DejaVu Sans Mono"/>
          <w:sz w:val="19"/>
        </w:rPr>
        <w:t>Location</w:t>
      </w:r>
      <w:r>
        <w:rPr/>
        <w:t xml:space="preserve"> header, so the harness used that UUID only after verifying the fixture's </w:t>
      </w:r>
      <w:r>
        <w:rPr>
          <w:rFonts w:ascii="DejaVu Sans Mono" w:hAnsi="DejaVu Sans Mono"/>
          <w:sz w:val="19"/>
        </w:rPr>
        <w:t>uniqueId</w:t>
      </w:r>
      <w:r>
        <w:rPr/>
        <w:t xml:space="preserve"> before cleanup (MERLIN Project 2026f). The retrieved representation preserved every submitted field under the stated comparison rules, the tested response passed the supplemental schema validation used for that sample, and cleanup returned HTTP 200 followed by GET 404. Those findings establish one successful System-level preservation sample rather than complete CSAPI conformance. Restart durability, time-bearing representations, datastream and observation writes, commands, access control, and the complete set of operations needed by the Smart Citizen experiment remain to be exercised separately.</w:t>
      </w:r>
    </w:p>
    <w:p>
      <w:pPr>
        <w:pStyle w:val="Heading3"/>
      </w:pPr>
      <w:r>
        <w:rPr/>
        <w:t>Role in the Smart Citizen experiment</w:t>
      </w:r>
    </w:p>
    <w:p>
      <w:pPr/>
      <w:r>
        <w:rPr/>
        <w:t>The proposed adapter will obtain documented Smart Citizen source data, construct the selected CSAPI/SensorML/SWE representations, and publish them to the Oracle deployment. Glaux will then retrieve the server-hosted resources rather than reading the Smart Citizen API directly for the profile-aware comparison. This makes the server an explicit experimental boundary at which meaning can be preserved, changed, rejected, or lost. A successful server write will therefore be reported separately from the correctness of the mapping and from the usefulness of the resulting client presentation.</w:t>
      </w:r>
    </w:p>
    <w:p>
      <w:pPr/>
      <w:r>
        <w:rPr/>
        <w:t>Before the first live run, the study will capture the active server revision, image, local patch state, backend/provider, storage configuration, proxy/public-base-URL settings, persistence/restart behavior, authentication posture, and the specific publication interfaces used. Any change from the October 2026 verified build will become part of the execution record rather than being silently treated as the same environment. The experiment will also perform the smallest read/write checks necessary for the actual System, DataStream, schema, and Observation operations it intends to use. This turns deployment configuration into reproducibility evidence instead of background infrastructure that the paper assumes.</w:t>
      </w:r>
    </w:p>
    <w:p>
      <w:pPr>
        <w:pStyle w:val="Heading2"/>
      </w:pPr>
      <w:r>
        <w:rPr/>
        <w:t>3.2 Experimental Glaux client</w:t>
      </w:r>
    </w:p>
    <w:p>
      <w:pPr>
        <w:pStyle w:val="Heading3"/>
      </w:pPr>
      <w:r>
        <w:rPr/>
        <w:t>Origin and implementation lineage</w:t>
      </w:r>
    </w:p>
    <w:p>
      <w:pPr/>
      <w:r>
        <w:rPr/>
        <w:t xml:space="preserve">The experimental client is </w:t>
      </w:r>
      <w:r>
        <w:rPr>
          <w:rFonts w:ascii="DejaVu Sans Mono" w:hAnsi="DejaVu Sans Mono"/>
          <w:sz w:val="19"/>
        </w:rPr>
        <w:t>OS4CSAPI/glaux-client</w:t>
      </w:r>
      <w:r>
        <w:rPr/>
        <w:t>, a standalone TypeScript/Vite browser application created for this study rather than a fork of the existing Glaux, CSAPI Explorer, Alephex, or client-library applications. Its purpose is to keep standards access, MERLIN interpretation, and operator presentation under one observable application boundary while allowing each layer to be tested separately (MERLIN Project 2026g). The name reflects its relationship to the broader Glaux effort and possible future contribution, not an adoption or endorsement by DGIWG or another organization. The current study therefore treats Glaux Client as project-authored experimental software whose behavior must be versioned and examined like the server and adapter.</w:t>
      </w:r>
    </w:p>
    <w:p>
      <w:pPr/>
      <w:r>
        <w:rPr/>
        <w:t xml:space="preserve">Standards access is supplied by </w:t>
      </w:r>
      <w:r>
        <w:rPr>
          <w:rFonts w:ascii="DejaVu Sans Mono" w:hAnsi="DejaVu Sans Mono"/>
          <w:sz w:val="19"/>
        </w:rPr>
        <w:t>OS4CSAPI/ogc-client-CSAPI_2</w:t>
      </w:r>
      <w:r>
        <w:rPr/>
        <w:t xml:space="preserve">, an OS4CSAPI fork of Camptocamp's TypeScript </w:t>
      </w:r>
      <w:r>
        <w:rPr>
          <w:rFonts w:ascii="DejaVu Sans Mono" w:hAnsi="DejaVu Sans Mono"/>
          <w:sz w:val="19"/>
        </w:rPr>
        <w:t>ogc-client</w:t>
      </w:r>
      <w:r>
        <w:rPr/>
        <w:t xml:space="preserve"> library, while the application code remains a separate repository. The selected </w:t>
      </w:r>
      <w:r>
        <w:rPr>
          <w:rFonts w:ascii="DejaVu Sans Mono" w:hAnsi="DejaVu Sans Mono"/>
          <w:sz w:val="19"/>
        </w:rPr>
        <w:t>phase-10</w:t>
      </w:r>
      <w:r>
        <w:rPr/>
        <w:t xml:space="preserve"> revision is pinned at </w:t>
      </w:r>
      <w:r>
        <w:rPr>
          <w:rFonts w:ascii="DejaVu Sans Mono" w:hAnsi="DejaVu Sans Mono"/>
          <w:sz w:val="19"/>
        </w:rPr>
        <w:t>4ca1d7db9b1ccdf545adbef42ef941139fe11977</w:t>
      </w:r>
      <w:r>
        <w:rPr/>
        <w:t xml:space="preserve"> and is consumed under the upstream package identity </w:t>
      </w:r>
      <w:r>
        <w:rPr>
          <w:rFonts w:ascii="DejaVu Sans Mono" w:hAnsi="DejaVu Sans Mono"/>
          <w:sz w:val="19"/>
        </w:rPr>
        <w:t>@camptocamp/ogc-client</w:t>
      </w:r>
      <w:r>
        <w:rPr/>
        <w:t xml:space="preserve"> through the explicit </w:t>
      </w:r>
      <w:r>
        <w:rPr>
          <w:rFonts w:ascii="DejaVu Sans Mono" w:hAnsi="DejaVu Sans Mono"/>
          <w:sz w:val="19"/>
        </w:rPr>
        <w:t>@camptocamp/ogc-client/csapi</w:t>
      </w:r>
      <w:r>
        <w:rPr/>
        <w:t xml:space="preserve"> export (MERLIN Project 2026h; OS4CSAPI 2026). The dependency is linked as a Git submodule and built from its own committed lockfile, so a moving branch or npm release cannot silently change the experiment. Camptocamp's BSD-3-Clause license and attribution are retained, and the application records the library revision independently of its own source revision (Camptocamp n.d.; MERLIN Project 2026h).</w:t>
      </w:r>
    </w:p>
    <w:p>
      <w:pPr>
        <w:pStyle w:val="Heading3"/>
      </w:pPr>
      <w:r>
        <w:rPr/>
        <w:t>Why a standalone client and selected library</w:t>
      </w:r>
    </w:p>
    <w:p>
      <w:pPr/>
      <w:r>
        <w:rPr/>
        <w:t xml:space="preserve">An earlier architecture review compared forking CSAPI Explorer with building a smaller application on a client library. Explorer offered useful navigation and inspection features, but it also added application behavior such as discovery fallbacks, proxy-relative URL substitutions, and other state that would complicate attribution when a relationship appeared to work or fail (MERLIN Project 2026g). The same review considered </w:t>
      </w:r>
      <w:r>
        <w:rPr>
          <w:rFonts w:ascii="DejaVu Sans Mono" w:hAnsi="DejaVu Sans Mono"/>
          <w:sz w:val="19"/>
        </w:rPr>
        <w:t>cs-client-ts</w:t>
      </w:r>
      <w:r>
        <w:rPr/>
        <w:t xml:space="preserve"> a strong alternative because it provides authentication, pagination, validation, and transport hooks. Its convenient common model, however, would add another common-model transformation layer between the wire representation and MERLIN's own interpretation, which is undesirable when the interpretation itself is the object of study. The control-first choice was therefore a standalone application using the ogc-client CSAPI fork, while retaining Explorer and other clients as external inspection or comparison tools rather than experimental foundations.</w:t>
      </w:r>
    </w:p>
    <w:p>
      <w:pPr/>
      <w:r>
        <w:rPr/>
        <w:t>This choice is task-specific rather than a claim that the selected library is the best general CSAPI SDK. The key experimental advantage is that request behavior and original responses remain under application control, allowing the study to distinguish what the server returned from what the parser extracted and what the profile interpreter concluded (MERLIN Project 2026g). The client also preserves unknown or unsupported content for Standard View rather than requiring the profile to explain every supplied field. A future library replacement should therefore be judged by whether it preserves this observable boundary, not by API similarity alone.</w:t>
      </w:r>
    </w:p>
    <w:p>
      <w:pPr>
        <w:pStyle w:val="Heading3"/>
      </w:pPr>
      <w:r>
        <w:rPr/>
        <w:t>Application architecture and comparison boundary</w:t>
      </w:r>
    </w:p>
    <w:p>
      <w:pPr/>
      <w:r>
        <w:rPr/>
        <w:t xml:space="preserve">Glaux Client deliberately separates three responsibilities: </w:t>
      </w:r>
      <w:r>
        <w:rPr>
          <w:rFonts w:ascii="DejaVu Sans Mono" w:hAnsi="DejaVu Sans Mono"/>
          <w:sz w:val="19"/>
        </w:rPr>
        <w:t>src/data</w:t>
      </w:r>
      <w:r>
        <w:rPr/>
        <w:t xml:space="preserve"> performs read-only retrieval, independent source capture, pinned-library parsing, and generic extraction; </w:t>
      </w:r>
      <w:r>
        <w:rPr>
          <w:rFonts w:ascii="DejaVu Sans Mono" w:hAnsi="DejaVu Sans Mono"/>
          <w:sz w:val="19"/>
        </w:rPr>
        <w:t>src/profile</w:t>
      </w:r>
      <w:r>
        <w:rPr/>
        <w:t xml:space="preserve"> applies bounded MPSS/DIM interpretation; and </w:t>
      </w:r>
      <w:r>
        <w:rPr>
          <w:rFonts w:ascii="DejaVu Sans Mono" w:hAnsi="DejaVu Sans Mono"/>
          <w:sz w:val="19"/>
        </w:rPr>
        <w:t>src/presentation</w:t>
      </w:r>
      <w:r>
        <w:rPr/>
        <w:t xml:space="preserve"> implements the operator-facing views (MERLIN Project 2026g). This separation supports the experimental chain from server representation, through generic parsing, through profile interpretation, to presentation without collapsing those stages into one opaque transformation. Standard View exposes supplied properties, types, units, definitions, relationships, warnings, original text or JSON, and response-body downloads even when the profile does not recognize their meaning. Operator View uses the bounded interpretation layer to organize only supported meanings and retains per-fact source and mapping disclosures.</w:t>
      </w:r>
    </w:p>
    <w:p>
      <w:pPr/>
      <w:r>
        <w:rPr/>
        <w:t>Both presentation modes operate over the same captured source information, so switching between them is not supposed to retrieve a more favorable dataset. Unsupported or ambiguous content remains available for generic inspection rather than being suppressed to make profile-aware behavior appear better (MERLIN Project 2026g). The current client also preserves the distinction among source time, retrieval time, measurement, estimate, configuration, and reported status when the source provides those meanings. These constraints make the client useful as an experimental instrument because a visible result can be traced backward to the server response and the interpretation rule that produced it.</w:t>
      </w:r>
    </w:p>
    <w:p>
      <w:pPr>
        <w:keepNext/>
        <w:spacing w:after="40"/>
        <w:jc w:val="center"/>
      </w:pPr>
      <w:r>
        <w:drawing>
          <wp:inline xmlns:a="http://schemas.openxmlformats.org/drawingml/2006/main" xmlns:pic="http://schemas.openxmlformats.org/drawingml/2006/picture">
            <wp:extent cx="6217920" cy="5078910"/>
            <wp:docPr id="3" name="Picture 3" descr="Architecture of the Glaux experimental client, showing the same captured CSAPI evidence feeding Standard View and bounded DIM/MPSS interpretation before Operator View" title="Architecture of the Glaux experimental client, showing the same captured CSAPI evidence feeding Standard View and bounded DIM/MPSS interpretation before Operator View"/>
            <wp:cNvGraphicFramePr>
              <a:graphicFrameLocks noChangeAspect="1"/>
            </wp:cNvGraphicFramePr>
            <a:graphic>
              <a:graphicData uri="http://schemas.openxmlformats.org/drawingml/2006/picture">
                <pic:pic>
                  <pic:nvPicPr>
                    <pic:cNvPr id="0" name="figure_03_client_architecture.png"/>
                    <pic:cNvPicPr/>
                  </pic:nvPicPr>
                  <pic:blipFill>
                    <a:blip r:embed="rId13"/>
                    <a:stretch>
                      <a:fillRect/>
                    </a:stretch>
                  </pic:blipFill>
                  <pic:spPr>
                    <a:xfrm>
                      <a:off x="0" y="0"/>
                      <a:ext cx="6217920" cy="5078910"/>
                    </a:xfrm>
                    <a:prstGeom prst="rect"/>
                  </pic:spPr>
                </pic:pic>
              </a:graphicData>
            </a:graphic>
          </wp:inline>
        </w:drawing>
      </w:r>
    </w:p>
    <w:p>
      <w:pPr>
        <w:pStyle w:val="PaperCaption"/>
        <w:keepNext w:val="0"/>
      </w:pPr>
      <w:r>
        <w:rPr>
          <w:b/>
        </w:rPr>
        <w:t>Figure 3. Glaux experimental client architecture and interpretation boundary.</w:t>
      </w:r>
      <w:r>
        <w:rPr/>
        <w:t xml:space="preserve"> The </w:t>
      </w:r>
      <w:r>
        <w:rPr>
          <w:rFonts w:ascii="DejaVu Sans Mono" w:hAnsi="DejaVu Sans Mono"/>
          <w:sz w:val="19"/>
        </w:rPr>
        <w:t>src/data</w:t>
      </w:r>
      <w:r>
        <w:rPr/>
        <w:t xml:space="preserve"> layer captures the server response and supplies generic extraction before the evidence branches to competent Standard View inspection and bounded MPSS/DIM interpretation. The </w:t>
      </w:r>
      <w:r>
        <w:rPr>
          <w:rFonts w:ascii="DejaVu Sans Mono" w:hAnsi="DejaVu Sans Mono"/>
          <w:sz w:val="19"/>
        </w:rPr>
        <w:t>src/profile</w:t>
      </w:r>
      <w:r>
        <w:rPr/>
        <w:t xml:space="preserve"> layer is the only branch in this diagram that applies project-specific semantic interpretation, while </w:t>
      </w:r>
      <w:r>
        <w:rPr>
          <w:rFonts w:ascii="DejaVu Sans Mono" w:hAnsi="DejaVu Sans Mono"/>
          <w:sz w:val="19"/>
        </w:rPr>
        <w:t>src/presentation</w:t>
      </w:r>
      <w:r>
        <w:rPr/>
        <w:t xml:space="preserve"> organizes those recognized meanings for the operator. Both branches therefore begin from the same captured evidence rather than from separate favorable and unfavorable datasets. Smart Citizen connected-resource traversal is shown only as the experiment's next client increment and is not current deployed behavior (MERLIN Project 2026g).</w:t>
      </w:r>
    </w:p>
    <w:p>
      <w:pPr>
        <w:pStyle w:val="Heading3"/>
      </w:pPr>
      <w:r>
        <w:rPr/>
        <w:t>Deployed client baseline</w:t>
      </w:r>
    </w:p>
    <w:p>
      <w:pPr/>
      <w:r>
        <w:rPr/>
        <w:t xml:space="preserve">The public experimental application is deployed as the Cloudflare Pages project </w:t>
      </w:r>
      <w:r>
        <w:rPr>
          <w:rFonts w:ascii="DejaVu Sans Mono" w:hAnsi="DejaVu Sans Mono"/>
          <w:sz w:val="19"/>
        </w:rPr>
        <w:t>glaux-client</w:t>
      </w:r>
      <w:r>
        <w:rPr/>
        <w:t xml:space="preserve"> at </w:t>
      </w:r>
      <w:r>
        <w:rPr>
          <w:rFonts w:ascii="DejaVu Sans Mono" w:hAnsi="DejaVu Sans Mono"/>
          <w:sz w:val="19"/>
        </w:rPr>
        <w:t>https://glaux-client.pages.dev/</w:t>
      </w:r>
      <w:r>
        <w:rPr/>
        <w:t xml:space="preserve"> (MERLIN Project 2026i). The current recorded runtime is Git commit </w:t>
      </w:r>
      <w:r>
        <w:rPr>
          <w:rFonts w:ascii="DejaVu Sans Mono" w:hAnsi="DejaVu Sans Mono"/>
          <w:sz w:val="19"/>
        </w:rPr>
        <w:t>71297c971e2e7532f7c7139600f41e9b58bdcc22</w:t>
      </w:r>
      <w:r>
        <w:rPr/>
        <w:t xml:space="preserve">, Cloudflare deployment </w:t>
      </w:r>
      <w:r>
        <w:rPr>
          <w:rFonts w:ascii="DejaVu Sans Mono" w:hAnsi="DejaVu Sans Mono"/>
          <w:sz w:val="19"/>
        </w:rPr>
        <w:t>97c801c4-c44f-4484-a175-e6651639fe07</w:t>
      </w:r>
      <w:r>
        <w:rPr/>
        <w:t>, published by Direct Upload rather than Git-triggered deployment. Its Resource Details template opens at the recovered 560 × 440 CSS-pixel working frame and preserves fixed identity/navigation regions around a scrolling content body. Later research and manuscript commits do not alter that deployed runtime unless a separate application build and Pages upload occurs.</w:t>
      </w:r>
    </w:p>
    <w:p>
      <w:pPr>
        <w:pStyle w:val="PaperCaption"/>
        <w:keepNext/>
      </w:pPr>
      <w:r>
        <w:rPr>
          <w:b/>
        </w:rPr>
        <w:t>Table 3. Client identity and deployment baseline.</w:t>
      </w:r>
      <w:r>
        <w:rPr/>
        <w:t xml:space="preserve"> The table records the application, pinned standards-access dependency, public deployment, and current remote-read boundary that exist before the Smart Citizen integration. Application, library, and deployed-runtime revisions are separate identifiers because each can change independently. The proposed Smart Citizen traversal is not attributed to the deployed client until that behavior is implemented and verified (MERLIN Project 2026g; 2026h; 2026i).</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repository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OS4CSAPI/glaux-client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Project-authored standalone experimental client; not a fork of Glaux or Explorer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stack</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TypeScript / Vite browser application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implementation technology, not a DIM or profile requirement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library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OS4CSAPI/ogc-client-CSAPI_2</w:t>
            </w:r>
            <w:r>
              <w:rPr>
                <w:sz w:val="20"/>
              </w:rPr>
              <w:t xml:space="preserve">, branch </w:t>
            </w:r>
            <w:r>
              <w:rPr>
                <w:rFonts w:ascii="DejaVu Sans Mono" w:hAnsi="DejaVu Sans Mono"/>
                <w:sz w:val="20"/>
              </w:rPr>
              <w:t>phase-10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Pinned standards-access dependency; separate from application source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library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4ca1d7db9b1ccdf545adbef42ef941139fe11977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Reproducible client-library checkpoint used by the current application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Package/export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@camptocamp/ogc-client</w:t>
            </w:r>
            <w:r>
              <w:rPr>
                <w:sz w:val="20"/>
              </w:rPr>
              <w:t xml:space="preserve"> 1.3.1-dev / </w:t>
            </w:r>
            <w:r>
              <w:rPr>
                <w:rFonts w:ascii="DejaVu Sans Mono" w:hAnsi="DejaVu Sans Mono"/>
                <w:sz w:val="20"/>
              </w:rPr>
              <w:t>@camptocamp/ogc-client/csapi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package identity and explicit CSAPI import boundary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 application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https://glaux-client.pages.dev/</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Pages production origin for the experiment UI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Deployed runtime commit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71297c971e2e7532f7c7139600f41e9b58bdcc22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revision actually represented by the current public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deployment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97c801c4-c44f-4484-a175-e6651639fe07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Upload deployment associated with the recorded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Default review frame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560 × 440 CSS pixels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Recovered Resource Details working size; not a final Dockview constraint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remote read boundary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System URL, no credentials, at most one advertised SensorML alternate/describedby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capability; full connected-resource traversal remains to be implemented</w:t>
            </w:r>
          </w:p>
        </w:tc>
      </w:tr>
    </w:tbl>
    <w:p>
      <w:pPr>
        <w:spacing w:after="40" w:before="0" w:line="60" w:lineRule="exact"/>
      </w:pPr>
    </w:p>
    <w:p>
      <w:pPr/>
      <w:r>
        <w:rPr/>
        <w:t xml:space="preserve">The deployed client can currently read an explicitly supplied System resource URL, issue a credential-free GET, preserve the received body, and follow at most one advertised typed SensorML </w:t>
      </w:r>
      <w:r>
        <w:rPr>
          <w:rFonts w:ascii="DejaVu Sans Mono" w:hAnsi="DejaVu Sans Mono"/>
          <w:sz w:val="19"/>
        </w:rPr>
        <w:t>alternate</w:t>
      </w:r>
      <w:r>
        <w:rPr/>
        <w:t xml:space="preserve"> or </w:t>
      </w:r>
      <w:r>
        <w:rPr>
          <w:rFonts w:ascii="DejaVu Sans Mono" w:hAnsi="DejaVu Sans Mono"/>
          <w:sz w:val="19"/>
        </w:rPr>
        <w:t>describedby</w:t>
      </w:r>
      <w:r>
        <w:rPr/>
        <w:t xml:space="preserve"> link (MERLIN Project 2026g). It does not yet authenticate to a service, discover arbitrary collections, or traverse the full System-to-equipment/deployment/DataStream/schema/Observation graph required by the proposed Smart Citizen study. The existing synthetic power example resolves a fixed local bundle rather than discovering that graph from a server. Consequently, the Smart Citizen experiment includes a client implementation increment rather than assuming the current deployment already provides the necessary traversal.</w:t>
      </w:r>
    </w:p>
    <w:p>
      <w:pPr>
        <w:pStyle w:val="Heading3"/>
      </w:pPr>
      <w:r>
        <w:rPr/>
        <w:t>Role in the Smart Citizen experiment</w:t>
      </w:r>
    </w:p>
    <w:p>
      <w:pPr/>
      <w:r>
        <w:rPr/>
        <w:t>For the live experiment, Glaux will consume the connected resources published through the selected 52°North CSAPI server rather than reading Smart Citizen's native API directly for the operator comparison. The data layer must retrieve and retain the relevant standardized resources and responses, the profile layer must recognize only supported MPSS/DIM meanings, and the presentation layer must reconstruct the Resource Details experience from those meanings. The generic condition will remain competent enough to expose the same standard properties, relationships, units, times, and raw evidence without profile-specific organization. A profile-aware benefit will therefore require an observable difference in supported interpretation or task performance, not merely a more polished layout.</w:t>
      </w:r>
    </w:p>
    <w:p>
      <w:pPr/>
      <w:r>
        <w:rPr/>
        <w:t>Each executed run will record the Smart Citizen capture revision, adapter revision, CSAPI server revision and image, Glaux source revision, Glaux deployed-runtime revision, pinned client-library revision, and MPSS profile revision. This version chain is necessary because a change at any one layer could alter the final display without changing the others. The first client increment will add the connected-resource retrieval and Smart Citizen presentation needed for the study while retaining the existing original-response and Standard View boundaries. Until that increment is built and verified, Figure 9 and any claim that Glaux reconstructed the Smart Citizen dataset from connected CSAPI resources remain pending experimental evidence.</w:t>
      </w:r>
    </w:p>
    <w:p>
      <w:pPr>
        <w:pStyle w:val="Heading1"/>
      </w:pPr>
      <w:r>
        <w:rPr/>
        <w:t>5 Research questions and study design</w:t>
      </w:r>
    </w:p>
    <w:p>
      <w:pPr/>
      <w:r>
        <w:rPr/>
        <w:t>The study proposes a traceable integration case. A controlled comparison of information presentation will follow that integration. Together, these stages address three research questions.</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and which mappings remain reusable when a second producer is introduced?</w:t>
      </w:r>
    </w:p>
    <w:p>
      <w:pPr/>
      <w:r>
        <w:rPr/>
        <w:t>The unit of technical analysis is a traceable assertion: a value, identity, relationship, or contextual statement with an identified source and interpretation. A sample may contain several such assertions. The evaluation will avoid equating the number of observations with domain coverage or treating R01–R20 as twenty interchangeable checklist points. Findings about transport, interpretation, and presentation will be reported separately.</w:t>
      </w:r>
    </w:p>
    <w:p>
      <w:pPr/>
      <w:r>
        <w:rPr/>
        <w:t>The immediate proposed path is public Smart Citizen acquisition through a documented adapter into an identified CSAPI test service, followed by Glaux retrieval. The exact server, write interfaces, version, adapter revision, and execution environment will be recorded before the first run. They are not selected by implication in this protocol. An owned kit is a later extension for facts that a public feed does not establish.</w:t>
      </w:r>
    </w:p>
    <w:p>
      <w:pPr>
        <w:keepNext/>
        <w:spacing w:after="40"/>
        <w:jc w:val="center"/>
      </w:pPr>
      <w:r>
        <w:drawing>
          <wp:inline xmlns:a="http://schemas.openxmlformats.org/drawingml/2006/main" xmlns:pic="http://schemas.openxmlformats.org/drawingml/2006/picture">
            <wp:extent cx="6217920" cy="5285232"/>
            <wp:docPr id="4" name="Picture 4"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4"/>
                    <a:stretch>
                      <a:fillRect/>
                    </a:stretch>
                  </pic:blipFill>
                  <pic:spPr>
                    <a:xfrm>
                      <a:off x="0" y="0"/>
                      <a:ext cx="6217920" cy="5285232"/>
                    </a:xfrm>
                    <a:prstGeom prst="rect"/>
                  </pic:spPr>
                </pic:pic>
              </a:graphicData>
            </a:graphic>
          </wp:inline>
        </w:drawing>
      </w:r>
    </w:p>
    <w:p>
      <w:pPr>
        <w:pStyle w:val="PaperCaption"/>
        <w:keepNext w:val="0"/>
      </w:pPr>
      <w:r>
        <w:rPr>
          <w:b/>
        </w:rPr>
        <w:t>Figure 4. Proposed experiment architecture.</w:t>
      </w:r>
      <w:r>
        <w:rPr/>
        <w:t xml:space="preserve"> Source definitions and captured responses jointly inform the mapping. The two client conditions use the same standardized evidence, while the provider interface supplies a separate presentation reference. All adapter and service connections shown here are proposed. The architecture is authored for this study using the resource distinctions in the selected OGC standards and MPSS baseline (Open Geospatial Consortium 2025a; 2025b; MERLIN Project 2026a).</w:t>
      </w:r>
    </w:p>
    <w:p>
      <w:pPr>
        <w:pStyle w:val="Heading1"/>
      </w:pPr>
      <w:r>
        <w:rPr/>
        <w:t>6 Source selection and preliminary observations</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Formal Phase 1 source evidence</w:t>
      </w:r>
    </w:p>
    <w:p>
      <w:pPr/>
      <w:r>
        <w:rPr/>
        <w:t xml:space="preserve">The 24 October feasibility check established that registration 19639 could provide useful current and historical data, but it is no longer the evidence basis for formal mappings. Phase 1 froze a new complete specimen at </w:t>
      </w:r>
      <w:r>
        <w:rPr>
          <w:rFonts w:ascii="DejaVu Sans Mono" w:hAnsi="DejaVu Sans Mono"/>
          <w:sz w:val="19"/>
        </w:rPr>
        <w:t>2026-10-25T02:43:48Z</w:t>
      </w:r>
      <w:r>
        <w:rPr/>
        <w:t xml:space="preserve">, including the Device response, response headers, request URLs and one-day temperature and PM2.5 histories with SHA-256 hashes (MERLIN Project 2026k). The source reports 21 current channels, with eleven non-SEN5X channels at </w:t>
      </w:r>
      <w:r>
        <w:rPr>
          <w:rFonts w:ascii="DejaVu Sans Mono" w:hAnsi="DejaVu Sans Mono"/>
          <w:sz w:val="19"/>
        </w:rPr>
        <w:t>02:40:21Z</w:t>
      </w:r>
      <w:r>
        <w:rPr/>
        <w:t xml:space="preserve"> and ten SEN5X particulate channels at </w:t>
      </w:r>
      <w:r>
        <w:rPr>
          <w:rFonts w:ascii="DejaVu Sans Mono" w:hAnsi="DejaVu Sans Mono"/>
          <w:sz w:val="19"/>
        </w:rPr>
        <w:t>02:36:21Z</w:t>
      </w:r>
      <w:r>
        <w:rPr/>
        <w:t xml:space="preserve">. This two-cohort timing pattern is itself evidence that device-level </w:t>
      </w:r>
      <w:r>
        <w:rPr>
          <w:rFonts w:ascii="DejaVu Sans Mono" w:hAnsi="DejaVu Sans Mono"/>
          <w:sz w:val="19"/>
        </w:rPr>
        <w:t>last_reading_at</w:t>
      </w:r>
      <w:r>
        <w:rPr/>
        <w:t xml:space="preserve"> cannot replace channel-specific time.</w:t>
      </w:r>
    </w:p>
    <w:p>
      <w:pPr>
        <w:pStyle w:val="PaperCaption"/>
        <w:keepNext/>
      </w:pPr>
      <w:r>
        <w:rPr>
          <w:b/>
        </w:rPr>
        <w:t>Table 4. Selected observations from the formal frozen specimen.</w:t>
      </w:r>
      <w:r>
        <w:rPr/>
        <w:t xml:space="preserve"> The table uses the retained 25 October source body rather than the earlier feasibility values. Values and times are source-reported and have not yet passed through the proposed adapter or CSAPI server. System-related telemetry is shown alongside environmental observations to exercise different subject and interpretation questions. None of the rows is a readiness or health assessment (MERLIN Project 2026k).</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Air 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19.59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property, unit, environmental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Relative humidity</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65.54 %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a second SHT31 output remain distinct from component identity?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9.3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02:36:21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particulate-channel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parent-System status kept separate from battery identity and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received-signal power remain telemetry without becoming interface/link status?</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SD-card indication</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the source categorical meaning retained without becoming Boolean health?</w:t>
            </w:r>
          </w:p>
        </w:tc>
      </w:tr>
    </w:tbl>
    <w:p>
      <w:pPr>
        <w:spacing w:after="40" w:before="0" w:line="60" w:lineRule="exact"/>
      </w:pPr>
    </w:p>
    <w:p>
      <w:pPr/>
      <w:r>
        <w:rPr/>
        <w:t xml:space="preserve">The formal one-day temperature history contains 24 one-hour average tuples and reports </w:t>
      </w:r>
      <w:r>
        <w:rPr>
          <w:rFonts w:ascii="DejaVu Sans Mono" w:hAnsi="DejaVu Sans Mono"/>
          <w:sz w:val="19"/>
        </w:rPr>
        <w:t>sample_size=1439</w:t>
      </w:r>
      <w:r>
        <w:rPr/>
        <w:t xml:space="preserve">; the corresponding PM2.5 history also contains 24 tuples but reports </w:t>
      </w:r>
      <w:r>
        <w:rPr>
          <w:rFonts w:ascii="DejaVu Sans Mono" w:hAnsi="DejaVu Sans Mono"/>
          <w:sz w:val="19"/>
        </w:rPr>
        <w:t>sample_size=288</w:t>
      </w:r>
      <w:r>
        <w:rPr/>
        <w:t xml:space="preserve"> (MERLIN Project 2026k). Smart Citizen documents </w:t>
      </w:r>
      <w:r>
        <w:rPr>
          <w:rFonts w:ascii="DejaVu Sans Mono" w:hAnsi="DejaVu Sans Mono"/>
          <w:sz w:val="19"/>
        </w:rPr>
        <w:t>sample_size</w:t>
      </w:r>
      <w:r>
        <w:rPr/>
        <w:t xml:space="preserve"> as the readings examined to build the response, while </w:t>
      </w:r>
      <w:r>
        <w:rPr>
          <w:rFonts w:ascii="DejaVu Sans Mono" w:hAnsi="DejaVu Sans Mono"/>
          <w:sz w:val="19"/>
        </w:rPr>
        <w:t>rollup=1h</w:t>
      </w:r>
      <w:r>
        <w:rPr/>
        <w:t xml:space="preserve"> and </w:t>
      </w:r>
      <w:r>
        <w:rPr>
          <w:rFonts w:ascii="DejaVu Sans Mono" w:hAnsi="DejaVu Sans Mono"/>
          <w:sz w:val="19"/>
        </w:rPr>
        <w:t>function=avg</w:t>
      </w:r>
      <w:r>
        <w:rPr/>
        <w:t xml:space="preserve"> define the grouping request (Smart Citizen n.d.-d). Returned timestamps are not exact hour boundaries and differ between the two series, so the study preserves each tuple time exactly rather than constructing nominal intervals. These histories are source-platform derived products and are mapped separately from current source-reported results.</w:t>
      </w:r>
    </w:p>
    <w:p>
      <w:pPr>
        <w:pStyle w:val="PaperCaption"/>
        <w:keepNext/>
      </w:pPr>
      <w:r>
        <w:rPr>
          <w:b/>
        </w:rPr>
        <w:t>Listing 1. Selected formal temperature fields.</w:t>
      </w:r>
      <w:r>
        <w:rPr/>
        <w:t xml:space="preserve"> These members are reproduced from </w:t>
      </w:r>
      <w:r>
        <w:rPr>
          <w:rFonts w:ascii="DejaVu Sans Mono" w:hAnsi="DejaVu Sans Mono"/>
          <w:sz w:val="19"/>
        </w:rPr>
        <w:t>/data/sensors/18</w:t>
      </w:r>
      <w:r>
        <w:rPr/>
        <w:t xml:space="preserve"> in the frozen Device response. Other members are omitted, and the excerpt is not a source schema or complete response. The listing is retained as a companion JSON file and verified against the frozen body. It replaces the earlier feasibility excerpt as the formal mapping specimen (MERLIN Project 2026k).</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19.59,</w:t>
      </w:r>
    </w:p>
    <w:p>
      <w:pPr>
        <w:pStyle w:val="PaperCode"/>
        <w:keepNext/>
      </w:pPr>
      <w:r>
        <w:t xml:space="preserve">  "last_reading_at": "2026-10-25T02:40:21Z"</w:t>
      </w:r>
    </w:p>
    <w:p>
      <w:pPr>
        <w:pStyle w:val="PaperCode"/>
        <w:keepNext w:val="0"/>
        <w:spacing w:after="160"/>
      </w:pPr>
      <w:r>
        <w:t>}</w:t>
      </w:r>
    </w:p>
    <w:p>
      <w:pPr/>
      <w:r>
        <w:rPr/>
        <w:t xml:space="preserve">The native source also exposed semantic traps that matter to the experiment. Smart Citizen documents </w:t>
      </w:r>
      <w:r>
        <w:rPr>
          <w:rFonts w:ascii="DejaVu Sans Mono" w:hAnsi="DejaVu Sans Mono"/>
          <w:sz w:val="19"/>
        </w:rPr>
        <w:t>notify.low_battery</w:t>
      </w:r>
      <w:r>
        <w:rPr/>
        <w:t xml:space="preserve"> and </w:t>
      </w:r>
      <w:r>
        <w:rPr>
          <w:rFonts w:ascii="DejaVu Sans Mono" w:hAnsi="DejaVu Sans Mono"/>
          <w:sz w:val="19"/>
        </w:rPr>
        <w:t>notify.stopped_publishing</w:t>
      </w:r>
      <w:r>
        <w:rPr/>
        <w:t xml:space="preserve"> as notification settings, so a false value is not evidence of a healthy battery or healthy publishing state (Smart Citizen n.d.-d; MERLIN Project 2026k). Likewise, </w:t>
      </w:r>
      <w:r>
        <w:rPr>
          <w:rFonts w:ascii="DejaVu Sans Mono" w:hAnsi="DejaVu Sans Mono"/>
          <w:sz w:val="19"/>
        </w:rPr>
        <w:t>prev_value</w:t>
      </w:r>
      <w:r>
        <w:rPr/>
        <w:t xml:space="preserve"> has no independent timestamp in the current Device representation and is not used to manufacture a timed trend. These examples show why a familiar label cannot substitute for source semantics.</w:t>
      </w:r>
    </w:p>
    <w:p>
      <w:pPr/>
      <w:r>
        <w:rPr/>
        <w:t xml:space="preserve">The inspected Smart Citizen API source adds a further processing qualification. At revision </w:t>
      </w:r>
      <w:r>
        <w:rPr>
          <w:rFonts w:ascii="DejaVu Sans Mono" w:hAnsi="DejaVu Sans Mono"/>
          <w:sz w:val="19"/>
        </w:rPr>
        <w:t>25a524cb...</w:t>
      </w:r>
      <w:r>
        <w:rPr/>
        <w:t xml:space="preserve">, </w:t>
      </w:r>
      <w:r>
        <w:rPr>
          <w:rFonts w:ascii="DejaVu Sans Mono" w:hAnsi="DejaVu Sans Mono"/>
          <w:sz w:val="19"/>
        </w:rPr>
        <w:t>RawStorer</w:t>
      </w:r>
      <w:r>
        <w:rPr/>
        <w:t xml:space="preserve"> calls </w:t>
      </w:r>
      <w:r>
        <w:rPr>
          <w:rFonts w:ascii="DejaVu Sans Mono" w:hAnsi="DejaVu Sans Mono"/>
          <w:sz w:val="19"/>
        </w:rPr>
        <w:t>normalized_value</w:t>
      </w:r>
      <w:r>
        <w:rPr/>
        <w:t xml:space="preserve"> before storing the </w:t>
      </w:r>
      <w:r>
        <w:rPr>
          <w:rFonts w:ascii="DejaVu Sans Mono" w:hAnsi="DejaVu Sans Mono"/>
          <w:sz w:val="19"/>
        </w:rPr>
        <w:t>&lt;sensor_id&gt;_raw</w:t>
      </w:r>
      <w:r>
        <w:rPr/>
        <w:t xml:space="preserve"> entry and then stores the output of a method named </w:t>
      </w:r>
      <w:r>
        <w:rPr>
          <w:rFonts w:ascii="DejaVu Sans Mono" w:hAnsi="DejaVu Sans Mono"/>
          <w:sz w:val="19"/>
        </w:rPr>
        <w:t>calibrated_value</w:t>
      </w:r>
      <w:r>
        <w:rPr/>
        <w:t xml:space="preserve"> under the sensor ID that the public Device response exposes as </w:t>
      </w:r>
      <w:r>
        <w:rPr>
          <w:rFonts w:ascii="DejaVu Sans Mono" w:hAnsi="DejaVu Sans Mono"/>
          <w:sz w:val="19"/>
        </w:rPr>
        <w:t>value</w:t>
      </w:r>
      <w:r>
        <w:rPr/>
        <w:t xml:space="preserve"> (Smart Citizen 2026). The study therefore calls the public values source-platform reported/processed results rather than untouched raw sensor output, and the method name does not establish calibration in the VIM sense without calibration standards, uncertainty relationships or traceability evidence (Joint Committee for Guides in Metrology 2012). The exact production revision remains unverified, so repository source explains the inspected implementation path without proving byte-for-byte production behavior.</w:t>
      </w:r>
    </w:p>
    <w:p>
      <w:pPr>
        <w:pStyle w:val="Heading1"/>
      </w:pPr>
      <w:r>
        <w:rPr/>
        <w:t>7 Proposed dataset and mapping method</w:t>
      </w:r>
    </w:p>
    <w:p>
      <w:pPr>
        <w:pStyle w:val="Heading2"/>
      </w:pPr>
      <w:r>
        <w:rPr/>
        <w:t>Evidence collection and scope</w:t>
      </w:r>
    </w:p>
    <w:p>
      <w:pPr/>
      <w:r>
        <w:rPr/>
        <w:t>The formal first dataset now includes source registration and model metadata, a complete 21-channel inventory, definitions, units, individual timestamps, current readings and bounded temperature/PM2.5 history (MERLIN Project 2026k). The representative Phase 3 mapping set covers registration/model identity, temperature, PM2.5, humidity, pressure, A-weighted sound level, battery percentage, RSSI, SD-card indication and the two one-hour aggregate products (MERLIN Project 2026l). Other inventoried channels remain deliberate deferred cases rather than silently unmapped omissions. The selection exercises semantic distinctions rather than maximizing record count.</w:t>
      </w:r>
    </w:p>
    <w:p>
      <w:pPr/>
      <w:r>
        <w:rPr/>
        <w:t>The formal acquisition retains the endpoint/query, UTC acquisition time, HTTP outcome, response headers, complete response bodies and SHA-256 fingerprints; a later acquisition should additionally freeze the API root/version information when available (MERLIN Project 2026k). Published excerpts identify their relationship to those retained bodies, and the raw capture remains separate from application fixtures. The earlier 24 October evidence record remains a feasibility record and is not retroactively relabeled as the formal specimen (MERLIN Project 2026b). This preserves the difference between feasibility evidence, source evidence and later mapped representations.</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5" name="Picture 5"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5"/>
                    <a:stretch>
                      <a:fillRect/>
                    </a:stretch>
                  </pic:blipFill>
                  <pic:spPr>
                    <a:xfrm>
                      <a:off x="0" y="0"/>
                      <a:ext cx="6217920" cy="5129784"/>
                    </a:xfrm>
                    <a:prstGeom prst="rect"/>
                  </pic:spPr>
                </pic:pic>
              </a:graphicData>
            </a:graphic>
          </wp:inline>
        </w:drawing>
      </w:r>
    </w:p>
    <w:p>
      <w:pPr>
        <w:pStyle w:val="PaperCaption"/>
        <w:keepNext w:val="0"/>
      </w:pPr>
      <w:r>
        <w:rPr>
          <w:b/>
        </w:rPr>
        <w:t>Figure 5.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5.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Phase 1–3 review checkpoint</w:t>
      </w:r>
    </w:p>
    <w:p>
      <w:pPr/>
      <w:r>
        <w:rPr/>
        <w:t>The mapping review was deliberately reopened before Phase 4 so that source-characterization and semantic defects could be corrected before code or server behavior made them implicit. The review retained the core identity, environmental-observation, battery and SD-card conclusions, corrected RSSI's earlier overconfident status classification, and brought the two aggregate-history products into the mapping ledger with explicit processing provenance (MERLIN Project 2026l). It also corrected the source-processing description and the 11+10 timing cohort count, while preserving unresolved result-time and sampling-subject questions rather than inventing answers. The work pauses at this checkpoint for owner review before any CSAPI resource graph is authored.</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 1–3 item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Reviewed standing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Formal specimen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Frozen registration 19639 Device response plus temperature and PM2.5 histories with requests, headers and hashes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Native characterization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 channels; 11 at 02:40:21Z and 10 SEN5X channels at 02:36:21Z; notification, previous-value, location and processing limitations explicit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Identity/model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System instance remains distinct from platform registration and reusable SCK2.3 model description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Environmental current results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Temperature, PM2.5, humidity, pressure and A-weighted sound level mapped as environmental observations with unresolved sampling feature/resultTime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Parent-System status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 and SD-card code mapped without inventing battery topology, readiness or Boolean health</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Quantity preserved; observed subject and optional DataStream type remain unresolved instead of forcing System status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Aggregate history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One-hour averages treated as source-platform processing products; processing System/Procedure and exact times remain Phase 4 design questions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Selection of phenomenon time, result time, and any aggregation interval remains an explicit decision, not an inference from the spelling of a timestamp field. Complete request and response examples will be added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now uses the formal frozen temperature channel rather than the preliminary feasibility value. The source supplies sensor catalogue ID 55, value 19.59 ºC, unit definition </w:t>
      </w:r>
      <w:r>
        <w:rPr>
          <w:rFonts w:ascii="DejaVu Sans Mono" w:hAnsi="DejaVu Sans Mono"/>
          <w:sz w:val="19"/>
        </w:rPr>
        <w:t>https://qudt.org/vocab/unit/DEG_C</w:t>
      </w:r>
      <w:r>
        <w:rPr/>
        <w:t xml:space="preserve">, air-temperature definition </w:t>
      </w:r>
      <w:r>
        <w:rPr>
          <w:rFonts w:ascii="DejaVu Sans Mono" w:hAnsi="DejaVu Sans Mono"/>
          <w:sz w:val="19"/>
        </w:rPr>
        <w:t>http://www.eionet.europa.eu/gemet/concept/281</w:t>
      </w:r>
      <w:r>
        <w:rPr/>
        <w:t xml:space="preserve">, and channel source time </w:t>
      </w:r>
      <w:r>
        <w:rPr>
          <w:rFonts w:ascii="DejaVu Sans Mono" w:hAnsi="DejaVu Sans Mono"/>
          <w:sz w:val="19"/>
        </w:rPr>
        <w:t>2026-10-25T02:40:21Z</w:t>
      </w:r>
      <w:r>
        <w:rPr/>
        <w:t xml:space="preserve"> (MERLIN Project 2026k; 2026l). In the underlying model this is an environmental Observation result produced by the sensing System, with the observed subject distinct from that producer. MPSS R10 and R11 therefore keep output/DataStream correspondence, producer, observed subject and temporal context distinguishable.</w:t>
      </w:r>
    </w:p>
    <w:p>
      <w:pPr/>
      <w:r>
        <w:rPr/>
        <w:t xml:space="preserve">The observation-concept lineage runs through CSAPI to SOSA/SSN.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distinguish the producer, observation, property, subject and outcome, while CSAPI supplies the DataStream and Observation resource mechanisms (World Wide Web Consortium 2017; Open Geospatial Consortium 2025a; 2025b). GEMET concept 281 and QUDT </w:t>
      </w:r>
      <w:r>
        <w:rPr>
          <w:rFonts w:ascii="DejaVu Sans Mono" w:hAnsi="DejaVu Sans Mono"/>
          <w:sz w:val="19"/>
        </w:rPr>
        <w:t>DEG_C</w:t>
      </w:r>
      <w:r>
        <w:rPr/>
        <w:t xml:space="preserve"> are source-carried property/unit vocabularies rather than evidence that those vocabularies historically donated every relevant DIM concept (European Environment Agency 2021; QUDT.org n.d.). The local output name remains an experiment-authored choice.</w:t>
      </w:r>
    </w:p>
    <w:p>
      <w:pPr/>
      <w:r>
        <w:rPr/>
        <w:t xml:space="preserve">The proposed SensorML output uses a SWE Quantity named </w:t>
      </w:r>
      <w:r>
        <w:rPr>
          <w:rFonts w:ascii="DejaVu Sans Mono" w:hAnsi="DejaVu Sans Mono"/>
          <w:sz w:val="19"/>
        </w:rPr>
        <w:t>airTemperature</w:t>
      </w:r>
      <w:r>
        <w:rPr/>
        <w:t xml:space="preserve"> with the source property and unit URIs. Its CSAPI DataStream is type </w:t>
      </w:r>
      <w:r>
        <w:rPr>
          <w:rFonts w:ascii="DejaVu Sans Mono" w:hAnsi="DejaVu Sans Mono"/>
          <w:sz w:val="19"/>
        </w:rPr>
        <w:t>observation</w:t>
      </w:r>
      <w:r>
        <w:rPr/>
        <w:t xml:space="preserve">; linked scalar Observations are expected to yield server-derived </w:t>
      </w:r>
      <w:r>
        <w:rPr>
          <w:rFonts w:ascii="DejaVu Sans Mono" w:hAnsi="DejaVu Sans Mono"/>
          <w:sz w:val="19"/>
        </w:rPr>
        <w:t>resultType=measure</w:t>
      </w:r>
      <w:r>
        <w:rPr/>
        <w:t>, rather than the adapter authoring that summary field directly (Open Geospatial Consortium 2025b, sec. 9.2). The channel timestamp is retained as the source-recorded observation time and a candidate phenomenonTime, but the source supplies no separate resultTime. No SamplingFeature is created merely to satisfy the target graph.</w:t>
      </w:r>
    </w:p>
    <w:p>
      <w:pPr/>
      <w:r>
        <w:rPr/>
        <w:t>Presentation may show the source-reported temperature, unit, property meaning, producer and channel time while stating that the environmental sampling subject is not independently identified. It must not call 19.59 ºC “device temperature,” replace the channel time with the Device's latest time, or use acquisition time as an observation time. These are semantic-preservation requirements, not layout preferences.</w:t>
      </w:r>
    </w:p>
    <w:p>
      <w:pPr>
        <w:pStyle w:val="Heading2"/>
      </w:pPr>
      <w:r>
        <w:rPr/>
        <w:t>Battery mapping SC BATT 01</w:t>
      </w:r>
    </w:p>
    <w:p>
      <w:pPr/>
      <w:r>
        <w:rPr/>
        <w:t xml:space="preserve">Mapping </w:t>
      </w:r>
      <w:r>
        <w:rPr>
          <w:rFonts w:ascii="DejaVu Sans Mono" w:hAnsi="DejaVu Sans Mono"/>
          <w:sz w:val="19"/>
        </w:rPr>
        <w:t>SC-BATT-01</w:t>
      </w:r>
      <w:r>
        <w:rPr/>
        <w:t xml:space="preserve"> uses the formal 99 percent result at </w:t>
      </w:r>
      <w:r>
        <w:rPr>
          <w:rFonts w:ascii="DejaVu Sans Mono" w:hAnsi="DejaVu Sans Mono"/>
          <w:sz w:val="19"/>
        </w:rPr>
        <w:t>2026-10-25T02:40:21Z</w:t>
      </w:r>
      <w:r>
        <w:rPr/>
        <w:t xml:space="preserve"> and Smart Citizen Measurement 7, whose definition is the SCK remaining battery level in percentage (MERLIN Project 2026k; 2026l). Under the paper's telemetry definition, this is remotely transmitted parent-System power/status telemetry, not evidence of a separately identified battery. MPSS R17 preserves the changing value and observed subject, while R16 is not instantiated because no battery identity, Power Interface or source-to-consumer relationship is supplied. A status DataStream is therefore defensible because the property is explicitly about the parent SCK itself (Open Geospatial Consortium 2025b, sec. 9.2; Scholl and Suloway 2023).</w:t>
      </w:r>
    </w:p>
    <w:p>
      <w:pPr/>
      <w:r>
        <w:rPr/>
        <w:t xml:space="preserve">RFC 7326 contributes power-source and metering concepts that constrain against inventing supply topology, and RFC 7577 defines battery objects such as actual charge and actual voltage whose units and meanings are not equivalent to a percentage (Parello et al. 2014; Quittek et al. 2015). The proposed SWE Quantity uses local name </w:t>
      </w:r>
      <w:r>
        <w:rPr>
          <w:rFonts w:ascii="DejaVu Sans Mono" w:hAnsi="DejaVu Sans Mono"/>
          <w:sz w:val="19"/>
        </w:rPr>
        <w:t>batteryLevel</w:t>
      </w:r>
      <w:r>
        <w:rPr/>
        <w:t xml:space="preserve">, source unit code </w:t>
      </w:r>
      <w:r>
        <w:rPr>
          <w:rFonts w:ascii="DejaVu Sans Mono" w:hAnsi="DejaVu Sans Mono"/>
          <w:sz w:val="19"/>
        </w:rPr>
        <w:t>%</w:t>
      </w:r>
      <w:r>
        <w:rPr/>
        <w:t xml:space="preserve">, and the resolvable source concept </w:t>
      </w:r>
      <w:r>
        <w:rPr>
          <w:rFonts w:ascii="DejaVu Sans Mono" w:hAnsi="DejaVu Sans Mono"/>
          <w:sz w:val="19"/>
        </w:rPr>
        <w:t>https://api.smartcitizen.me/v0/measurements/7</w:t>
      </w:r>
      <w:r>
        <w:rPr/>
        <w:t xml:space="preserve"> as an experiment-authored semantic definition. Linked scalar Observations are expected to yield server-derived </w:t>
      </w:r>
      <w:r>
        <w:rPr>
          <w:rFonts w:ascii="DejaVu Sans Mono" w:hAnsi="DejaVu Sans Mono"/>
          <w:sz w:val="19"/>
        </w:rPr>
        <w:t>resultType=measure</w:t>
      </w:r>
      <w:r>
        <w:rPr/>
        <w:t>. The source still supplies no separate resultTime.</w:t>
      </w:r>
    </w:p>
    <w:p>
      <w:pPr/>
      <w:r>
        <w:rPr/>
        <w:t>The display may say “source-reported SCK remaining battery level: 99%” and show its source time. It must not add charge in mAh, voltage, remaining runtime, charging state, a separate battery identity, a supply edge or readiness judgment. This preserved absence is part of the result rather than a missing-value defect.</w:t>
      </w:r>
    </w:p>
    <w:p>
      <w:pPr>
        <w:pStyle w:val="Heading2"/>
      </w:pPr>
      <w:r>
        <w:rPr/>
        <w:t>RSSI classification correction</w:t>
      </w:r>
    </w:p>
    <w:p>
      <w:pPr/>
      <w:r>
        <w:rPr/>
        <w:t xml:space="preserve">The Phase 3 review changed the earlier proposed classification of </w:t>
      </w:r>
      <w:r>
        <w:rPr>
          <w:rFonts w:ascii="DejaVu Sans Mono" w:hAnsi="DejaVu Sans Mono"/>
          <w:sz w:val="19"/>
        </w:rPr>
        <w:t>SC-RSSI-01</w:t>
      </w:r>
      <w:r>
        <w:rPr/>
        <w:t xml:space="preserve">. Smart Citizen defines RSSI as power present in a received radio signal, but the frozen source does not independently identify whether the observed subject is the parent System, an embedded Wi-Fi subsystem/interface, or the received signal/link context (Smart Citizen n.d.-d; MERLIN Project 2026l). OGC reserves DataStream type </w:t>
      </w:r>
      <w:r>
        <w:rPr>
          <w:rFonts w:ascii="DejaVu Sans Mono" w:hAnsi="DejaVu Sans Mono"/>
          <w:sz w:val="19"/>
        </w:rPr>
        <w:t>status</w:t>
      </w:r>
      <w:r>
        <w:rPr/>
        <w:t xml:space="preserve"> for observations of the parent System or its subsystems and </w:t>
      </w:r>
      <w:r>
        <w:rPr>
          <w:rFonts w:ascii="DejaVu Sans Mono" w:hAnsi="DejaVu Sans Mono"/>
          <w:sz w:val="19"/>
        </w:rPr>
        <w:t>observation</w:t>
      </w:r>
      <w:r>
        <w:rPr/>
        <w:t xml:space="preserve"> for other features of interest, so equipment context alone does not settle the type (Open Geospatial Consortium 2025b, sec. 9.2). The Phase 3 design therefore leaves the optional DataStream </w:t>
      </w:r>
      <w:r>
        <w:rPr>
          <w:rFonts w:ascii="DejaVu Sans Mono" w:hAnsi="DejaVu Sans Mono"/>
          <w:sz w:val="19"/>
        </w:rPr>
        <w:t>type</w:t>
      </w:r>
      <w:r>
        <w:rPr/>
        <w:t xml:space="preserve"> unset until Phase 4 resolves the subject.</w:t>
      </w:r>
    </w:p>
    <w:p>
      <w:pPr/>
      <w:r>
        <w:rPr/>
        <w:t xml:space="preserve">The value remains a SWE Quantity with source-concept definition </w:t>
      </w:r>
      <w:r>
        <w:rPr>
          <w:rFonts w:ascii="DejaVu Sans Mono" w:hAnsi="DejaVu Sans Mono"/>
          <w:sz w:val="19"/>
        </w:rPr>
        <w:t>https://api.smartcitizen.me/v0/measurements/78</w:t>
      </w:r>
      <w:r>
        <w:rPr/>
        <w:t xml:space="preserve">. The native unit lexeme </w:t>
      </w:r>
      <w:r>
        <w:rPr>
          <w:rFonts w:ascii="DejaVu Sans Mono" w:hAnsi="DejaVu Sans Mono"/>
          <w:sz w:val="19"/>
        </w:rPr>
        <w:t>dBm</w:t>
      </w:r>
      <w:r>
        <w:rPr/>
        <w:t xml:space="preserve"> is preserved; QUDT </w:t>
      </w:r>
      <w:r>
        <w:rPr>
          <w:rFonts w:ascii="DejaVu Sans Mono" w:hAnsi="DejaVu Sans Mono"/>
          <w:sz w:val="19"/>
        </w:rPr>
        <w:t>DeciB-MilliW</w:t>
      </w:r>
      <w:r>
        <w:rPr/>
        <w:t xml:space="preserve"> is a possible experiment-authored unit normalization because it represents a decibel level referenced to one milliwatt, but Smart Citizen did not supply that URI (QUDT.org 2026). MPSS R13 continues to constrain the interpretation: RSSI is not interface operational status, enabled state, reachability or a directed network link. Presentation therefore reports source RSSI without inventing “Wi-Fi health,” “link up” or signal-quality thresholds.</w:t>
      </w:r>
    </w:p>
    <w:p>
      <w:pPr>
        <w:pStyle w:val="Heading2"/>
      </w:pPr>
      <w:r>
        <w:rPr/>
        <w:t>Aggregate-history mappings</w:t>
      </w:r>
    </w:p>
    <w:p>
      <w:pPr/>
      <w:r>
        <w:rPr/>
        <w:t xml:space="preserve">The one-hour average temperature and PM2.5 series are now explicit Phase 3 mappings rather than deferred examples. Smart Citizen documents the rollup and grouping function, and the inspected implementation shows source-platform aggregation through Kairos; the derived averages therefore have processing provenance that must not be attributed to the physical SCK (Smart Citizen n.d.-d; 2026; MERLIN Project 2026l). OGC permits a process System with </w:t>
      </w:r>
      <w:r>
        <w:rPr>
          <w:rFonts w:ascii="DejaVu Sans Mono" w:hAnsi="DejaVu Sans Mono"/>
          <w:sz w:val="19"/>
        </w:rPr>
        <w:t>assetType=Process</w:t>
      </w:r>
      <w:r>
        <w:rPr/>
        <w:t xml:space="preserve">, an associated Procedure, and a derived Property that references a </w:t>
      </w:r>
      <w:r>
        <w:rPr>
          <w:rFonts w:ascii="DejaVu Sans Mono" w:hAnsi="DejaVu Sans Mono"/>
          <w:sz w:val="19"/>
        </w:rPr>
        <w:t>baseProperty</w:t>
      </w:r>
      <w:r>
        <w:rPr/>
        <w:t xml:space="preserve"> and optionally a statistic (Open Geospatial Consortium 2025a, secs. 9, 15). The Phase 3 design uses those mechanisms conceptually while leaving exact UIDs and server-supported request structures for Phase 4.</w:t>
      </w:r>
    </w:p>
    <w:p>
      <w:pPr/>
      <w:r>
        <w:rPr/>
        <w:t>The temperature response reports 1,439 readings examined and the PM2.5 response 288, even though both return 24 one-hour aggregate tuples. Those response-wide counts remain query/processing provenance and are not copied into each aggregate as per-bin sample counts. Returned tuple timestamps are preserved exactly, and no nominal one-hour phenomenon interval or separate resultTime is invented from the request spelling. If the target server cannot preserve the processing distinction without distortion, omitting the aggregate products from the first load is preferable to presenting them as direct physical-kit output.</w:t>
      </w:r>
    </w:p>
    <w:p>
      <w:pPr>
        <w:pStyle w:val="Heading2"/>
      </w:pPr>
      <w:r>
        <w:rPr/>
        <w:t>Expected domain coverage</w:t>
      </w:r>
    </w:p>
    <w:p>
      <w:pPr>
        <w:pStyle w:val="PaperCaption"/>
        <w:keepNext/>
      </w:pPr>
      <w:r>
        <w:rPr>
          <w:b/>
        </w:rPr>
        <w:t>Table 6.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8 Integration and evaluation protocol</w:t>
      </w:r>
    </w:p>
    <w:p>
      <w:pPr>
        <w:pStyle w:val="Heading2"/>
      </w:pPr>
      <w:r>
        <w:rPr/>
        <w:t>Acquisition and publication</w:t>
      </w:r>
    </w:p>
    <w:p>
      <w:pPr/>
      <w:r>
        <w:rPr/>
        <w:t>The formal Phase 1 specimen is already frozen and remains the deterministic mapping/replay baseline. Before a later live adapter run, the team will reassess registration 19639 for sufficiently recent data and document any reason for choosing a different live source while retaining the frozen specimen for comparison. Polling, caching and retry behavior will follow documented and observed source behavior, and repeated retrieval of an old observation will not make it new. The adapter will preserve acquisition time separately from source time and document duplicate handling.</w:t>
      </w:r>
    </w:p>
    <w:p>
      <w:pPr/>
      <w:r>
        <w:rPr/>
        <w:t>The selected CSAPI service will be checked for the required resource creation and retrieval capabilities. Only the chosen supported interfaces will be used, and the actual endpoint and version will be recorded in the execution record. A source sample will then be followed through capture, mapped representation,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7.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9 Interface comparison and figure protocol</w:t>
      </w:r>
    </w:p>
    <w:p>
      <w:pPr>
        <w:pStyle w:val="Heading2"/>
      </w:pPr>
      <w:r>
        <w:rPr/>
        <w:t>Vendor presentation baseline</w:t>
      </w:r>
    </w:p>
    <w:p>
      <w:pPr/>
      <w:r>
        <w:rPr/>
        <w:t>Before implementing the CSAPI and Glaux comparison, the study fixes a source-provider presentation baseline using first-party Smart Citizen documentation. This reduces post hoc selection risk: the vendor-side examples are chosen before the experiment produces a preferred client result. Smart Citizen describes its website as a near-real-time exploration interface that combines device data with contextual information, and its onboarding guide instructs users to visit the Kit on the platform after it begins publishing and then scroll down to make basic explorations (Smart Citizen n.d.-a; n.d.-e). These documented screens are therefore evidence of intended presentation patterns, not merely decorative examples selected by this study.</w:t>
      </w:r>
    </w:p>
    <w:p>
      <w:pPr>
        <w:keepNext/>
        <w:spacing w:after="40"/>
        <w:jc w:val="center"/>
      </w:pPr>
      <w:r>
        <w:drawing>
          <wp:inline xmlns:a="http://schemas.openxmlformats.org/drawingml/2006/main" xmlns:pic="http://schemas.openxmlformats.org/drawingml/2006/picture">
            <wp:extent cx="6217920" cy="3971071"/>
            <wp:docPr id="6" name="Picture 6" descr="Official Smart Citizen documentation screenshot of the core platform measurement-exploration screen" title="Official Smart Citizen documentation screenshot of the core platform measurement-exploration screen"/>
            <wp:cNvGraphicFramePr>
              <a:graphicFrameLocks noChangeAspect="1"/>
            </wp:cNvGraphicFramePr>
            <a:graphic>
              <a:graphicData uri="http://schemas.openxmlformats.org/drawingml/2006/picture">
                <pic:pic>
                  <pic:nvPicPr>
                    <pic:cNvPr id="0" name="smart_citizen_platform_basic_exploration.png"/>
                    <pic:cNvPicPr/>
                  </pic:nvPicPr>
                  <pic:blipFill>
                    <a:blip r:embed="rId16"/>
                    <a:stretch>
                      <a:fillRect/>
                    </a:stretch>
                  </pic:blipFill>
                  <pic:spPr>
                    <a:xfrm>
                      <a:off x="0" y="0"/>
                      <a:ext cx="6217920" cy="3971071"/>
                    </a:xfrm>
                    <a:prstGeom prst="rect"/>
                  </pic:spPr>
                </pic:pic>
              </a:graphicData>
            </a:graphic>
          </wp:inline>
        </w:drawing>
      </w:r>
    </w:p>
    <w:p>
      <w:pPr>
        <w:pStyle w:val="PaperCaption"/>
        <w:keepNext w:val="0"/>
      </w:pPr>
      <w:r>
        <w:rPr>
          <w:b/>
        </w:rPr>
        <w:t>Figure 6. Official Smart Citizen platform example of device measurement exploration.</w:t>
      </w:r>
      <w:r>
        <w:rPr/>
        <w:t xml:space="preserve"> The first-party onboarding documentation presents this screen immediately after instructing a user to visit a newly publishing Kit and scroll down for basic exploration (Smart Citizen n.d.-e). The historical example shows kit page 14410, a device-level header with a 44 percent battery indication and last-data-received time, a horizontal strip of current light, noise, air-temperature, humidity, pressure, and particulate measurements, and a selected PM2.5 detail with property explanation, date controls, and a time-series graph. The visible data are dated 14 July 2021 and are not observations from registration 19639 or evidence that the current production interface is pixel-identical. The source pixels are reproduced unchanged from Smart Citizen's documentation and their source provenance and separate published rights notices are retained with the study figures (MERLIN Project 2026j).</w:t>
      </w:r>
    </w:p>
    <w:p>
      <w:pPr/>
      <w:r>
        <w:rPr/>
        <w:t>The screen reveals a vendor presentation strategy that is useful to the experiment independently of its visual styling. Device-level context remains visible while multiple current quantities are summarized with values and units, after which one measurement can be expanded into a semantic explanation and temporal view. The presentation therefore connects resource identity/status, measurement inventory, selected-property meaning, and history instead of treating each API field as an isolated row. MERLIN does not need to copy this layout, but a standards-based reconstruction should preserve enough meaning to support the same kinds of operator questions when the source evidence permits them.</w:t>
      </w:r>
    </w:p>
    <w:p>
      <w:pPr>
        <w:keepNext/>
        <w:spacing w:after="40"/>
        <w:jc w:val="center"/>
      </w:pPr>
      <w:r>
        <w:drawing>
          <wp:inline xmlns:a="http://schemas.openxmlformats.org/drawingml/2006/main" xmlns:pic="http://schemas.openxmlformats.org/drawingml/2006/picture">
            <wp:extent cx="6217920" cy="3565588"/>
            <wp:docPr id="7" name="Picture 7" descr="Official Smart Citizen documentation screenshot of the Smart Citizen custom dashboard" title="Official Smart Citizen documentation screenshot of the Smart Citizen custom dashboard"/>
            <wp:cNvGraphicFramePr>
              <a:graphicFrameLocks noChangeAspect="1"/>
            </wp:cNvGraphicFramePr>
            <a:graphic>
              <a:graphicData uri="http://schemas.openxmlformats.org/drawingml/2006/picture">
                <pic:pic>
                  <pic:nvPicPr>
                    <pic:cNvPr id="0" name="smart_citizen_custom_dashboard.png"/>
                    <pic:cNvPicPr/>
                  </pic:nvPicPr>
                  <pic:blipFill>
                    <a:blip r:embed="rId17"/>
                    <a:stretch>
                      <a:fillRect/>
                    </a:stretch>
                  </pic:blipFill>
                  <pic:spPr>
                    <a:xfrm>
                      <a:off x="0" y="0"/>
                      <a:ext cx="6217920" cy="3565588"/>
                    </a:xfrm>
                    <a:prstGeom prst="rect"/>
                  </pic:spPr>
                </pic:pic>
              </a:graphicData>
            </a:graphic>
          </wp:inline>
        </w:drawing>
      </w:r>
    </w:p>
    <w:p>
      <w:pPr>
        <w:pStyle w:val="PaperCaption"/>
        <w:keepNext w:val="0"/>
      </w:pPr>
      <w:r>
        <w:rPr>
          <w:b/>
        </w:rPr>
        <w:t>Figure 7. Official Smart Citizen custom-dashboard example.</w:t>
      </w:r>
      <w:r>
        <w:rPr/>
        <w:t xml:space="preserve"> Smart Citizen's Data Tools documentation distinguishes the classic Smart Citizen Map from a separate JavaScript dashboard and describes the latter as a simpler but more advanced visualization with device status, filtering, customizable time-series plots, WebSocket notifications, and CSV download (Smart Citizen n.d.-f). The historical screenshot identifies device ERLIO as a Smart Citizen Kit 2.1 with Urban Sensor Board and presents current temperature and humidity values beside sensor designations and multi-day trend plots, with particulate sections continuing below the visible frame. It is an official example of an alternate Smart Citizen presentation, not the core platform screen shown in Figure 6 and not the SCK2.3 specimen selected for this experiment. The source image is reproduced unchanged from the first-party documentation and is retained as design evidence rather than a matched experimental condition (MERLIN Project 2026j).</w:t>
      </w:r>
    </w:p>
    <w:p>
      <w:pPr/>
      <w:r>
        <w:rPr/>
        <w:t>The two vendor examples show that Smart Citizen itself supports more than one valid presentation of the same broader information ecosystem. The core platform emphasizes a compact set of current metrics plus selected-measurement explanation and history, while the custom dashboard makes model/sensor labels and parallel trends more prominent. That variation is useful to the DIM/Profile study because it reinforces that the domain model should preserve reusable concepts without prescribing one universal screen arrangement. It also gives the Resource Details PBI concrete source-provider questions to preserve: what resource is being viewed, what can it report, what are the current values and units, what does a selected property mean, how recent is the information, and what history is available.</w:t>
      </w:r>
    </w:p>
    <w:p>
      <w:pPr>
        <w:pStyle w:val="PaperCaption"/>
        <w:keepNext/>
      </w:pPr>
      <w:r>
        <w:rPr>
          <w:b/>
        </w:rPr>
        <w:t>Table 8. Vendor presentation elements and reconstruction questions.</w:t>
      </w:r>
      <w:r>
        <w:rPr/>
        <w:t xml:space="preserve"> The table records information made visible in the two first-party examples and converts it into questions for the standards-based reconstruction. It does not assert that every element belongs in the default 560 × 440 Resource Details frame or that the MPSS profile already supplies every required binding. The eventual Glaux result will be evaluated against the underlying questions and preserved meanings rather than against pixel-level imitation of Smart Citizen's interface.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Vendor presentation element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Visible source-provider role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for the DIM/Profile and Glaux reconstruction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Device/resource header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Keeps the selected Kit and recent reporting context visible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the client identify the represented resource and distinguish resource status/context from observations?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Current-measurement strip</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Summarizes several quantities with values and units at once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heterogeneous outputs remain individually meaningful while sharing a compact overview?</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and last-data context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Shows equipment-related status alongside sensing outputs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battery reporting and data freshness remain qualified without becoming readiness or power-topology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Selected PM2.5 detail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Adds a human explanation to the selected property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the standardized representation preserve a semantic property definition that the client can explain?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Date controls and time-series graph</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Gives temporal context and history for a selected quantity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source time, requested interval, aggregation, and retrieved history remain distinguishable?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Sensor/model labels in dashboard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Exposes technical description near current values and trends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model, sensing component/function, observed property, and result remain separate but navigable?</w:t>
            </w:r>
          </w:p>
        </w:tc>
      </w:tr>
    </w:tbl>
    <w:p>
      <w:pPr>
        <w:spacing w:after="40" w:before="0" w:line="60" w:lineRule="exact"/>
      </w:pPr>
    </w:p>
    <w:p>
      <w:pPr/>
      <w:r>
        <w:rPr/>
        <w:t>The eventual matched comparison has three conditions: the Smart Citizen source presentation for the selected specimen where a contemporaneous view can be obtained, a competent generic OGC presentation, and a profile-aware Glaux presentation. Figures 6 and 7 establish first-party historical presentation evidence before implementation, but neither is a matched screenshot of public registration 19639.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9. Planned figures and evidence status.</w:t>
      </w:r>
      <w:r>
        <w:rPr/>
        <w:t xml:space="preserve"> Figures 1–5 identify the system, server, client, experiment architecture, and conceptual model. Figures 6 and 7 now provide first-party historical Smart Citizen UI evidence selected before the CSAPI/Glaux result exists. Figures 8–10 remain reserved for contemporaneous or executed evidence and will not be filled with simulated substitutes.</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0.7</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Kit 2.3 equipment and component roles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Official model reference photograph; not a verified image of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Experimental CSAPI server lineage and study role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server-lineage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Glaux experimental client architecture and interpretation boundary</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client-architecture diagram; Smart Citizen graph traversal remains planned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Proposed acquisition, mapping, service, and comparison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Proposed model and 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core-platform measurement exploration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first-party documentation screenshot; historical kit 14410 example, not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7</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custom-dashboard presentation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first-party documentation screenshot; historical SCK2.1 dashboard example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8</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Contemporaneous Smart Citizen view for the selected registration/interval, if reproducible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documented capture; absence will be reported rather than substituted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Matched generic and profile-aware Glaux views of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10</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Actual CSAPI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server records and mapping results</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10 Results to be reported</w:t>
      </w:r>
    </w:p>
    <w:p>
      <w:pPr/>
      <w:r>
        <w:rPr/>
        <w:t>Phases 1–3 now provide reportable source and mapping results, but the end-to-end integration remains incomplete. The experiment has frozen a complete formal Device specimen and two bounded histories, characterized all 21 current channels and their identity/time semantics, and reviewed nine current-state plus two aggregate-history mappings (MERLIN Project 2026k; 2026l). It has also recorded corrections discovered by review, including the source-processing provenance wording, notification-setting false friend, 11+10 timing cohorts and RSSI DataStream-type overreach. No adapter success rate, CSAPI interoperability claim, connected Glaux result, task-time improvement or user outcome is reported.</w:t>
      </w:r>
    </w:p>
    <w:p>
      <w:pPr/>
      <w:r>
        <w:rPr/>
        <w:t>The reviewed mappings demonstrate several negative results that are themselves meaningful. A Smart Citizen registration UUID is not established as a manufacturer serial; a shared Sensor catalogue parent is not an installed-component serial; battery percentage does not establish battery identity or supply topology; RSSI does not establish interface/link status; and SD-card code 0 cannot be simplified to a Boolean health state. The aggregate histories also show that semantic preservation includes processing provenance, because the source platform produced the one-hour averages and their response-wide sample counts. These findings narrow what a correct Phase 4 resource graph may claim.</w:t>
      </w:r>
    </w:p>
    <w:p>
      <w:pPr/>
      <w:r>
        <w:rPr/>
        <w:t>The remaining results will be produced in later phases. First, Phase 4 must turn the reviewed mappings into a resource graph and executable identity/subject/time decisions; later phases will record adapter outputs, server create/retrieve behavior, Glaux traversal and the matched generic/profile-aware presentation. Each later result will remain tied to the frozen specimen or a separately identified live acquisition rather than silently replacing the evidence baseline. The reporting structure continues to permit an accurate generic presentation or an unfavorable profile result.</w:t>
      </w:r>
    </w:p>
    <w:p>
      <w:pPr>
        <w:pStyle w:val="Heading1"/>
      </w:pPr>
      <w:r>
        <w:rPr/>
        <w:t>11 Discussion and limitations</w:t>
      </w:r>
    </w:p>
    <w:p>
      <w:pPr/>
      <w:r>
        <w:rPr/>
        <w:t>The immediate public-data case is strongest for reported quantities, source-platform descriptions, source context, telemetry and integration provenance. It remains weaker for unit-specific physical composition, operating configuration, deployment history, power topology and maintenance, and more readings cannot fill those missing relationships by themselves. Documentary model enrichment must not be presented as observation of the particular installation, while source-platform processing must not be presented as direct physical-sensor output (MERLIN Project 2026a; 2026k; 2026l). The terminology baseline helps keep those boundaries explicit.</w:t>
      </w:r>
    </w:p>
    <w:p>
      <w:pPr/>
      <w:r>
        <w:rPr/>
        <w:t>The formal Phase 1 capture archives the complete Device body plus the two selected history bodies, but it is still only one bounded specimen and did not freeze every possible endpoint or production-version indicator. The selected source may change its fields, permissions, processing code or availability, and the inspected Smart Citizen source revision is not independently proven to be the exact production revision (Smart Citizen 2026). Timestamp semantics, aggregate interval boundaries and historical location applicability retain explicit uncertainties. A later independent producer can test transfer, while an owned kit can address physical evidence gaps; these are different extensions.</w:t>
      </w:r>
    </w:p>
    <w:p>
      <w:pPr/>
      <w:r>
        <w:rPr/>
        <w:t>No full OGC conformance, whole-profile implementation, or native Smart Citizen support for MPSS is claimed. Structural correctness, service interoperability, and operator benefit require different evidence. The study will also retain the distinction between native source meanings, selected standard mechanisms, MERLIN-authored bindings, and client choices throughout its reporting.</w:t>
      </w:r>
    </w:p>
    <w:p>
      <w:pPr>
        <w:pStyle w:val="Heading1"/>
      </w:pPr>
      <w:r>
        <w:rPr/>
        <w:t>12 Reproducibility and document maintenance</w:t>
      </w:r>
    </w:p>
    <w:p>
      <w:pPr/>
      <w:r>
        <w:rPr/>
        <w:t>The manuscript, figures, code listings, reference metadata, and publication manifest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paper revision should add the Phase 4 resource graph and, only after its review gate, actual execution evidence from the first adapter/CSAPI trace.</w:t>
      </w:r>
    </w:p>
    <w:p>
      <w:pPr>
        <w:pStyle w:val="Heading1"/>
      </w:pPr>
      <w:r>
        <w:rPr/>
        <w:t>13 Conclusion</w:t>
      </w:r>
    </w:p>
    <w:p>
      <w:pPr/>
      <w:r>
        <w:rPr/>
        <w:t>This study has moved from a proposed source assessment to a reviewed Phase 1–3 evidence baseline. A formal Smart Citizen specimen is frozen, its native identities, channel times, status/configuration distinctions and processing limitations are characterized, and the representative mapping set now includes both current results and source-platform aggregate products. The review also demonstrated why shared terminology matters: telemetry is not static metadata, provenance includes processing and integration history, and a code label containing “calibrated” does not establish formal calibration. These corrections occurred before target resource design, where they can constrain implementation rather than be discovered after it.</w:t>
      </w:r>
    </w:p>
    <w:p>
      <w:pPr/>
      <w:r>
        <w:rPr/>
        <w:t>The next question is no longer whether a real source can be acquired or whether a plausible mapping can be sketched. It is whether the reviewed meanings can be represented as a defensible CSAPI resource graph without inventing identity, subject, time or provenance. That is the Phase 4 question, and this paper intentionally pauses before it for owner review. Later integration and presentation results will be evaluated against this reviewed baseline rather than against assumptions reconstructed after the fact.</w:t>
      </w:r>
    </w:p>
    <w:p>
      <w:pPr>
        <w:pStyle w:val="Heading1"/>
      </w:pPr>
      <w:r>
        <w:rPr/>
        <w:t>References</w:t>
      </w:r>
    </w:p>
    <w:p>
      <w:pPr>
        <w:pStyle w:val="PaperReference"/>
      </w:pPr>
      <w:r>
        <w:rPr/>
        <w:t xml:space="preserve">52°North Spatial Information Research GmbH. 2023. </w:t>
      </w:r>
      <w:r>
        <w:rPr>
          <w:i/>
        </w:rPr>
        <w:t>52°North Annual Report 2023</w:t>
      </w:r>
      <w:r>
        <w:rPr/>
        <w:t>. Münster, Germany. https://52north.org/delivery/annual_report/52%C2%B0North_Annual_Report_2023.pdf.</w:t>
      </w:r>
    </w:p>
    <w:p>
      <w:pPr>
        <w:pStyle w:val="PaperReference"/>
      </w:pPr>
      <w:r>
        <w:rPr/>
        <w:t>52°North Spatial Information Research GmbH. n.d.-a. “connected-systems-pygeoapi.” GitHub repository, tested revision 6ad75aa7fbfc76517c8a24c21446471845007855. Accessed October 24, 2026. https://github.com/52North/connected-systems-pygeoapi/tree/6ad75aa7fbfc76517c8a24c21446471845007855.</w:t>
      </w:r>
    </w:p>
    <w:p>
      <w:pPr>
        <w:pStyle w:val="PaperReference"/>
      </w:pPr>
      <w:r>
        <w:rPr/>
        <w:t>52°North Spatial Information Research GmbH. n.d.-b. “Open Source Projects Contributions.” Accessed October 24, 2026. https://52north.org/software/software-components/open-source-projects-contributions/.</w:t>
      </w:r>
    </w:p>
    <w:p>
      <w:pPr>
        <w:pStyle w:val="PaperReference"/>
      </w:pPr>
      <w:r>
        <w:rPr/>
        <w:t>52°North Spatial Information Research GmbH. n.d.-c. “connected-systems-pygeoapi.” Public demonstration service. Accessed October 24, 2026. https://csa.demo.52north.org/.</w:t>
      </w:r>
    </w:p>
    <w:p>
      <w:pPr>
        <w:pStyle w:val="PaperReference"/>
      </w:pPr>
      <w:r>
        <w:rPr/>
        <w:t>Camptocamp. n.d. “ogc-client.” GitHub repository. Accessed October 24, 2026. https://github.com/camptocamp/ogc-client.</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Joint Committee for Guides in Metrology. 2012. </w:t>
      </w:r>
      <w:r>
        <w:rPr>
          <w:i/>
        </w:rPr>
        <w:t>International Vocabulary of Metrology—Basic and General Concepts and Associated Terms (VIM)</w:t>
      </w:r>
      <w:r>
        <w:rPr/>
        <w:t>. 3rd ed., 2008 version with minor corrections. JCGM 200:2012. https://doi.org/10.59161/JCGM200-2012.</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MERLIN Project. 2026f. “52°North connected-systems-pygeoapi Experimental Server Baseline.” October 24. Research evidence record. https://github.com/OS4CSAPI/glaux-client/blob/work/details-view-20261023/Docs/Research/Evidence/PYGEOAPI_SERVER_BASELINE_2026-10-24.md.</w:t>
      </w:r>
    </w:p>
    <w:p>
      <w:pPr>
        <w:pStyle w:val="PaperReference"/>
      </w:pPr>
      <w:r>
        <w:rPr/>
        <w:t>MERLIN Project. 2026g. “Glaux Client Selection and Experimental Architecture Baseline.” October 24. Research evidence record. https://github.com/OS4CSAPI/glaux-client/blob/work/details-view-20261023/Docs/Research/Evidence/GLAUX_CLIENT_BASELINE_2026-10-24.md.</w:t>
      </w:r>
    </w:p>
    <w:p>
      <w:pPr>
        <w:pStyle w:val="PaperReference"/>
      </w:pPr>
      <w:r>
        <w:rPr/>
        <w:t>MERLIN Project. 2026h. “Dependency Provenance and Reproducibility.” October 23. Project dependency record. https://github.com/OS4CSAPI/glaux-client/blob/work/details-view-20261023/Docs/DEPENDENCIES.md.</w:t>
      </w:r>
    </w:p>
    <w:p>
      <w:pPr>
        <w:pStyle w:val="PaperReference"/>
      </w:pPr>
      <w:r>
        <w:rPr/>
        <w:t>MERLIN Project. 2026i. “Cloudflare Deployment Continuation.” October 24. Deployment record. https://github.com/OS4CSAPI/glaux-client/blob/work/details-view-20261023/Docs/Plans/CLOUDFLARE_DEPLOYMENT.md.</w:t>
      </w:r>
    </w:p>
    <w:p>
      <w:pPr>
        <w:pStyle w:val="PaperReference"/>
      </w:pPr>
      <w:r>
        <w:rPr/>
        <w:t>MERLIN Project. 2026j. “Smart Citizen Vendor Presentation Baseline.” October 24. Research evidence record. https://github.com/OS4CSAPI/glaux-client/blob/work/details-view-20261023/Docs/Research/Evidence/SMART_CITIZEN_VENDOR_UI_BASELINE_2026-10-24.md.</w:t>
      </w:r>
    </w:p>
    <w:p>
      <w:pPr>
        <w:pStyle w:val="PaperReference"/>
      </w:pPr>
      <w:r>
        <w:rPr/>
        <w:t>MERLIN Project. 2026k. “Smart Citizen Source Specimen and Native Inventory.” October 25. Experiment workbook record. https://github.com/OS4CSAPI/glaux-client/blob/work/details-view-20261023/Docs/Research/Studies/Smart_Citizen/Workbook/01_SOURCE_SPECIMEN_AND_INVENTORY.md.</w:t>
      </w:r>
    </w:p>
    <w:p>
      <w:pPr>
        <w:pStyle w:val="PaperReference"/>
      </w:pPr>
      <w:r>
        <w:rPr/>
        <w:t>MERLIN Project. 2026l. “Smart Citizen Mapping Ledger.” October 25. Experiment workbook record. https://github.com/OS4CSAPI/glaux-client/blob/work/details-view-20261023/Docs/Research/Studies/Smart_Citizen/Workbook/02_MAPPING_LEDGER.md.</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OS4CSAPI. 2026. “ogc-client-CSAPI_2.” GitHub repository, phase-10 revision 4ca1d7db9b1ccdf545adbef42ef941139fe11977. Accessed October 24, 2026. https://github.com/OS4CSAPI/ogc-client-CSAPI_2/tree/4ca1d7db9b1ccdf545adbef42ef941139fe11977.</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pygeoapi Development Team. 2026. </w:t>
      </w:r>
      <w:r>
        <w:rPr>
          <w:i/>
        </w:rPr>
        <w:t>pygeoapi 0.25.dev0 Documentation</w:t>
      </w:r>
      <w:r>
        <w:rPr/>
        <w:t>. October 22. https://docs.pygeoapi.io/en/latest/.</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QUDT.org. 2026. </w:t>
      </w:r>
      <w:r>
        <w:rPr>
          <w:i/>
        </w:rPr>
        <w:t>QUDT Units Vocabulary</w:t>
      </w:r>
      <w:r>
        <w:rPr/>
        <w:t>. Version 3.5.3. Accessed October 25, 2026. https://www.qudt.org/doc/DOC_VOCAB-UNITS.html.</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 xml:space="preserve">Scholl, Matthew, and Theresa Suloway. 2023. </w:t>
      </w:r>
      <w:r>
        <w:rPr>
          <w:i/>
        </w:rPr>
        <w:t>Introduction to Cybersecurity for Commercial Satellite Operations</w:t>
      </w:r>
      <w:r>
        <w:rPr/>
        <w:t>. NIST Interagency/Internal Report 8270. July. National Institute of Standards and Technology. https://doi.org/10.6028/NIST.IR.8270.</w:t>
      </w:r>
    </w:p>
    <w:p>
      <w:pPr>
        <w:pStyle w:val="PaperReference"/>
      </w:pPr>
      <w:r>
        <w:rPr/>
        <w:t>Seeed Studio. n.d. “Smart Citizen Kit 2.3—Open Source Environmental Monitoring Kit.” SKU 114993536. Accessed October 24, 2026. https://www.seeedstudio.com/Smart-Citizen2-3-p-6327.html.</w:t>
      </w:r>
    </w:p>
    <w:p>
      <w:pPr>
        <w:pStyle w:val="PaperReference"/>
      </w:pPr>
      <w:r>
        <w:rPr/>
        <w:t>Smart Citizen. 2026. “smartcitizen-api.” GitHub repository, revision 25a524cbfb036f8950c247b847d8884a4e776297. Accessed October 25, 2026. https://github.com/fablabbcn/smartcitizen-api/tree/25a524cbfb036f8950c247b847d8884a4e776297.</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Smart Citizen. n.d.-e. “Onboarding Your Kit.” </w:t>
      </w:r>
      <w:r>
        <w:rPr>
          <w:i/>
        </w:rPr>
        <w:t>Smart Citizen Docs</w:t>
      </w:r>
      <w:r>
        <w:rPr/>
        <w:t>. Accessed October 24, 2026. https://docs.smartcitizen.me/guides/getting-started/onboarding-your-kit/.</w:t>
      </w:r>
    </w:p>
    <w:p>
      <w:pPr>
        <w:pStyle w:val="PaperReference"/>
      </w:pPr>
      <w:r>
        <w:rPr/>
        <w:t xml:space="preserve">Smart Citizen. n.d.-f. “Data Tools.” </w:t>
      </w:r>
      <w:r>
        <w:rPr>
          <w:i/>
        </w:rPr>
        <w:t>Smart Citizen Docs</w:t>
      </w:r>
      <w:r>
        <w:rPr/>
        <w:t>. Accessed October 24, 2026. https://docs.smartcitizen.me/data/data-tools/.</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2013. </w:t>
      </w:r>
      <w:r>
        <w:rPr>
          <w:i/>
        </w:rPr>
        <w:t>PROV-DM: The PROV Data Model</w:t>
      </w:r>
      <w:r>
        <w:rPr/>
        <w:t>. W3C Recommendation, April 30. https://www.w3.org/TR/prov-dm/.</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0.7   25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{"format":"glaux-paper-inputs-v1","sha256":"7fbe5fdb2ff36f32c0a162530ffa35f9f59fd5268cabc933ae61c9bbc813e6fe"}</dc:description>
  <cp:lastModifiedBy/>
  <cp:revision>1</cp:revision>
  <dcterms:created xsi:type="dcterms:W3CDTF">2026-10-25T00:00:00Z</dcterms:created>
  <dcterms:modified xsi:type="dcterms:W3CDTF">2026-10-25T00:00:00Z</dcterms:modified>
  <cp:category/>
  <cp:version>0.7</cp:version>
</cp:coreProperties>
</file>