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5B2C83"/>
          <w:sz w:val="38"/>
          <w:szCs w:val="38"/>
        </w:rPr>
        <w:t xml:space="preserve">Carta Proyecto</w:t>
      </w:r>
    </w:p>
    <w:p>
      <w:pPr>
        <w:spacing w:after="40" w:before="0"/>
        <w:jc w:val="center"/>
      </w:pPr>
      <w:r>
        <w:rPr>
          <w:rFonts w:ascii="Calibri" w:cs="Calibri" w:eastAsia="Calibri" w:hAnsi="Calibri"/>
          <w:color w:val="555555"/>
          <w:sz w:val="21"/>
          <w:szCs w:val="21"/>
        </w:rPr>
        <w:t xml:space="preserve">Despliegue de soluciones analíticas · Maestría en Inteligencia Analítica de Datos · Universidad de Los Andes</w:t>
      </w:r>
    </w:p>
    <w:p>
      <w:pPr>
        <w:spacing w:after="0" w:before="0"/>
        <w:jc w:val="center"/>
      </w:pPr>
      <w:r>
        <w:rPr>
          <w:rFonts w:ascii="Calibri" w:cs="Calibri" w:eastAsia="Calibri" w:hAnsi="Calibri"/>
          <w:b/>
          <w:bCs/>
          <w:color w:val="555555"/>
          <w:sz w:val="21"/>
          <w:szCs w:val="21"/>
        </w:rPr>
        <w:t xml:space="preserve">Integrantes:</w:t>
      </w:r>
      <w:r>
        <w:rPr>
          <w:rFonts w:ascii="Calibri" w:cs="Calibri" w:eastAsia="Calibri" w:hAnsi="Calibri"/>
          <w:color w:val="555555"/>
          <w:sz w:val="21"/>
          <w:szCs w:val="21"/>
        </w:rPr>
        <w:t xml:space="preserve"> Oscar David Ortega Villa · Ana Duque · Juan</w:t>
      </w:r>
    </w:p>
    <w:p>
      <w:pPr>
        <w:spacing w:after="160" w:before="0"/>
        <w:jc w:val="center"/>
      </w:pPr>
      <w:r>
        <w:rPr>
          <w:rFonts w:ascii="Calibri" w:cs="Calibri" w:eastAsia="Calibri" w:hAnsi="Calibri"/>
          <w:b/>
          <w:bCs/>
          <w:color w:val="555555"/>
          <w:sz w:val="21"/>
          <w:szCs w:val="21"/>
        </w:rPr>
        <w:t xml:space="preserve">Asesores:</w:t>
      </w:r>
      <w:r>
        <w:rPr>
          <w:rFonts w:ascii="Calibri" w:cs="Calibri" w:eastAsia="Calibri" w:hAnsi="Calibri"/>
          <w:color w:val="555555"/>
          <w:sz w:val="21"/>
          <w:szCs w:val="21"/>
        </w:rPr>
        <w:t xml:space="preserve"> equipo de tutores del curso</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32"/>
        <w:gridCol w:w="3672"/>
        <w:gridCol w:w="1872"/>
        <w:gridCol w:w="2448"/>
      </w:tblGrid>
      <w:tr>
        <w:tc>
          <w:tcPr>
            <w:tcW w:type="dxa" w:w="2232"/>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Título del Proyecto</w:t>
            </w:r>
          </w:p>
        </w:tc>
        <w:tc>
          <w:tcPr>
            <w:tcW w:type="dxa" w:w="7992"/>
            <w:gridSpan w:val="3"/>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40" w:before="0"/>
            </w:pPr>
            <w:r>
              <w:rPr>
                <w:rFonts w:ascii="Calibri" w:cs="Calibri" w:eastAsia="Calibri" w:hAnsi="Calibri"/>
                <w:b/>
                <w:bCs/>
                <w:sz w:val="19"/>
                <w:szCs w:val="19"/>
              </w:rPr>
              <w:t xml:space="preserve">Riesgo de crédito hipotecario con datos masivos: aprobación de solicitudes y alerta temprana de mora</w:t>
            </w:r>
          </w:p>
        </w:tc>
      </w:tr>
      <w:tr>
        <w:tc>
          <w:tcPr>
            <w:tcW w:type="dxa" w:w="2232"/>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Encargado del Proyecto</w:t>
            </w:r>
          </w:p>
        </w:tc>
        <w:tc>
          <w:tcPr>
            <w:tcW w:type="dxa" w:w="3672"/>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40" w:before="0"/>
            </w:pPr>
            <w:r>
              <w:rPr>
                <w:rFonts w:ascii="Calibri" w:cs="Calibri" w:eastAsia="Calibri" w:hAnsi="Calibri"/>
                <w:sz w:val="19"/>
                <w:szCs w:val="19"/>
              </w:rPr>
              <w:t xml:space="preserve">Oscar David Ortega Villa</w:t>
            </w:r>
          </w:p>
        </w:tc>
        <w:tc>
          <w:tcPr>
            <w:tcW w:type="dxa" w:w="1872"/>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Asesor proyecto</w:t>
            </w:r>
          </w:p>
        </w:tc>
        <w:tc>
          <w:tcPr>
            <w:tcW w:type="dxa" w:w="244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40" w:before="0"/>
            </w:pPr>
            <w:r>
              <w:rPr>
                <w:rFonts w:ascii="Calibri" w:cs="Calibri" w:eastAsia="Calibri" w:hAnsi="Calibri"/>
                <w:sz w:val="19"/>
                <w:szCs w:val="19"/>
              </w:rPr>
              <w:t xml:space="preserve">Equipo de tutores del curso</w:t>
            </w:r>
          </w:p>
        </w:tc>
      </w:tr>
      <w:tr>
        <w:tc>
          <w:tcPr>
            <w:tcW w:type="dxa" w:w="2232"/>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Fecha de Aprobación</w:t>
            </w:r>
          </w:p>
        </w:tc>
        <w:tc>
          <w:tcPr>
            <w:tcW w:type="dxa" w:w="3672"/>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40" w:before="0"/>
            </w:pPr>
            <w:r>
              <w:rPr>
                <w:rFonts w:ascii="Calibri" w:cs="Calibri" w:eastAsia="Calibri" w:hAnsi="Calibri"/>
                <w:sz w:val="19"/>
                <w:szCs w:val="19"/>
              </w:rPr>
              <w:t xml:space="preserve">[Pendiente de aprobación]</w:t>
            </w:r>
          </w:p>
        </w:tc>
        <w:tc>
          <w:tcPr>
            <w:tcW w:type="dxa" w:w="1872"/>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Última Revisión</w:t>
            </w:r>
          </w:p>
        </w:tc>
        <w:tc>
          <w:tcPr>
            <w:tcW w:type="dxa" w:w="244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40" w:before="0"/>
            </w:pPr>
            <w:r>
              <w:rPr>
                <w:rFonts w:ascii="Calibri" w:cs="Calibri" w:eastAsia="Calibri" w:hAnsi="Calibri"/>
                <w:sz w:val="19"/>
                <w:szCs w:val="19"/>
              </w:rPr>
              <w:t xml:space="preserve">19 de octubre de 2026</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Necesidades de la Compañía</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32"/>
        <w:gridCol w:w="7992"/>
      </w:tblGrid>
      <w:tr>
        <w:tc>
          <w:tcPr>
            <w:tcW w:type="dxa" w:w="2232"/>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Contexto</w:t>
            </w:r>
          </w:p>
        </w:tc>
        <w:tc>
          <w:tcPr>
            <w:tcW w:type="dxa" w:w="7992"/>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40" w:before="0"/>
            </w:pPr>
            <w:r>
              <w:rPr>
                <w:rFonts w:ascii="Calibri" w:cs="Calibri" w:eastAsia="Calibri" w:hAnsi="Calibri"/>
                <w:sz w:val="19"/>
                <w:szCs w:val="19"/>
              </w:rPr>
              <w:t xml:space="preserve">Una entidad que compra o administra créditos hipotecarios necesita decidir qué créditos aceptar y vigilar cuáles se van a deteriorar. Freddie Mac, uno de los dos grandes intermediarios del mercado hipotecario de Estados Unidos, compra hipotecas a los bancos, las convierte en títulos y garantiza su pago; por eso publica el historial crédito por crédito, desde la originación hasta el cierre. Ese historial permite reproducir el problema de riesgo de cualquier entidad que presta: aprobar bien y anticipar la mora. Hoy la aprobación se apoya en reglas fijas sobre unas pocas variables, como el puntaje crediticio o la relación deuda-ingreso, y la mora se detecta cuando ya ocurrió.</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32"/>
        <w:gridCol w:w="7992"/>
      </w:tblGrid>
      <w:tr>
        <w:tc>
          <w:tcPr>
            <w:tcW w:type="dxa" w:w="2232"/>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Selección del problema y disponibilidad de datos</w:t>
            </w:r>
          </w:p>
        </w:tc>
        <w:tc>
          <w:tcPr>
            <w:tcW w:type="dxa" w:w="7992"/>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60" w:before="0"/>
            </w:pPr>
            <w:r>
              <w:rPr>
                <w:rFonts w:ascii="Calibri" w:cs="Calibri" w:eastAsia="Calibri" w:hAnsi="Calibri"/>
                <w:sz w:val="19"/>
                <w:szCs w:val="19"/>
              </w:rPr>
              <w:t xml:space="preserve">El problema se priorizó por la disponibilidad inmediata de datos:</w:t>
            </w:r>
          </w:p>
          <w:tbl>
            <w:tblPr>
              <w:tblW w:type="dxa" w:w="7812"/>
              <w:tblBorders>
                <w:top w:val="single" w:color="auto" w:sz="4"/>
                <w:left w:val="single" w:color="auto" w:sz="4"/>
                <w:bottom w:val="single" w:color="auto" w:sz="4"/>
                <w:right w:val="single" w:color="auto" w:sz="4"/>
                <w:insideH w:val="single" w:color="auto" w:sz="4"/>
                <w:insideV w:val="single" w:color="auto" w:sz="4"/>
              </w:tblBorders>
            </w:tblPr>
            <w:tblGrid>
              <w:gridCol w:w="2300"/>
              <w:gridCol w:w="3712"/>
              <w:gridCol w:w="1800"/>
            </w:tblGrid>
            <w:tr>
              <w:tc>
                <w:tcPr>
                  <w:tcW w:type="dxa" w:w="2300"/>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Opción evaluada</w:t>
                  </w:r>
                </w:p>
              </w:tc>
              <w:tc>
                <w:tcPr>
                  <w:tcW w:type="dxa" w:w="3712"/>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Disponibilidad</w:t>
                  </w:r>
                </w:p>
              </w:tc>
              <w:tc>
                <w:tcPr>
                  <w:tcW w:type="dxa" w:w="1800"/>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Decisión</w:t>
                  </w:r>
                </w:p>
              </w:tc>
            </w:tr>
            <w:t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Freddie Mac, crédito hipotecario</w:t>
                  </w:r>
                </w:p>
              </w:tc>
              <w:tc>
                <w:tcPr>
                  <w:tcW w:type="dxa" w:w="3712"/>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Gratis con registro; trimestres desde 1999 con desempeño mensual; un trimestre ya descargado y evaluado</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Elegida</w:t>
                  </w:r>
                </w:p>
              </w:tc>
            </w:tr>
            <w:t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Bondora, crédito de consumo sin garantía</w:t>
                  </w:r>
                </w:p>
              </w:tc>
              <w:tc>
                <w:tcPr>
                  <w:tcW w:type="dxa" w:w="3712"/>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Archivo de 2009 a 2020 sin historial mensual; la fuente oficial solo entrega el mes anterior</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Descartada</w:t>
                  </w:r>
                </w:p>
              </w:tc>
            </w:tr>
            <w:t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Mantenimiento predictivo, energía y logística</w:t>
                  </w:r>
                </w:p>
              </w:tc>
              <w:tc>
                <w:tcPr>
                  <w:tcW w:type="dxa" w:w="3712"/>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Disponibles, sin relación con el riesgo de crédito</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Descartadas</w:t>
                  </w:r>
                </w:p>
              </w:tc>
            </w:tr>
          </w:tbl>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32"/>
        <w:gridCol w:w="7992"/>
      </w:tblGrid>
      <w:tr>
        <w:tc>
          <w:tcPr>
            <w:tcW w:type="dxa" w:w="2232"/>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Planteamiento del Problema</w:t>
            </w:r>
          </w:p>
        </w:tc>
        <w:tc>
          <w:tcPr>
            <w:tcW w:type="dxa" w:w="7992"/>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100" w:before="0"/>
            </w:pPr>
            <w:r>
              <w:rPr>
                <w:rFonts w:ascii="Calibri" w:cs="Calibri" w:eastAsia="Calibri" w:hAnsi="Calibri"/>
                <w:b/>
                <w:bCs/>
                <w:sz w:val="19"/>
                <w:szCs w:val="19"/>
              </w:rPr>
              <w:t xml:space="preserve">Mejoraremos</w:t>
            </w:r>
            <w:r>
              <w:rPr>
                <w:rFonts w:ascii="Calibri" w:cs="Calibri" w:eastAsia="Calibri" w:hAnsi="Calibri"/>
                <w:sz w:val="19"/>
                <w:szCs w:val="19"/>
              </w:rPr>
              <w:t xml:space="preserve"> la decisión de aprobación de créditos y la detección temprana de la mora </w:t>
            </w:r>
            <w:r>
              <w:rPr>
                <w:rFonts w:ascii="Calibri" w:cs="Calibri" w:eastAsia="Calibri" w:hAnsi="Calibri"/>
                <w:b/>
                <w:bCs/>
                <w:sz w:val="19"/>
                <w:szCs w:val="19"/>
              </w:rPr>
              <w:t xml:space="preserve">para</w:t>
            </w:r>
            <w:r>
              <w:rPr>
                <w:rFonts w:ascii="Calibri" w:cs="Calibri" w:eastAsia="Calibri" w:hAnsi="Calibri"/>
                <w:sz w:val="19"/>
                <w:szCs w:val="19"/>
              </w:rPr>
              <w:t xml:space="preserve"> el área de riesgo de crédito. </w:t>
            </w:r>
            <w:r>
              <w:rPr>
                <w:rFonts w:ascii="Calibri" w:cs="Calibri" w:eastAsia="Calibri" w:hAnsi="Calibri"/>
                <w:b/>
                <w:bCs/>
                <w:sz w:val="19"/>
                <w:szCs w:val="19"/>
              </w:rPr>
              <w:t xml:space="preserve">Hoy el área lidia con</w:t>
            </w:r>
            <w:r>
              <w:rPr>
                <w:rFonts w:ascii="Calibri" w:cs="Calibri" w:eastAsia="Calibri" w:hAnsi="Calibri"/>
                <w:sz w:val="19"/>
                <w:szCs w:val="19"/>
              </w:rPr>
              <w:t xml:space="preserve"> decisiones basadas en reglas fijas sobre pocas variables y con una mora que solo conoce cuando ya ocurrió. </w:t>
            </w:r>
            <w:r>
              <w:rPr>
                <w:rFonts w:ascii="Calibri" w:cs="Calibri" w:eastAsia="Calibri" w:hAnsi="Calibri"/>
                <w:b/>
                <w:bCs/>
                <w:sz w:val="19"/>
                <w:szCs w:val="19"/>
              </w:rPr>
              <w:t xml:space="preserve">Al resolverlo, el negocio se impacta positivamente porque</w:t>
            </w:r>
            <w:r>
              <w:rPr>
                <w:rFonts w:ascii="Calibri" w:cs="Calibri" w:eastAsia="Calibri" w:hAnsi="Calibri"/>
                <w:sz w:val="19"/>
                <w:szCs w:val="19"/>
              </w:rPr>
              <w:t xml:space="preserve"> aprueba más créditos buenos con el mismo riesgo, prioriza la cobranza antes de que la deuda llegue a 90 días y estima mejor sus provisiones.</w:t>
            </w:r>
          </w:p>
          <w:p>
            <w:pPr>
              <w:spacing w:after="40" w:before="0"/>
            </w:pPr>
            <w:r>
              <w:rPr>
                <w:rFonts w:ascii="Calibri" w:cs="Calibri" w:eastAsia="Calibri" w:hAnsi="Calibri"/>
                <w:b/>
                <w:bCs/>
                <w:sz w:val="19"/>
                <w:szCs w:val="19"/>
              </w:rPr>
              <w:t xml:space="preserve">Preguntas de negocio:</w:t>
            </w:r>
            <w:r>
              <w:rPr>
                <w:rFonts w:ascii="Calibri" w:cs="Calibri" w:eastAsia="Calibri" w:hAnsi="Calibri"/>
                <w:sz w:val="19"/>
                <w:szCs w:val="19"/>
              </w:rPr>
              <w:t xml:space="preserve"> (1) ¿Qué clientes aprobar? Al momento de la solicitud, ¿cuál es la probabilidad de que el crédito incumpla en sus primeros 12 meses? (2) ¿Qué clientes se van a atrasar? Entre los créditos activos y al día, ¿cuáles llegarán a 90 días de mora en los próximos 3 meses?</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32"/>
        <w:gridCol w:w="7992"/>
      </w:tblGrid>
      <w:tr>
        <w:tc>
          <w:tcPr>
            <w:tcW w:type="dxa" w:w="2232"/>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Clientes / Stakeholders</w:t>
            </w:r>
          </w:p>
        </w:tc>
        <w:tc>
          <w:tcPr>
            <w:tcW w:type="dxa" w:w="7992"/>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40" w:before="0"/>
            </w:pPr>
            <w:r>
              <w:rPr>
                <w:rFonts w:ascii="Calibri" w:cs="Calibri" w:eastAsia="Calibri" w:hAnsi="Calibri"/>
                <w:b/>
                <w:bCs/>
                <w:sz w:val="19"/>
                <w:szCs w:val="19"/>
              </w:rPr>
              <w:t xml:space="preserve">Patrocinador:</w:t>
            </w:r>
            <w:r>
              <w:rPr>
                <w:rFonts w:ascii="Calibri" w:cs="Calibri" w:eastAsia="Calibri" w:hAnsi="Calibri"/>
                <w:sz w:val="19"/>
                <w:szCs w:val="19"/>
              </w:rPr>
              <w:t xml:space="preserve"> gerencia de riesgo de crédito. </w:t>
            </w:r>
            <w:r>
              <w:rPr>
                <w:rFonts w:ascii="Calibri" w:cs="Calibri" w:eastAsia="Calibri" w:hAnsi="Calibri"/>
                <w:b/>
                <w:bCs/>
                <w:sz w:val="19"/>
                <w:szCs w:val="19"/>
              </w:rPr>
              <w:t xml:space="preserve">Usuarios:</w:t>
            </w:r>
            <w:r>
              <w:rPr>
                <w:rFonts w:ascii="Calibri" w:cs="Calibri" w:eastAsia="Calibri" w:hAnsi="Calibri"/>
                <w:sz w:val="19"/>
                <w:szCs w:val="19"/>
              </w:rPr>
              <w:t xml:space="preserve"> analistas de aprobación, que evalúan solicitudes, y gestores de cobranza, que priorizan los créditos en riesgo. </w:t>
            </w:r>
            <w:r>
              <w:rPr>
                <w:rFonts w:ascii="Calibri" w:cs="Calibri" w:eastAsia="Calibri" w:hAnsi="Calibri"/>
                <w:b/>
                <w:bCs/>
                <w:sz w:val="19"/>
                <w:szCs w:val="19"/>
              </w:rPr>
              <w:t xml:space="preserve">Custodios de datos:</w:t>
            </w:r>
            <w:r>
              <w:rPr>
                <w:rFonts w:ascii="Calibri" w:cs="Calibri" w:eastAsia="Calibri" w:hAnsi="Calibri"/>
                <w:sz w:val="19"/>
                <w:szCs w:val="19"/>
              </w:rPr>
              <w:t xml:space="preserve"> área de tecnología e información. </w:t>
            </w:r>
            <w:r>
              <w:rPr>
                <w:rFonts w:ascii="Calibri" w:cs="Calibri" w:eastAsia="Calibri" w:hAnsi="Calibri"/>
                <w:b/>
                <w:bCs/>
                <w:sz w:val="19"/>
                <w:szCs w:val="19"/>
              </w:rPr>
              <w:t xml:space="preserve">Interesados:</w:t>
            </w:r>
            <w:r>
              <w:rPr>
                <w:rFonts w:ascii="Calibri" w:cs="Calibri" w:eastAsia="Calibri" w:hAnsi="Calibri"/>
                <w:sz w:val="19"/>
                <w:szCs w:val="19"/>
              </w:rPr>
              <w:t xml:space="preserve"> área financiera, que provisiona las pérdidas, y cumplimiento regulatorio. </w:t>
            </w:r>
            <w:r>
              <w:rPr>
                <w:rFonts w:ascii="Calibri" w:cs="Calibri" w:eastAsia="Calibri" w:hAnsi="Calibri"/>
                <w:b/>
                <w:bCs/>
                <w:sz w:val="19"/>
                <w:szCs w:val="19"/>
              </w:rPr>
              <w:t xml:space="preserve">Afectados negativamente:</w:t>
            </w:r>
            <w:r>
              <w:rPr>
                <w:rFonts w:ascii="Calibri" w:cs="Calibri" w:eastAsia="Calibri" w:hAnsi="Calibri"/>
                <w:sz w:val="19"/>
                <w:szCs w:val="19"/>
              </w:rPr>
              <w:t xml:space="preserve"> solicitantes rechazados por un modelo con sesgos, si las variables geográficas funcionan como sustituto de características sensibles.</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32"/>
        <w:gridCol w:w="3528"/>
        <w:gridCol w:w="1512"/>
        <w:gridCol w:w="2952"/>
      </w:tblGrid>
      <w:tr>
        <w:tc>
          <w:tcPr>
            <w:tcW w:type="dxa" w:w="2232"/>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Factores Críticos de Satisfacción</w:t>
            </w:r>
          </w:p>
        </w:tc>
        <w:tc>
          <w:tcPr>
            <w:tcW w:type="dxa" w:w="352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2"/>
              </w:numPr>
              <w:spacing w:after="30"/>
            </w:pPr>
            <w:r>
              <w:rPr>
                <w:rFonts w:ascii="Calibri" w:cs="Calibri" w:eastAsia="Calibri" w:hAnsi="Calibri"/>
                <w:b/>
                <w:bCs/>
                <w:sz w:val="19"/>
                <w:szCs w:val="19"/>
              </w:rPr>
              <w:t xml:space="preserve">Mejor que la regla actual:</w:t>
            </w:r>
            <w:r>
              <w:rPr>
                <w:rFonts w:ascii="Calibri" w:cs="Calibri" w:eastAsia="Calibri" w:hAnsi="Calibri"/>
                <w:sz w:val="19"/>
                <w:szCs w:val="19"/>
              </w:rPr>
              <w:t xml:space="preserve"> el modelo de aprobación ordena el riesgo mejor que la regla basada solo en el puntaje crediticio.</w:t>
            </w:r>
          </w:p>
          <w:p>
            <w:pPr>
              <w:pStyle w:val="ListParagraph"/>
              <w:numPr>
                <w:ilvl w:val="0"/>
                <w:numId w:val="2"/>
              </w:numPr>
              <w:spacing w:after="30"/>
            </w:pPr>
            <w:r>
              <w:rPr>
                <w:rFonts w:ascii="Calibri" w:cs="Calibri" w:eastAsia="Calibri" w:hAnsi="Calibri"/>
                <w:b/>
                <w:bCs/>
                <w:sz w:val="19"/>
                <w:szCs w:val="19"/>
              </w:rPr>
              <w:t xml:space="preserve">Explicabilidad:</w:t>
            </w:r>
            <w:r>
              <w:rPr>
                <w:rFonts w:ascii="Calibri" w:cs="Calibri" w:eastAsia="Calibri" w:hAnsi="Calibri"/>
                <w:sz w:val="19"/>
                <w:szCs w:val="19"/>
              </w:rPr>
              <w:t xml:space="preserve"> cada predicción muestra las variables que más pesaron.</w:t>
            </w:r>
          </w:p>
          <w:p>
            <w:pPr>
              <w:pStyle w:val="ListParagraph"/>
              <w:numPr>
                <w:ilvl w:val="0"/>
                <w:numId w:val="2"/>
              </w:numPr>
              <w:spacing w:after="30"/>
            </w:pPr>
            <w:r>
              <w:rPr>
                <w:rFonts w:ascii="Calibri" w:cs="Calibri" w:eastAsia="Calibri" w:hAnsi="Calibri"/>
                <w:b/>
                <w:bCs/>
                <w:sz w:val="19"/>
                <w:szCs w:val="19"/>
              </w:rPr>
              <w:t xml:space="preserve">Anticipación:</w:t>
            </w:r>
            <w:r>
              <w:rPr>
                <w:rFonts w:ascii="Calibri" w:cs="Calibri" w:eastAsia="Calibri" w:hAnsi="Calibri"/>
                <w:sz w:val="19"/>
                <w:szCs w:val="19"/>
              </w:rPr>
              <w:t xml:space="preserve"> la alerta de mora llega con al menos 3 meses de margen.</w:t>
            </w:r>
          </w:p>
          <w:p>
            <w:pPr>
              <w:pStyle w:val="ListParagraph"/>
              <w:numPr>
                <w:ilvl w:val="0"/>
                <w:numId w:val="2"/>
              </w:numPr>
              <w:spacing w:after="30"/>
            </w:pPr>
            <w:r>
              <w:rPr>
                <w:rFonts w:ascii="Calibri" w:cs="Calibri" w:eastAsia="Calibri" w:hAnsi="Calibri"/>
                <w:b/>
                <w:bCs/>
                <w:sz w:val="19"/>
                <w:szCs w:val="19"/>
              </w:rPr>
              <w:t xml:space="preserve">Oportunidad:</w:t>
            </w:r>
            <w:r>
              <w:rPr>
                <w:rFonts w:ascii="Calibri" w:cs="Calibri" w:eastAsia="Calibri" w:hAnsi="Calibri"/>
                <w:sz w:val="19"/>
                <w:szCs w:val="19"/>
              </w:rPr>
              <w:t xml:space="preserve"> el servicio responde una solicitud en segundos.</w:t>
            </w:r>
          </w:p>
          <w:p>
            <w:pPr>
              <w:pStyle w:val="ListParagraph"/>
              <w:numPr>
                <w:ilvl w:val="0"/>
                <w:numId w:val="2"/>
              </w:numPr>
              <w:spacing w:after="30"/>
            </w:pPr>
            <w:r>
              <w:rPr>
                <w:rFonts w:ascii="Calibri" w:cs="Calibri" w:eastAsia="Calibri" w:hAnsi="Calibri"/>
                <w:b/>
                <w:bCs/>
                <w:sz w:val="19"/>
                <w:szCs w:val="19"/>
              </w:rPr>
              <w:t xml:space="preserve">Control del usuario:</w:t>
            </w:r>
            <w:r>
              <w:rPr>
                <w:rFonts w:ascii="Calibri" w:cs="Calibri" w:eastAsia="Calibri" w:hAnsi="Calibri"/>
                <w:sz w:val="19"/>
                <w:szCs w:val="19"/>
              </w:rPr>
              <w:t xml:space="preserve"> el tablero permite ajustar el umbral de aprobación y ver su efecto.</w:t>
            </w:r>
          </w:p>
        </w:tc>
        <w:tc>
          <w:tcPr>
            <w:tcW w:type="dxa" w:w="1512"/>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Variables del negocio</w:t>
            </w:r>
          </w:p>
        </w:tc>
        <w:tc>
          <w:tcPr>
            <w:tcW w:type="dxa" w:w="2952"/>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2"/>
              </w:numPr>
              <w:spacing w:after="30"/>
            </w:pPr>
            <w:r>
              <w:rPr>
                <w:rFonts w:ascii="Calibri" w:cs="Calibri" w:eastAsia="Calibri" w:hAnsi="Calibri"/>
                <w:b/>
                <w:bCs/>
                <w:sz w:val="19"/>
                <w:szCs w:val="19"/>
              </w:rPr>
              <w:t xml:space="preserve">Crecimiento:</w:t>
            </w:r>
            <w:r>
              <w:rPr>
                <w:rFonts w:ascii="Calibri" w:cs="Calibri" w:eastAsia="Calibri" w:hAnsi="Calibri"/>
                <w:sz w:val="19"/>
                <w:szCs w:val="19"/>
              </w:rPr>
              <w:t xml:space="preserve"> tasa de aprobación.</w:t>
            </w:r>
          </w:p>
          <w:p>
            <w:pPr>
              <w:pStyle w:val="ListParagraph"/>
              <w:numPr>
                <w:ilvl w:val="0"/>
                <w:numId w:val="2"/>
              </w:numPr>
              <w:spacing w:after="30"/>
            </w:pPr>
            <w:r>
              <w:rPr>
                <w:rFonts w:ascii="Calibri" w:cs="Calibri" w:eastAsia="Calibri" w:hAnsi="Calibri"/>
                <w:b/>
                <w:bCs/>
                <w:sz w:val="19"/>
                <w:szCs w:val="19"/>
              </w:rPr>
              <w:t xml:space="preserve">Calidad de cartera:</w:t>
            </w:r>
            <w:r>
              <w:rPr>
                <w:rFonts w:ascii="Calibri" w:cs="Calibri" w:eastAsia="Calibri" w:hAnsi="Calibri"/>
                <w:sz w:val="19"/>
                <w:szCs w:val="19"/>
              </w:rPr>
              <w:t xml:space="preserve"> tasa de incumplimiento de los créditos aprobados y saldo en mora.</w:t>
            </w:r>
          </w:p>
          <w:p>
            <w:pPr>
              <w:pStyle w:val="ListParagraph"/>
              <w:numPr>
                <w:ilvl w:val="0"/>
                <w:numId w:val="2"/>
              </w:numPr>
              <w:spacing w:after="30"/>
            </w:pPr>
            <w:r>
              <w:rPr>
                <w:rFonts w:ascii="Calibri" w:cs="Calibri" w:eastAsia="Calibri" w:hAnsi="Calibri"/>
                <w:b/>
                <w:bCs/>
                <w:sz w:val="19"/>
                <w:szCs w:val="19"/>
              </w:rPr>
              <w:t xml:space="preserve">Rentabilidad:</w:t>
            </w:r>
            <w:r>
              <w:rPr>
                <w:rFonts w:ascii="Calibri" w:cs="Calibri" w:eastAsia="Calibri" w:hAnsi="Calibri"/>
                <w:sz w:val="19"/>
                <w:szCs w:val="19"/>
              </w:rPr>
              <w:t xml:space="preserve"> pérdida esperada y provisiones.</w:t>
            </w:r>
          </w:p>
          <w:p>
            <w:pPr>
              <w:pStyle w:val="ListParagraph"/>
              <w:numPr>
                <w:ilvl w:val="0"/>
                <w:numId w:val="2"/>
              </w:numPr>
              <w:spacing w:after="30"/>
            </w:pPr>
            <w:r>
              <w:rPr>
                <w:rFonts w:ascii="Calibri" w:cs="Calibri" w:eastAsia="Calibri" w:hAnsi="Calibri"/>
                <w:b/>
                <w:bCs/>
                <w:sz w:val="19"/>
                <w:szCs w:val="19"/>
              </w:rPr>
              <w:t xml:space="preserve">Eficiencia:</w:t>
            </w:r>
            <w:r>
              <w:rPr>
                <w:rFonts w:ascii="Calibri" w:cs="Calibri" w:eastAsia="Calibri" w:hAnsi="Calibri"/>
                <w:sz w:val="19"/>
                <w:szCs w:val="19"/>
              </w:rPr>
              <w:t xml:space="preserve"> costo de cobranza.</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PROYECTO</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32"/>
        <w:gridCol w:w="7992"/>
      </w:tblGrid>
      <w:tr>
        <w:tc>
          <w:tcPr>
            <w:tcW w:type="dxa" w:w="2232"/>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Objetivo del Proyecto</w:t>
            </w:r>
          </w:p>
        </w:tc>
        <w:tc>
          <w:tcPr>
            <w:tcW w:type="dxa" w:w="7992"/>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40" w:before="0"/>
            </w:pPr>
            <w:r>
              <w:rPr>
                <w:rFonts w:ascii="Calibri" w:cs="Calibri" w:eastAsia="Calibri" w:hAnsi="Calibri"/>
                <w:sz w:val="19"/>
                <w:szCs w:val="19"/>
              </w:rPr>
              <w:t xml:space="preserve">Desarrollar y desplegar en ocho semanas un prototipo funcional que estime la probabilidad de incumplimiento de cada solicitud y alerte qué créditos activos llegarán a 90 días de mora en los próximos 3 meses, con modelos supervisados empaquetados, una interfaz de inferencia y un tablero de control desplegados en contenedores Docker, sobre el historial mensual de Freddie Mac procesado con Spark.</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32"/>
        <w:gridCol w:w="7992"/>
      </w:tblGrid>
      <w:tr>
        <w:tc>
          <w:tcPr>
            <w:tcW w:type="dxa" w:w="2232"/>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Métricas</w:t>
            </w:r>
          </w:p>
        </w:tc>
        <w:tc>
          <w:tcPr>
            <w:tcW w:type="dxa" w:w="7992"/>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tbl>
            <w:tblPr>
              <w:tblW w:type="dxa" w:w="7812"/>
              <w:tblBorders>
                <w:top w:val="single" w:color="auto" w:sz="4"/>
                <w:left w:val="single" w:color="auto" w:sz="4"/>
                <w:bottom w:val="single" w:color="auto" w:sz="4"/>
                <w:right w:val="single" w:color="auto" w:sz="4"/>
                <w:insideH w:val="single" w:color="auto" w:sz="4"/>
                <w:insideV w:val="single" w:color="auto" w:sz="4"/>
              </w:tblBorders>
            </w:tblPr>
            <w:tblGrid>
              <w:gridCol w:w="3912"/>
              <w:gridCol w:w="2100"/>
              <w:gridCol w:w="1800"/>
            </w:tblGrid>
            <w:tr>
              <w:tc>
                <w:tcPr>
                  <w:tcW w:type="dxa" w:w="3912"/>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Nombre</w:t>
                  </w:r>
                </w:p>
              </w:tc>
              <w:tc>
                <w:tcPr>
                  <w:tcW w:type="dxa" w:w="2100"/>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Valor Actual</w:t>
                  </w:r>
                </w:p>
              </w:tc>
              <w:tc>
                <w:tcPr>
                  <w:tcW w:type="dxa" w:w="1800"/>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Valor Objetivo</w:t>
                  </w:r>
                </w:p>
              </w:tc>
            </w:tr>
            <w:tr>
              <w:tc>
                <w:tcPr>
                  <w:tcW w:type="dxa" w:w="3912"/>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Capacidad de ordenar el riesgo en aprobación (área bajo la curva característica operativa del receptor)</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Regla de puntaje crediticio; línea base en la semana 3</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Superar la línea base</w:t>
                  </w:r>
                </w:p>
              </w:tc>
            </w:tr>
            <w:tr>
              <w:tc>
                <w:tcPr>
                  <w:tcW w:type="dxa" w:w="3912"/>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Créditos que llegan a 90 días de mora con alerta previa de 3 meses (%)</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Sin alerta: 0 %</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Por fijar con la línea base</w:t>
                  </w:r>
                </w:p>
              </w:tc>
            </w:tr>
            <w:tr>
              <w:tc>
                <w:tcPr>
                  <w:tcW w:type="dxa" w:w="3912"/>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Tasa de incumplimiento de los aprobados, con la misma tasa de aprobación (%)</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Línea base de la regla actual</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Menor que la línea base</w:t>
                  </w:r>
                </w:p>
              </w:tc>
            </w:tr>
            <w:tr>
              <w:tc>
                <w:tcPr>
                  <w:tcW w:type="dxa" w:w="3912"/>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Tiempo de respuesta de la interfaz por solicitud</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No existe</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Menos de 1 segundo</w:t>
                  </w:r>
                </w:p>
              </w:tc>
            </w:tr>
            <w:tr>
              <w:tc>
                <w:tcPr>
                  <w:tcW w:type="dxa" w:w="3912"/>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Versiones de modelo registradas y comparadas en MLflow</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No existen</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4</w:t>
                  </w:r>
                </w:p>
              </w:tc>
            </w:tr>
          </w:tbl>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32"/>
        <w:gridCol w:w="3528"/>
        <w:gridCol w:w="1512"/>
        <w:gridCol w:w="2952"/>
      </w:tblGrid>
      <w:tr>
        <w:tc>
          <w:tcPr>
            <w:tcW w:type="dxa" w:w="2232"/>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Alcance del Proyecto</w:t>
            </w:r>
          </w:p>
        </w:tc>
        <w:tc>
          <w:tcPr>
            <w:tcW w:type="dxa" w:w="352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80" w:before="0"/>
            </w:pPr>
            <w:r>
              <w:rPr>
                <w:rFonts w:ascii="Calibri" w:cs="Calibri" w:eastAsia="Calibri" w:hAnsi="Calibri"/>
                <w:b/>
                <w:bCs/>
                <w:sz w:val="19"/>
                <w:szCs w:val="19"/>
              </w:rPr>
              <w:t xml:space="preserve">Incluye:</w:t>
            </w:r>
            <w:r>
              <w:rPr>
                <w:rFonts w:ascii="Calibri" w:cs="Calibri" w:eastAsia="Calibri" w:hAnsi="Calibri"/>
                <w:sz w:val="19"/>
                <w:szCs w:val="19"/>
              </w:rPr>
              <w:t xml:space="preserve"> procesamiento por lotes del historial con Spark; limpieza y etiquetado de las dos variables objetivo; cuatro versiones de modelo (aprendizaje automático clásico, árbol de decisión, aprendizaje profundo y red neuronal recurrente); interfaz de inferencia; tablero de control; despliegue en contenedores; manuales de usuario e instalación.</w:t>
            </w:r>
          </w:p>
          <w:p>
            <w:pPr>
              <w:spacing w:after="40" w:before="0"/>
            </w:pPr>
            <w:r>
              <w:rPr>
                <w:rFonts w:ascii="Calibri" w:cs="Calibri" w:eastAsia="Calibri" w:hAnsi="Calibri"/>
                <w:b/>
                <w:bCs/>
                <w:sz w:val="19"/>
                <w:szCs w:val="19"/>
              </w:rPr>
              <w:t xml:space="preserve">No incluye:</w:t>
            </w:r>
            <w:r>
              <w:rPr>
                <w:rFonts w:ascii="Calibri" w:cs="Calibri" w:eastAsia="Calibri" w:hAnsi="Calibri"/>
                <w:sz w:val="19"/>
                <w:szCs w:val="19"/>
              </w:rPr>
              <w:t xml:space="preserve"> datos en tiempo real, gestión de cupo, crédito de consumo, conexión con sistemas de una entidad real ni decisiones automáticas sin revisión humana.</w:t>
            </w:r>
          </w:p>
        </w:tc>
        <w:tc>
          <w:tcPr>
            <w:tcW w:type="dxa" w:w="1512"/>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Restricciones</w:t>
            </w:r>
          </w:p>
        </w:tc>
        <w:tc>
          <w:tcPr>
            <w:tcW w:type="dxa" w:w="2952"/>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40" w:before="0"/>
            </w:pPr>
            <w:r>
              <w:rPr>
                <w:rFonts w:ascii="Calibri" w:cs="Calibri" w:eastAsia="Calibri" w:hAnsi="Calibri"/>
                <w:sz w:val="19"/>
                <w:szCs w:val="19"/>
              </w:rPr>
              <w:t xml:space="preserve">Ocho semanas con tres personas a tiempo parcial. La licencia de Freddie Mac prohíbe redistribuir los datos, así que el almacenamiento de Data Version Control es privado. El volumen exige Spark en el procesamiento. Crédito hipotecario de Estados Unidos y no de Colombia. Presupuesto mínimo: herramientas libres y capa gratuita de nube.</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32"/>
        <w:gridCol w:w="7992"/>
      </w:tblGrid>
      <w:tr>
        <w:tc>
          <w:tcPr>
            <w:tcW w:type="dxa" w:w="2232"/>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Conjuntos de Datos</w:t>
            </w:r>
          </w:p>
        </w:tc>
        <w:tc>
          <w:tcPr>
            <w:tcW w:type="dxa" w:w="7992"/>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tbl>
            <w:tblPr>
              <w:tblW w:type="dxa" w:w="7812"/>
              <w:tblBorders>
                <w:top w:val="single" w:color="auto" w:sz="4"/>
                <w:left w:val="single" w:color="auto" w:sz="4"/>
                <w:bottom w:val="single" w:color="auto" w:sz="4"/>
                <w:right w:val="single" w:color="auto" w:sz="4"/>
                <w:insideH w:val="single" w:color="auto" w:sz="4"/>
                <w:insideV w:val="single" w:color="auto" w:sz="4"/>
              </w:tblBorders>
            </w:tblPr>
            <w:tblGrid>
              <w:gridCol w:w="1600"/>
              <w:gridCol w:w="4012"/>
              <w:gridCol w:w="2200"/>
            </w:tblGrid>
            <w:tr>
              <w:tc>
                <w:tcPr>
                  <w:tcW w:type="dxa" w:w="1600"/>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Archivo</w:t>
                  </w:r>
                </w:p>
              </w:tc>
              <w:tc>
                <w:tcPr>
                  <w:tcW w:type="dxa" w:w="4012"/>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Contenido</w:t>
                  </w:r>
                </w:p>
              </w:tc>
              <w:tc>
                <w:tcPr>
                  <w:tcW w:type="dxa" w:w="2200"/>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Uso</w:t>
                  </w:r>
                </w:p>
              </w:tc>
            </w:tr>
            <w:tr>
              <w:tc>
                <w:tcPr>
                  <w:tcW w:type="dxa" w:w="16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Originación</w:t>
                  </w:r>
                </w:p>
              </w:tc>
              <w:tc>
                <w:tcPr>
                  <w:tcW w:type="dxa" w:w="4012"/>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Una fila por crédito, 31 variables: puntaje crediticio, relación deuda-ingreso, relación préstamo-valor, monto, plazo, propósito, ocupación, estado y canal</w:t>
                  </w:r>
                </w:p>
              </w:tc>
              <w:tc>
                <w:tcPr>
                  <w:tcW w:type="dxa" w:w="2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Variables de la pregunta 1 y contexto fijo de la pregunta 2</w:t>
                  </w:r>
                </w:p>
              </w:tc>
            </w:tr>
            <w:tr>
              <w:tc>
                <w:tcPr>
                  <w:tcW w:type="dxa" w:w="16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Desempeño mensual</w:t>
                  </w:r>
                </w:p>
              </w:tc>
              <w:tc>
                <w:tcPr>
                  <w:tcW w:type="dxa" w:w="4012"/>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Una fila por crédito por mes, 35 variables: saldo, meses de atraso, edad del crédito, modificaciones, asistencia al deudor y código de cierre</w:t>
                  </w:r>
                </w:p>
              </w:tc>
              <w:tc>
                <w:tcPr>
                  <w:tcW w:type="dxa" w:w="2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Etiquetas de las dos preguntas y secuencias de la red recurrente</w:t>
                  </w:r>
                </w:p>
              </w:tc>
            </w:tr>
          </w:tbl>
          <w:p>
            <w:pPr>
              <w:spacing w:after="40" w:before="80"/>
            </w:pPr>
            <w:r>
              <w:rPr>
                <w:rFonts w:ascii="Calibri" w:cs="Calibri" w:eastAsia="Calibri" w:hAnsi="Calibri"/>
                <w:b/>
                <w:bCs/>
                <w:sz w:val="19"/>
                <w:szCs w:val="19"/>
              </w:rPr>
              <w:t xml:space="preserve">Periodo:</w:t>
            </w:r>
            <w:r>
              <w:rPr>
                <w:rFonts w:ascii="Calibri" w:cs="Calibri" w:eastAsia="Calibri" w:hAnsi="Calibri"/>
                <w:sz w:val="19"/>
                <w:szCs w:val="19"/>
              </w:rPr>
              <w:t xml:space="preserve"> créditos originados entre 2015 y 2020, con su desempeño hasta la fecha más reciente publicada. El trimestre de 2026 ya descargado, con 143.965 créditos, valida las variables y la canalización, pero no sirve para entrenar: tiene máximo 3 meses de historia y ningún crédito con 60 o 90 días de mora.</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32"/>
        <w:gridCol w:w="7992"/>
      </w:tblGrid>
      <w:tr>
        <w:tc>
          <w:tcPr>
            <w:tcW w:type="dxa" w:w="2232"/>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Análisis Descriptivo</w:t>
            </w:r>
          </w:p>
        </w:tc>
        <w:tc>
          <w:tcPr>
            <w:tcW w:type="dxa" w:w="7992"/>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tbl>
            <w:tblPr>
              <w:tblW w:type="dxa" w:w="7812"/>
              <w:tblBorders>
                <w:top w:val="single" w:color="auto" w:sz="4"/>
                <w:left w:val="single" w:color="auto" w:sz="4"/>
                <w:bottom w:val="single" w:color="auto" w:sz="4"/>
                <w:right w:val="single" w:color="auto" w:sz="4"/>
                <w:insideH w:val="single" w:color="auto" w:sz="4"/>
                <w:insideV w:val="single" w:color="auto" w:sz="4"/>
              </w:tblBorders>
            </w:tblPr>
            <w:tblGrid>
              <w:gridCol w:w="3000"/>
              <w:gridCol w:w="3412"/>
              <w:gridCol w:w="1400"/>
            </w:tblGrid>
            <w:tr>
              <w:tc>
                <w:tcPr>
                  <w:tcW w:type="dxa" w:w="3000"/>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Visualización</w:t>
                  </w:r>
                </w:p>
              </w:tc>
              <w:tc>
                <w:tcPr>
                  <w:tcW w:type="dxa" w:w="3412"/>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Qué muestra</w:t>
                  </w:r>
                </w:p>
              </w:tc>
              <w:tc>
                <w:tcPr>
                  <w:tcW w:type="dxa" w:w="1400"/>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Pregunta</w:t>
                  </w:r>
                </w:p>
              </w:tc>
            </w:tr>
            <w:t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Curvas de incumplimiento por cosecha</w:t>
                  </w:r>
                </w:p>
              </w:tc>
              <w:tc>
                <w:tcPr>
                  <w:tcW w:type="dxa" w:w="3412"/>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Incumplimiento acumulado de los créditos de cada trimestre, mes a mes desde su origen</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1 y 2</w:t>
                  </w:r>
                </w:p>
              </w:tc>
            </w:tr>
            <w:t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Incumplimiento por rangos de puntaje, relación deuda-ingreso y relación préstamo-valor</w:t>
                  </w:r>
                </w:p>
              </w:tc>
              <w:tc>
                <w:tcPr>
                  <w:tcW w:type="dxa" w:w="3412"/>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Qué perfiles de solicitud fallan más</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1</w:t>
                  </w:r>
                </w:p>
              </w:tc>
            </w:tr>
            <w:t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Mapa de mora por estado</w:t>
                  </w:r>
                </w:p>
              </w:tc>
              <w:tc>
                <w:tcPr>
                  <w:tcW w:type="dxa" w:w="3412"/>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Dónde se concentra el riesgo</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1 y 2</w:t>
                  </w:r>
                </w:p>
              </w:tc>
            </w:tr>
            <w:t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Matriz de transición entre estados de atraso</w:t>
                  </w:r>
                </w:p>
              </w:tc>
              <w:tc>
                <w:tcPr>
                  <w:tcW w:type="dxa" w:w="3412"/>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Probabilidad de pasar de al día a 30, 60 o 90 días de un mes al siguiente</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2</w:t>
                  </w:r>
                </w:p>
              </w:tc>
            </w:tr>
            <w:t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Mora y asistencia al deudor en 2020</w:t>
                  </w:r>
                </w:p>
              </w:tc>
              <w:tc>
                <w:tcPr>
                  <w:tcW w:type="dxa" w:w="3412"/>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El cambio de comportamiento durante la pandemia</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2 y monitoreo</w:t>
                  </w:r>
                </w:p>
              </w:tc>
            </w:tr>
          </w:tbl>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32"/>
        <w:gridCol w:w="7992"/>
      </w:tblGrid>
      <w:tr>
        <w:tc>
          <w:tcPr>
            <w:tcW w:type="dxa" w:w="2232"/>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Modelo Predictivo</w:t>
            </w:r>
          </w:p>
        </w:tc>
        <w:tc>
          <w:tcPr>
            <w:tcW w:type="dxa" w:w="7992"/>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tbl>
            <w:tblPr>
              <w:tblW w:type="dxa" w:w="7812"/>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912"/>
              <w:gridCol w:w="1900"/>
            </w:tblGrid>
            <w:tr>
              <w:tc>
                <w:tcPr>
                  <w:tcW w:type="dxa" w:w="1700"/>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Pregunta</w:t>
                  </w:r>
                </w:p>
              </w:tc>
              <w:tc>
                <w:tcPr>
                  <w:tcW w:type="dxa" w:w="2300"/>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Variable objetivo</w:t>
                  </w:r>
                </w:p>
              </w:tc>
              <w:tc>
                <w:tcPr>
                  <w:tcW w:type="dxa" w:w="1912"/>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Versiones</w:t>
                  </w:r>
                </w:p>
              </w:tc>
              <w:tc>
                <w:tcPr>
                  <w:tcW w:type="dxa" w:w="1900"/>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Métricas</w:t>
                  </w:r>
                </w:p>
              </w:tc>
            </w:tr>
            <w:tr>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1. ¿Qué clientes aprobar?</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Incumplimiento en los primeros 12 meses: 90 días o más de mora, o cierre por un evento de crédito</w:t>
                  </w:r>
                </w:p>
              </w:tc>
              <w:tc>
                <w:tcPr>
                  <w:tcW w:type="dxa" w:w="1912"/>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1, aprendizaje automático clásico; 2, árbol de decisión; 3, aprendizaje profundo</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Área bajo la curva característica operativa del receptor y de precisión y exhaustividad</w:t>
                  </w:r>
                </w:p>
              </w:tc>
            </w:tr>
            <w:tr>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2. ¿Qué clientes se van a atrasar?</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Llegar a 90 días de mora en los próximos 3 meses, partiendo de un crédito al día</w:t>
                  </w:r>
                </w:p>
              </w:tc>
              <w:tc>
                <w:tcPr>
                  <w:tcW w:type="dxa" w:w="1912"/>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4, red neuronal recurrente sobre la secuencia mensual de pagos</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Exhaustividad sobre los créditos que caen en mora y precisión de las alertas</w:t>
                  </w:r>
                </w:p>
              </w:tc>
            </w:tr>
          </w:tbl>
          <w:p>
            <w:pPr>
              <w:spacing w:after="40" w:before="80"/>
            </w:pPr>
            <w:r>
              <w:rPr>
                <w:rFonts w:ascii="Calibri" w:cs="Calibri" w:eastAsia="Calibri" w:hAnsi="Calibri"/>
                <w:sz w:val="19"/>
                <w:szCs w:val="19"/>
              </w:rPr>
              <w:t xml:space="preserve">Las cuatro versiones usan la misma partición temporal: entrenan con cosechas antiguas y se evalúan con cosechas posteriores, nunca con una partición aleatoria. Las variables que solo existen después del cierre, como recuperaciones, gastos y pérdida real, quedan excluidas.</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32"/>
        <w:gridCol w:w="7992"/>
      </w:tblGrid>
      <w:tr>
        <w:tc>
          <w:tcPr>
            <w:tcW w:type="dxa" w:w="2232"/>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Elementos de la Maqueta</w:t>
            </w:r>
          </w:p>
        </w:tc>
        <w:tc>
          <w:tcPr>
            <w:tcW w:type="dxa" w:w="7992"/>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tbl>
            <w:tblPr>
              <w:tblW w:type="dxa" w:w="7812"/>
              <w:tblBorders>
                <w:top w:val="single" w:color="auto" w:sz="4"/>
                <w:left w:val="single" w:color="auto" w:sz="4"/>
                <w:bottom w:val="single" w:color="auto" w:sz="4"/>
                <w:right w:val="single" w:color="auto" w:sz="4"/>
                <w:insideH w:val="single" w:color="auto" w:sz="4"/>
                <w:insideV w:val="single" w:color="auto" w:sz="4"/>
              </w:tblBorders>
            </w:tblPr>
            <w:tblGrid>
              <w:gridCol w:w="1800"/>
              <w:gridCol w:w="3112"/>
              <w:gridCol w:w="2900"/>
            </w:tblGrid>
            <w:tr>
              <w:tc>
                <w:tcPr>
                  <w:tcW w:type="dxa" w:w="1800"/>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Panel</w:t>
                  </w:r>
                </w:p>
              </w:tc>
              <w:tc>
                <w:tcPr>
                  <w:tcW w:type="dxa" w:w="3112"/>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Qué contiene</w:t>
                  </w:r>
                </w:p>
              </w:tc>
              <w:tc>
                <w:tcPr>
                  <w:tcW w:type="dxa" w:w="2900"/>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Relación con la pregunta</w:t>
                  </w:r>
                </w:p>
              </w:tc>
            </w:tr>
            <w:tr>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Evaluación de solicitud</w:t>
                  </w:r>
                </w:p>
              </w:tc>
              <w:tc>
                <w:tcPr>
                  <w:tcW w:type="dxa" w:w="3112"/>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Formulario, probabilidad de incumplimiento, decisión con umbral ajustable y variables que más pesaron</w:t>
                  </w:r>
                </w:p>
              </w:tc>
              <w:tc>
                <w:tcPr>
                  <w:tcW w:type="dxa" w:w="2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Responde la pregunta 1 caso por caso, a través de la interfaz de inferencia</w:t>
                  </w:r>
                </w:p>
              </w:tc>
            </w:tr>
            <w:tr>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Efecto del umbral</w:t>
                  </w:r>
                </w:p>
              </w:tc>
              <w:tc>
                <w:tcPr>
                  <w:tcW w:type="dxa" w:w="3112"/>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Tasa de aprobación frente a incumplimiento esperado al mover el umbral</w:t>
                  </w:r>
                </w:p>
              </w:tc>
              <w:tc>
                <w:tcPr>
                  <w:tcW w:type="dxa" w:w="2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Traduce la pregunta 1 a una política de aprobación</w:t>
                  </w:r>
                </w:p>
              </w:tc>
            </w:tr>
            <w:tr>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Alerta temprana de mora</w:t>
                  </w:r>
                </w:p>
              </w:tc>
              <w:tc>
                <w:tcPr>
                  <w:tcW w:type="dxa" w:w="3112"/>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Créditos activos ordenados por probabilidad de llegar a 90 días, con filtros por estado, cosecha y saldo</w:t>
                  </w:r>
                </w:p>
              </w:tc>
              <w:tc>
                <w:tcPr>
                  <w:tcW w:type="dxa" w:w="2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Responde la pregunta 2 y prioriza la cobranza</w:t>
                  </w:r>
                </w:p>
              </w:tc>
            </w:tr>
            <w:tr>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Panorama de la cartera</w:t>
                  </w:r>
                </w:p>
              </w:tc>
              <w:tc>
                <w:tcPr>
                  <w:tcW w:type="dxa" w:w="3112"/>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Curvas por cosecha, mapa por estado, matriz de transición y evolución de 2020</w:t>
                  </w:r>
                </w:p>
              </w:tc>
              <w:tc>
                <w:tcPr>
                  <w:tcW w:type="dxa" w:w="2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Contexto descriptivo de las dos preguntas</w:t>
                  </w:r>
                </w:p>
              </w:tc>
            </w:tr>
          </w:tbl>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32"/>
        <w:gridCol w:w="7992"/>
      </w:tblGrid>
      <w:tr>
        <w:tc>
          <w:tcPr>
            <w:tcW w:type="dxa" w:w="2232"/>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Beneficios</w:t>
            </w:r>
          </w:p>
        </w:tc>
        <w:tc>
          <w:tcPr>
            <w:tcW w:type="dxa" w:w="7992"/>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2"/>
              </w:numPr>
              <w:spacing w:after="30"/>
            </w:pPr>
            <w:r>
              <w:rPr>
                <w:rFonts w:ascii="Calibri" w:cs="Calibri" w:eastAsia="Calibri" w:hAnsi="Calibri"/>
                <w:b/>
                <w:bCs/>
                <w:sz w:val="19"/>
                <w:szCs w:val="19"/>
              </w:rPr>
              <w:t xml:space="preserve">Mejor aprobación:</w:t>
            </w:r>
            <w:r>
              <w:rPr>
                <w:rFonts w:ascii="Calibri" w:cs="Calibri" w:eastAsia="Calibri" w:hAnsi="Calibri"/>
                <w:sz w:val="19"/>
                <w:szCs w:val="19"/>
              </w:rPr>
              <w:t xml:space="preserve"> más créditos buenos con el mismo riesgo, o el mismo número con menos incumplimiento.</w:t>
            </w:r>
          </w:p>
          <w:p>
            <w:pPr>
              <w:pStyle w:val="ListParagraph"/>
              <w:numPr>
                <w:ilvl w:val="0"/>
                <w:numId w:val="2"/>
              </w:numPr>
              <w:spacing w:after="30"/>
            </w:pPr>
            <w:r>
              <w:rPr>
                <w:rFonts w:ascii="Calibri" w:cs="Calibri" w:eastAsia="Calibri" w:hAnsi="Calibri"/>
                <w:b/>
                <w:bCs/>
                <w:sz w:val="19"/>
                <w:szCs w:val="19"/>
              </w:rPr>
              <w:t xml:space="preserve">Cobranza anticipada:</w:t>
            </w:r>
            <w:r>
              <w:rPr>
                <w:rFonts w:ascii="Calibri" w:cs="Calibri" w:eastAsia="Calibri" w:hAnsi="Calibri"/>
                <w:sz w:val="19"/>
                <w:szCs w:val="19"/>
              </w:rPr>
              <w:t xml:space="preserve"> se interviene antes de que la deuda llegue a 90 días, cuando recuperar es más barato.</w:t>
            </w:r>
          </w:p>
          <w:p>
            <w:pPr>
              <w:pStyle w:val="ListParagraph"/>
              <w:numPr>
                <w:ilvl w:val="0"/>
                <w:numId w:val="2"/>
              </w:numPr>
              <w:spacing w:after="30"/>
            </w:pPr>
            <w:r>
              <w:rPr>
                <w:rFonts w:ascii="Calibri" w:cs="Calibri" w:eastAsia="Calibri" w:hAnsi="Calibri"/>
                <w:b/>
                <w:bCs/>
                <w:sz w:val="19"/>
                <w:szCs w:val="19"/>
              </w:rPr>
              <w:t xml:space="preserve">Provisiones más precisas:</w:t>
            </w:r>
            <w:r>
              <w:rPr>
                <w:rFonts w:ascii="Calibri" w:cs="Calibri" w:eastAsia="Calibri" w:hAnsi="Calibri"/>
                <w:sz w:val="19"/>
                <w:szCs w:val="19"/>
              </w:rPr>
              <w:t xml:space="preserve"> la pérdida esperada se estima con el riesgo real de la cartera.</w:t>
            </w:r>
          </w:p>
          <w:p>
            <w:pPr>
              <w:pStyle w:val="ListParagraph"/>
              <w:numPr>
                <w:ilvl w:val="0"/>
                <w:numId w:val="2"/>
              </w:numPr>
              <w:spacing w:after="30"/>
            </w:pPr>
            <w:r>
              <w:rPr>
                <w:rFonts w:ascii="Calibri" w:cs="Calibri" w:eastAsia="Calibri" w:hAnsi="Calibri"/>
                <w:b/>
                <w:bCs/>
                <w:sz w:val="19"/>
                <w:szCs w:val="19"/>
              </w:rPr>
              <w:t xml:space="preserve">Canalización reproducible:</w:t>
            </w:r>
            <w:r>
              <w:rPr>
                <w:rFonts w:ascii="Calibri" w:cs="Calibri" w:eastAsia="Calibri" w:hAnsi="Calibri"/>
                <w:sz w:val="19"/>
                <w:szCs w:val="19"/>
              </w:rPr>
              <w:t xml:space="preserve"> de los archivos crudos al modelo desplegado, con datos y experimentos versionados.</w:t>
            </w:r>
          </w:p>
          <w:p>
            <w:pPr>
              <w:pStyle w:val="ListParagraph"/>
              <w:numPr>
                <w:ilvl w:val="0"/>
                <w:numId w:val="2"/>
              </w:numPr>
              <w:spacing w:after="30"/>
            </w:pPr>
            <w:r>
              <w:rPr>
                <w:rFonts w:ascii="Calibri" w:cs="Calibri" w:eastAsia="Calibri" w:hAnsi="Calibri"/>
                <w:b/>
                <w:bCs/>
                <w:sz w:val="19"/>
                <w:szCs w:val="19"/>
              </w:rPr>
              <w:t xml:space="preserve">Monitoreo:</w:t>
            </w:r>
            <w:r>
              <w:rPr>
                <w:rFonts w:ascii="Calibri" w:cs="Calibri" w:eastAsia="Calibri" w:hAnsi="Calibri"/>
                <w:sz w:val="19"/>
                <w:szCs w:val="19"/>
              </w:rPr>
              <w:t xml:space="preserve"> el cambio de 2020 permite mostrar cómo se degrada un modelo y cuándo reentrenarlo.</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32"/>
        <w:gridCol w:w="7992"/>
      </w:tblGrid>
      <w:tr>
        <w:tc>
          <w:tcPr>
            <w:tcW w:type="dxa" w:w="2232"/>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Equipo de Trabajo</w:t>
            </w:r>
          </w:p>
        </w:tc>
        <w:tc>
          <w:tcPr>
            <w:tcW w:type="dxa" w:w="7992"/>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tbl>
            <w:tblPr>
              <w:tblW w:type="dxa" w:w="7812"/>
              <w:tblBorders>
                <w:top w:val="single" w:color="auto" w:sz="4"/>
                <w:left w:val="single" w:color="auto" w:sz="4"/>
                <w:bottom w:val="single" w:color="auto" w:sz="4"/>
                <w:right w:val="single" w:color="auto" w:sz="4"/>
                <w:insideH w:val="single" w:color="auto" w:sz="4"/>
                <w:insideV w:val="single" w:color="auto" w:sz="4"/>
              </w:tblBorders>
            </w:tblPr>
            <w:tblGrid>
              <w:gridCol w:w="2400"/>
              <w:gridCol w:w="5412"/>
            </w:tblGrid>
            <w:tr>
              <w:tc>
                <w:tcPr>
                  <w:tcW w:type="dxa" w:w="2400"/>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Nombre</w:t>
                  </w:r>
                </w:p>
              </w:tc>
              <w:tc>
                <w:tcPr>
                  <w:tcW w:type="dxa" w:w="5412"/>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Rol</w:t>
                  </w:r>
                </w:p>
              </w:tc>
            </w:tr>
            <w:tr>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Oscar David Ortega Villa</w:t>
                  </w:r>
                </w:p>
              </w:tc>
              <w:tc>
                <w:tcPr>
                  <w:tcW w:type="dxa" w:w="5412"/>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Líder: pregunta de negocio, modelos, MLflow, interfaz de inferencia y reportes de entrega</w:t>
                  </w:r>
                </w:p>
              </w:tc>
            </w:tr>
            <w:tr>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Ana Duque</w:t>
                  </w:r>
                </w:p>
              </w:tc>
              <w:tc>
                <w:tcPr>
                  <w:tcW w:type="dxa" w:w="5412"/>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Analista de datos: exploración, maqueta, tablero y manual de usuario</w:t>
                  </w:r>
                </w:p>
              </w:tc>
            </w:tr>
            <w:tr>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Juan</w:t>
                  </w:r>
                </w:p>
              </w:tc>
              <w:tc>
                <w:tcPr>
                  <w:tcW w:type="dxa" w:w="5412"/>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Ingeniero de datos: canalización con Spark, Git y Data Version Control, contenedores, despliegue y manual de instalación</w:t>
                  </w:r>
                </w:p>
              </w:tc>
            </w:tr>
          </w:tbl>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PLANEACIÓN</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100"/>
        <w:gridCol w:w="3324"/>
        <w:gridCol w:w="1600"/>
        <w:gridCol w:w="1200"/>
      </w:tblGrid>
      <w:tr>
        <w:tc>
          <w:tcPr>
            <w:tcW w:type="dxa" w:w="1500"/>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Actividades</w:t>
            </w:r>
          </w:p>
        </w:tc>
        <w:tc>
          <w:tcPr>
            <w:tcW w:type="dxa" w:w="1500"/>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Fechas</w:t>
            </w:r>
          </w:p>
        </w:tc>
        <w:tc>
          <w:tcPr>
            <w:tcW w:type="dxa" w:w="1100"/>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Horas del equipo por semana</w:t>
            </w:r>
          </w:p>
        </w:tc>
        <w:tc>
          <w:tcPr>
            <w:tcW w:type="dxa" w:w="3324"/>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Hito verificable</w:t>
            </w:r>
          </w:p>
        </w:tc>
        <w:tc>
          <w:tcPr>
            <w:tcW w:type="dxa" w:w="1600"/>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Responsable</w:t>
            </w:r>
          </w:p>
        </w:tc>
        <w:tc>
          <w:tcPr>
            <w:tcW w:type="dxa" w:w="1200"/>
            <w:tcBorders>
              <w:top w:val="single" w:color="7F7F7F" w:sz="4"/>
              <w:left w:val="single" w:color="7F7F7F" w:sz="4"/>
              <w:bottom w:val="single" w:color="7F7F7F" w:sz="4"/>
              <w:right w:val="single" w:color="7F7F7F" w:sz="4"/>
            </w:tcBorders>
            <w:shd w:fill="adb9ca" w:color="auto" w:val="clear"/>
            <w:tcMar>
              <w:top w:type="dxa" w:w="60"/>
              <w:left w:type="dxa" w:w="90"/>
              <w:bottom w:type="dxa" w:w="60"/>
              <w:right w:type="dxa" w:w="90"/>
            </w:tcMar>
            <w:vAlign w:val="center"/>
          </w:tcPr>
          <w:p>
            <w:pPr>
              <w:spacing w:after="40" w:before="0"/>
              <w:jc w:val="center"/>
            </w:pPr>
            <w:r>
              <w:rPr>
                <w:rFonts w:ascii="Calibri" w:cs="Calibri" w:eastAsia="Calibri" w:hAnsi="Calibri"/>
                <w:b/>
                <w:bCs/>
                <w:sz w:val="19"/>
                <w:szCs w:val="19"/>
              </w:rPr>
              <w:t xml:space="preserve">Revisa</w:t>
            </w:r>
          </w:p>
        </w:tc>
      </w:tr>
      <w:tr>
        <w:tc>
          <w:tcPr>
            <w:tcW w:type="dxa" w:w="1500"/>
            <w:tcBorders>
              <w:top w:val="single" w:color="7F7F7F" w:sz="4"/>
              <w:left w:val="single" w:color="7F7F7F" w:sz="4"/>
              <w:bottom w:val="single" w:color="7F7F7F" w:sz="4"/>
              <w:right w:val="single" w:color="7F7F7F" w:sz="4"/>
            </w:tcBorders>
            <w:shd w:fill="e4d4f0" w:color="auto" w:val="clear"/>
            <w:tcMar>
              <w:top w:type="dxa" w:w="60"/>
              <w:left w:type="dxa" w:w="90"/>
              <w:bottom w:type="dxa" w:w="60"/>
              <w:right w:type="dxa" w:w="90"/>
            </w:tcMar>
            <w:vAlign w:val="top"/>
          </w:tcPr>
          <w:p>
            <w:pPr>
              <w:spacing w:after="40" w:before="0"/>
            </w:pPr>
            <w:r>
              <w:rPr>
                <w:rFonts w:ascii="Calibri" w:cs="Calibri" w:eastAsia="Calibri" w:hAnsi="Calibri"/>
                <w:b/>
                <w:bCs/>
                <w:sz w:val="19"/>
                <w:szCs w:val="19"/>
              </w:rPr>
              <w:t xml:space="preserve">Entrega 1</w:t>
            </w:r>
          </w:p>
        </w:tc>
        <w:tc>
          <w:tcPr>
            <w:tcW w:type="dxa" w:w="1500"/>
            <w:tcBorders>
              <w:top w:val="single" w:color="7F7F7F" w:sz="4"/>
              <w:left w:val="single" w:color="7F7F7F" w:sz="4"/>
              <w:bottom w:val="single" w:color="7F7F7F" w:sz="4"/>
              <w:right w:val="single" w:color="7F7F7F" w:sz="4"/>
            </w:tcBorders>
            <w:shd w:fill="e4d4f0" w:color="auto" w:val="clear"/>
            <w:tcMar>
              <w:top w:type="dxa" w:w="60"/>
              <w:left w:type="dxa" w:w="90"/>
              <w:bottom w:type="dxa" w:w="60"/>
              <w:right w:type="dxa" w:w="90"/>
            </w:tcMar>
            <w:vAlign w:val="top"/>
          </w:tcPr>
          <w:p>
            <w:pPr>
              <w:spacing w:after="40" w:before="0"/>
            </w:pPr>
            <w:r>
              <w:rPr>
                <w:rFonts w:ascii="Calibri" w:cs="Calibri" w:eastAsia="Calibri" w:hAnsi="Calibri"/>
                <w:sz w:val="19"/>
                <w:szCs w:val="19"/>
              </w:rPr>
              <w:t xml:space="preserve">5 al 25 de octubre de 2026</w:t>
            </w:r>
          </w:p>
        </w:tc>
        <w:tc>
          <w:tcPr>
            <w:tcW w:type="dxa" w:w="1100"/>
            <w:tcBorders>
              <w:top w:val="single" w:color="7F7F7F" w:sz="4"/>
              <w:left w:val="single" w:color="7F7F7F" w:sz="4"/>
              <w:bottom w:val="single" w:color="7F7F7F" w:sz="4"/>
              <w:right w:val="single" w:color="7F7F7F" w:sz="4"/>
            </w:tcBorders>
            <w:shd w:fill="e4d4f0" w:color="auto" w:val="clear"/>
            <w:tcMar>
              <w:top w:type="dxa" w:w="60"/>
              <w:left w:type="dxa" w:w="90"/>
              <w:bottom w:type="dxa" w:w="60"/>
              <w:right w:type="dxa" w:w="90"/>
            </w:tcMar>
            <w:vAlign w:val="top"/>
          </w:tcPr>
          <w:p>
            <w:pPr>
              <w:spacing w:after="40" w:before="0"/>
            </w:pPr>
          </w:p>
        </w:tc>
        <w:tc>
          <w:tcPr>
            <w:tcW w:type="dxa" w:w="6124"/>
            <w:gridSpan w:val="3"/>
            <w:tcBorders>
              <w:top w:val="single" w:color="7F7F7F" w:sz="4"/>
              <w:left w:val="single" w:color="7F7F7F" w:sz="4"/>
              <w:bottom w:val="single" w:color="7F7F7F" w:sz="4"/>
              <w:right w:val="single" w:color="7F7F7F" w:sz="4"/>
            </w:tcBorders>
            <w:shd w:fill="e4d4f0" w:color="auto" w:val="clear"/>
            <w:tcMar>
              <w:top w:type="dxa" w:w="60"/>
              <w:left w:type="dxa" w:w="90"/>
              <w:bottom w:type="dxa" w:w="60"/>
              <w:right w:type="dxa" w:w="90"/>
            </w:tcMar>
            <w:vAlign w:val="top"/>
          </w:tcPr>
          <w:p>
            <w:pPr>
              <w:spacing w:after="40" w:before="0"/>
            </w:pPr>
          </w:p>
        </w:tc>
      </w:tr>
      <w:tr>
        <w:tc>
          <w:tcPr>
            <w:tcW w:type="dxa" w:w="1500"/>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pPr>
            <w:r>
              <w:rPr>
                <w:rFonts w:ascii="Calibri" w:cs="Calibri" w:eastAsia="Calibri" w:hAnsi="Calibri"/>
                <w:b/>
                <w:bCs/>
                <w:sz w:val="19"/>
                <w:szCs w:val="19"/>
              </w:rPr>
              <w:t xml:space="preserve">Semana 1</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5 al 11 de octubre</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24</w:t>
            </w:r>
          </w:p>
        </w:tc>
        <w:tc>
          <w:tcPr>
            <w:tcW w:type="dxa" w:w="3324"/>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40" w:before="0"/>
            </w:pPr>
            <w:r>
              <w:rPr>
                <w:rFonts w:ascii="Calibri" w:cs="Calibri" w:eastAsia="Calibri" w:hAnsi="Calibri"/>
                <w:sz w:val="19"/>
                <w:szCs w:val="19"/>
              </w:rPr>
              <w:t xml:space="preserve">Equipo inscrito; problemas y conjuntos de datos candidatos</w:t>
            </w:r>
          </w:p>
        </w:tc>
        <w:tc>
          <w:tcPr>
            <w:tcW w:type="dxa" w:w="16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Oscar Ortega</w:t>
            </w:r>
          </w:p>
        </w:tc>
        <w:tc>
          <w:tcPr>
            <w:tcW w:type="dxa" w:w="1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Equipo</w:t>
            </w:r>
          </w:p>
        </w:tc>
      </w:tr>
      <w:tr>
        <w:tc>
          <w:tcPr>
            <w:tcW w:type="dxa" w:w="1500"/>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pPr>
            <w:r>
              <w:rPr>
                <w:rFonts w:ascii="Calibri" w:cs="Calibri" w:eastAsia="Calibri" w:hAnsi="Calibri"/>
                <w:b/>
                <w:bCs/>
                <w:sz w:val="19"/>
                <w:szCs w:val="19"/>
              </w:rPr>
              <w:t xml:space="preserve">Semana 2</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12 al 18 de octubre</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30</w:t>
            </w:r>
          </w:p>
        </w:tc>
        <w:tc>
          <w:tcPr>
            <w:tcW w:type="dxa" w:w="3324"/>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40" w:before="0"/>
            </w:pPr>
            <w:r>
              <w:rPr>
                <w:rFonts w:ascii="Calibri" w:cs="Calibri" w:eastAsia="Calibri" w:hAnsi="Calibri"/>
                <w:sz w:val="19"/>
                <w:szCs w:val="19"/>
              </w:rPr>
              <w:t xml:space="preserve">Problema, pregunta de negocio, alcance y maqueta inicial aprobados</w:t>
            </w:r>
          </w:p>
        </w:tc>
        <w:tc>
          <w:tcPr>
            <w:tcW w:type="dxa" w:w="16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Oscar Ortega y Ana Duque</w:t>
            </w:r>
          </w:p>
        </w:tc>
        <w:tc>
          <w:tcPr>
            <w:tcW w:type="dxa" w:w="1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Tutores</w:t>
            </w:r>
          </w:p>
        </w:tc>
      </w:tr>
      <w:tr>
        <w:tc>
          <w:tcPr>
            <w:tcW w:type="dxa" w:w="1500"/>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pPr>
            <w:r>
              <w:rPr>
                <w:rFonts w:ascii="Calibri" w:cs="Calibri" w:eastAsia="Calibri" w:hAnsi="Calibri"/>
                <w:b/>
                <w:bCs/>
                <w:sz w:val="19"/>
                <w:szCs w:val="19"/>
              </w:rPr>
              <w:t xml:space="preserve">Semana 3</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19 al 25 de octubre</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34</w:t>
            </w:r>
          </w:p>
        </w:tc>
        <w:tc>
          <w:tcPr>
            <w:tcW w:type="dxa" w:w="3324"/>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40" w:before="0"/>
            </w:pPr>
            <w:r>
              <w:rPr>
                <w:rFonts w:ascii="Calibri" w:cs="Calibri" w:eastAsia="Calibri" w:hAnsi="Calibri"/>
                <w:sz w:val="19"/>
                <w:szCs w:val="19"/>
              </w:rPr>
              <w:t xml:space="preserve">Git y Data Version Control en uso; exploración versionada; reporte de la entrega 1</w:t>
            </w:r>
          </w:p>
        </w:tc>
        <w:tc>
          <w:tcPr>
            <w:tcW w:type="dxa" w:w="16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Juan y Ana Duque</w:t>
            </w:r>
          </w:p>
        </w:tc>
        <w:tc>
          <w:tcPr>
            <w:tcW w:type="dxa" w:w="1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Oscar Ortega</w:t>
            </w:r>
          </w:p>
        </w:tc>
      </w:tr>
      <w:tr>
        <w:tc>
          <w:tcPr>
            <w:tcW w:type="dxa" w:w="1500"/>
            <w:tcBorders>
              <w:top w:val="single" w:color="7F7F7F" w:sz="4"/>
              <w:left w:val="single" w:color="7F7F7F" w:sz="4"/>
              <w:bottom w:val="single" w:color="7F7F7F" w:sz="4"/>
              <w:right w:val="single" w:color="7F7F7F" w:sz="4"/>
            </w:tcBorders>
            <w:shd w:fill="e4d4f0" w:color="auto" w:val="clear"/>
            <w:tcMar>
              <w:top w:type="dxa" w:w="60"/>
              <w:left w:type="dxa" w:w="90"/>
              <w:bottom w:type="dxa" w:w="60"/>
              <w:right w:type="dxa" w:w="90"/>
            </w:tcMar>
            <w:vAlign w:val="top"/>
          </w:tcPr>
          <w:p>
            <w:pPr>
              <w:spacing w:after="40" w:before="0"/>
            </w:pPr>
            <w:r>
              <w:rPr>
                <w:rFonts w:ascii="Calibri" w:cs="Calibri" w:eastAsia="Calibri" w:hAnsi="Calibri"/>
                <w:b/>
                <w:bCs/>
                <w:sz w:val="19"/>
                <w:szCs w:val="19"/>
              </w:rPr>
              <w:t xml:space="preserve">Entrega 2</w:t>
            </w:r>
          </w:p>
        </w:tc>
        <w:tc>
          <w:tcPr>
            <w:tcW w:type="dxa" w:w="1500"/>
            <w:tcBorders>
              <w:top w:val="single" w:color="7F7F7F" w:sz="4"/>
              <w:left w:val="single" w:color="7F7F7F" w:sz="4"/>
              <w:bottom w:val="single" w:color="7F7F7F" w:sz="4"/>
              <w:right w:val="single" w:color="7F7F7F" w:sz="4"/>
            </w:tcBorders>
            <w:shd w:fill="e4d4f0" w:color="auto" w:val="clear"/>
            <w:tcMar>
              <w:top w:type="dxa" w:w="60"/>
              <w:left w:type="dxa" w:w="90"/>
              <w:bottom w:type="dxa" w:w="60"/>
              <w:right w:type="dxa" w:w="90"/>
            </w:tcMar>
            <w:vAlign w:val="top"/>
          </w:tcPr>
          <w:p>
            <w:pPr>
              <w:spacing w:after="40" w:before="0"/>
            </w:pPr>
            <w:r>
              <w:rPr>
                <w:rFonts w:ascii="Calibri" w:cs="Calibri" w:eastAsia="Calibri" w:hAnsi="Calibri"/>
                <w:sz w:val="19"/>
                <w:szCs w:val="19"/>
              </w:rPr>
              <w:t xml:space="preserve">26 de octubre al 8 de noviembre</w:t>
            </w:r>
          </w:p>
        </w:tc>
        <w:tc>
          <w:tcPr>
            <w:tcW w:type="dxa" w:w="1100"/>
            <w:tcBorders>
              <w:top w:val="single" w:color="7F7F7F" w:sz="4"/>
              <w:left w:val="single" w:color="7F7F7F" w:sz="4"/>
              <w:bottom w:val="single" w:color="7F7F7F" w:sz="4"/>
              <w:right w:val="single" w:color="7F7F7F" w:sz="4"/>
            </w:tcBorders>
            <w:shd w:fill="e4d4f0" w:color="auto" w:val="clear"/>
            <w:tcMar>
              <w:top w:type="dxa" w:w="60"/>
              <w:left w:type="dxa" w:w="90"/>
              <w:bottom w:type="dxa" w:w="60"/>
              <w:right w:type="dxa" w:w="90"/>
            </w:tcMar>
            <w:vAlign w:val="top"/>
          </w:tcPr>
          <w:p>
            <w:pPr>
              <w:spacing w:after="40" w:before="0"/>
            </w:pPr>
          </w:p>
        </w:tc>
        <w:tc>
          <w:tcPr>
            <w:tcW w:type="dxa" w:w="6124"/>
            <w:gridSpan w:val="3"/>
            <w:tcBorders>
              <w:top w:val="single" w:color="7F7F7F" w:sz="4"/>
              <w:left w:val="single" w:color="7F7F7F" w:sz="4"/>
              <w:bottom w:val="single" w:color="7F7F7F" w:sz="4"/>
              <w:right w:val="single" w:color="7F7F7F" w:sz="4"/>
            </w:tcBorders>
            <w:shd w:fill="e4d4f0" w:color="auto" w:val="clear"/>
            <w:tcMar>
              <w:top w:type="dxa" w:w="60"/>
              <w:left w:type="dxa" w:w="90"/>
              <w:bottom w:type="dxa" w:w="60"/>
              <w:right w:type="dxa" w:w="90"/>
            </w:tcMar>
            <w:vAlign w:val="top"/>
          </w:tcPr>
          <w:p>
            <w:pPr>
              <w:spacing w:after="40" w:before="0"/>
            </w:pPr>
          </w:p>
        </w:tc>
      </w:tr>
      <w:tr>
        <w:tc>
          <w:tcPr>
            <w:tcW w:type="dxa" w:w="1500"/>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pPr>
            <w:r>
              <w:rPr>
                <w:rFonts w:ascii="Calibri" w:cs="Calibri" w:eastAsia="Calibri" w:hAnsi="Calibri"/>
                <w:b/>
                <w:bCs/>
                <w:sz w:val="19"/>
                <w:szCs w:val="19"/>
              </w:rPr>
              <w:t xml:space="preserve">Semana 4</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26 de octubre al 1 de noviembre</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32</w:t>
            </w:r>
          </w:p>
        </w:tc>
        <w:tc>
          <w:tcPr>
            <w:tcW w:type="dxa" w:w="3324"/>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40" w:before="0"/>
            </w:pPr>
            <w:r>
              <w:rPr>
                <w:rFonts w:ascii="Calibri" w:cs="Calibri" w:eastAsia="Calibri" w:hAnsi="Calibri"/>
                <w:sz w:val="19"/>
                <w:szCs w:val="19"/>
              </w:rPr>
              <w:t xml:space="preserve">Canalización con Spark; servidor de MLflow; modelo versión 1 con línea base</w:t>
            </w:r>
          </w:p>
        </w:tc>
        <w:tc>
          <w:tcPr>
            <w:tcW w:type="dxa" w:w="16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Oscar Ortega y Juan</w:t>
            </w:r>
          </w:p>
        </w:tc>
        <w:tc>
          <w:tcPr>
            <w:tcW w:type="dxa" w:w="1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Ana Duque</w:t>
            </w:r>
          </w:p>
        </w:tc>
      </w:tr>
      <w:tr>
        <w:tc>
          <w:tcPr>
            <w:tcW w:type="dxa" w:w="1500"/>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pPr>
            <w:r>
              <w:rPr>
                <w:rFonts w:ascii="Calibri" w:cs="Calibri" w:eastAsia="Calibri" w:hAnsi="Calibri"/>
                <w:b/>
                <w:bCs/>
                <w:sz w:val="19"/>
                <w:szCs w:val="19"/>
              </w:rPr>
              <w:t xml:space="preserve">Semana 5</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2 al 8 de noviembre</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30</w:t>
            </w:r>
          </w:p>
        </w:tc>
        <w:tc>
          <w:tcPr>
            <w:tcW w:type="dxa" w:w="3324"/>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40" w:before="0"/>
            </w:pPr>
            <w:r>
              <w:rPr>
                <w:rFonts w:ascii="Calibri" w:cs="Calibri" w:eastAsia="Calibri" w:hAnsi="Calibri"/>
                <w:sz w:val="19"/>
                <w:szCs w:val="19"/>
              </w:rPr>
              <w:t xml:space="preserve">Modelo versión 2; tablero con datos reales; reporte de la entrega 2 (cierre interno el viernes 6)</w:t>
            </w:r>
          </w:p>
        </w:tc>
        <w:tc>
          <w:tcPr>
            <w:tcW w:type="dxa" w:w="16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Ana Duque</w:t>
            </w:r>
          </w:p>
        </w:tc>
        <w:tc>
          <w:tcPr>
            <w:tcW w:type="dxa" w:w="1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Oscar Ortega</w:t>
            </w:r>
          </w:p>
        </w:tc>
      </w:tr>
      <w:tr>
        <w:tc>
          <w:tcPr>
            <w:tcW w:type="dxa" w:w="1500"/>
            <w:tcBorders>
              <w:top w:val="single" w:color="7F7F7F" w:sz="4"/>
              <w:left w:val="single" w:color="7F7F7F" w:sz="4"/>
              <w:bottom w:val="single" w:color="7F7F7F" w:sz="4"/>
              <w:right w:val="single" w:color="7F7F7F" w:sz="4"/>
            </w:tcBorders>
            <w:shd w:fill="e4d4f0" w:color="auto" w:val="clear"/>
            <w:tcMar>
              <w:top w:type="dxa" w:w="60"/>
              <w:left w:type="dxa" w:w="90"/>
              <w:bottom w:type="dxa" w:w="60"/>
              <w:right w:type="dxa" w:w="90"/>
            </w:tcMar>
            <w:vAlign w:val="top"/>
          </w:tcPr>
          <w:p>
            <w:pPr>
              <w:spacing w:after="40" w:before="0"/>
            </w:pPr>
            <w:r>
              <w:rPr>
                <w:rFonts w:ascii="Calibri" w:cs="Calibri" w:eastAsia="Calibri" w:hAnsi="Calibri"/>
                <w:b/>
                <w:bCs/>
                <w:sz w:val="19"/>
                <w:szCs w:val="19"/>
              </w:rPr>
              <w:t xml:space="preserve">Entrega 3</w:t>
            </w:r>
          </w:p>
        </w:tc>
        <w:tc>
          <w:tcPr>
            <w:tcW w:type="dxa" w:w="1500"/>
            <w:tcBorders>
              <w:top w:val="single" w:color="7F7F7F" w:sz="4"/>
              <w:left w:val="single" w:color="7F7F7F" w:sz="4"/>
              <w:bottom w:val="single" w:color="7F7F7F" w:sz="4"/>
              <w:right w:val="single" w:color="7F7F7F" w:sz="4"/>
            </w:tcBorders>
            <w:shd w:fill="e4d4f0" w:color="auto" w:val="clear"/>
            <w:tcMar>
              <w:top w:type="dxa" w:w="60"/>
              <w:left w:type="dxa" w:w="90"/>
              <w:bottom w:type="dxa" w:w="60"/>
              <w:right w:type="dxa" w:w="90"/>
            </w:tcMar>
            <w:vAlign w:val="top"/>
          </w:tcPr>
          <w:p>
            <w:pPr>
              <w:spacing w:after="40" w:before="0"/>
            </w:pPr>
            <w:r>
              <w:rPr>
                <w:rFonts w:ascii="Calibri" w:cs="Calibri" w:eastAsia="Calibri" w:hAnsi="Calibri"/>
                <w:sz w:val="19"/>
                <w:szCs w:val="19"/>
              </w:rPr>
              <w:t xml:space="preserve">9 al 24 de noviembre</w:t>
            </w:r>
          </w:p>
        </w:tc>
        <w:tc>
          <w:tcPr>
            <w:tcW w:type="dxa" w:w="1100"/>
            <w:tcBorders>
              <w:top w:val="single" w:color="7F7F7F" w:sz="4"/>
              <w:left w:val="single" w:color="7F7F7F" w:sz="4"/>
              <w:bottom w:val="single" w:color="7F7F7F" w:sz="4"/>
              <w:right w:val="single" w:color="7F7F7F" w:sz="4"/>
            </w:tcBorders>
            <w:shd w:fill="e4d4f0" w:color="auto" w:val="clear"/>
            <w:tcMar>
              <w:top w:type="dxa" w:w="60"/>
              <w:left w:type="dxa" w:w="90"/>
              <w:bottom w:type="dxa" w:w="60"/>
              <w:right w:type="dxa" w:w="90"/>
            </w:tcMar>
            <w:vAlign w:val="top"/>
          </w:tcPr>
          <w:p>
            <w:pPr>
              <w:spacing w:after="40" w:before="0"/>
            </w:pPr>
          </w:p>
        </w:tc>
        <w:tc>
          <w:tcPr>
            <w:tcW w:type="dxa" w:w="6124"/>
            <w:gridSpan w:val="3"/>
            <w:tcBorders>
              <w:top w:val="single" w:color="7F7F7F" w:sz="4"/>
              <w:left w:val="single" w:color="7F7F7F" w:sz="4"/>
              <w:bottom w:val="single" w:color="7F7F7F" w:sz="4"/>
              <w:right w:val="single" w:color="7F7F7F" w:sz="4"/>
            </w:tcBorders>
            <w:shd w:fill="e4d4f0" w:color="auto" w:val="clear"/>
            <w:tcMar>
              <w:top w:type="dxa" w:w="60"/>
              <w:left w:type="dxa" w:w="90"/>
              <w:bottom w:type="dxa" w:w="60"/>
              <w:right w:type="dxa" w:w="90"/>
            </w:tcMar>
            <w:vAlign w:val="top"/>
          </w:tcPr>
          <w:p>
            <w:pPr>
              <w:spacing w:after="40" w:before="0"/>
            </w:pPr>
          </w:p>
        </w:tc>
      </w:tr>
      <w:tr>
        <w:tc>
          <w:tcPr>
            <w:tcW w:type="dxa" w:w="1500"/>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pPr>
            <w:r>
              <w:rPr>
                <w:rFonts w:ascii="Calibri" w:cs="Calibri" w:eastAsia="Calibri" w:hAnsi="Calibri"/>
                <w:b/>
                <w:bCs/>
                <w:sz w:val="19"/>
                <w:szCs w:val="19"/>
              </w:rPr>
              <w:t xml:space="preserve">Semana 6</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9 al 15 de noviembre</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34</w:t>
            </w:r>
          </w:p>
        </w:tc>
        <w:tc>
          <w:tcPr>
            <w:tcW w:type="dxa" w:w="3324"/>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40" w:before="0"/>
            </w:pPr>
            <w:r>
              <w:rPr>
                <w:rFonts w:ascii="Calibri" w:cs="Calibri" w:eastAsia="Calibri" w:hAnsi="Calibri"/>
                <w:sz w:val="19"/>
                <w:szCs w:val="19"/>
              </w:rPr>
              <w:t xml:space="preserve">Modelo versión 3; empaquetado; interfaz respondiendo desde la nube</w:t>
            </w:r>
          </w:p>
        </w:tc>
        <w:tc>
          <w:tcPr>
            <w:tcW w:type="dxa" w:w="16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Oscar Ortega y Juan</w:t>
            </w:r>
          </w:p>
        </w:tc>
        <w:tc>
          <w:tcPr>
            <w:tcW w:type="dxa" w:w="1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Ana Duque</w:t>
            </w:r>
          </w:p>
        </w:tc>
      </w:tr>
      <w:tr>
        <w:tc>
          <w:tcPr>
            <w:tcW w:type="dxa" w:w="1500"/>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pPr>
            <w:r>
              <w:rPr>
                <w:rFonts w:ascii="Calibri" w:cs="Calibri" w:eastAsia="Calibri" w:hAnsi="Calibri"/>
                <w:b/>
                <w:bCs/>
                <w:sz w:val="19"/>
                <w:szCs w:val="19"/>
              </w:rPr>
              <w:t xml:space="preserve">Semana 7</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16 al 22 de noviembre</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34</w:t>
            </w:r>
          </w:p>
        </w:tc>
        <w:tc>
          <w:tcPr>
            <w:tcW w:type="dxa" w:w="3324"/>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40" w:before="0"/>
            </w:pPr>
            <w:r>
              <w:rPr>
                <w:rFonts w:ascii="Calibri" w:cs="Calibri" w:eastAsia="Calibri" w:hAnsi="Calibri"/>
                <w:sz w:val="19"/>
                <w:szCs w:val="19"/>
              </w:rPr>
              <w:t xml:space="preserve">Modelo versión 4; sistema completo desplegado; manuales de usuario e instalación</w:t>
            </w:r>
          </w:p>
        </w:tc>
        <w:tc>
          <w:tcPr>
            <w:tcW w:type="dxa" w:w="16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Juan y Ana Duque</w:t>
            </w:r>
          </w:p>
        </w:tc>
        <w:tc>
          <w:tcPr>
            <w:tcW w:type="dxa" w:w="1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Oscar Ortega</w:t>
            </w:r>
          </w:p>
        </w:tc>
      </w:tr>
      <w:tr>
        <w:tc>
          <w:tcPr>
            <w:tcW w:type="dxa" w:w="1500"/>
            <w:tcBorders>
              <w:top w:val="single" w:color="7F7F7F" w:sz="4"/>
              <w:left w:val="single" w:color="7F7F7F" w:sz="4"/>
              <w:bottom w:val="single" w:color="7F7F7F" w:sz="4"/>
              <w:right w:val="single" w:color="7F7F7F" w:sz="4"/>
            </w:tcBorders>
            <w:shd w:fill="d6dce4" w:color="auto" w:val="clear"/>
            <w:tcMar>
              <w:top w:type="dxa" w:w="60"/>
              <w:left w:type="dxa" w:w="90"/>
              <w:bottom w:type="dxa" w:w="60"/>
              <w:right w:type="dxa" w:w="90"/>
            </w:tcMar>
            <w:vAlign w:val="center"/>
          </w:tcPr>
          <w:p>
            <w:pPr>
              <w:spacing w:after="40" w:before="0"/>
            </w:pPr>
            <w:r>
              <w:rPr>
                <w:rFonts w:ascii="Calibri" w:cs="Calibri" w:eastAsia="Calibri" w:hAnsi="Calibri"/>
                <w:b/>
                <w:bCs/>
                <w:sz w:val="19"/>
                <w:szCs w:val="19"/>
              </w:rPr>
              <w:t xml:space="preserve">Semana 8</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23 y 24 de noviembre</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jc w:val="center"/>
            </w:pPr>
            <w:r>
              <w:rPr>
                <w:rFonts w:ascii="Calibri" w:cs="Calibri" w:eastAsia="Calibri" w:hAnsi="Calibri"/>
                <w:sz w:val="19"/>
                <w:szCs w:val="19"/>
              </w:rPr>
              <w:t xml:space="preserve">12</w:t>
            </w:r>
          </w:p>
        </w:tc>
        <w:tc>
          <w:tcPr>
            <w:tcW w:type="dxa" w:w="3324"/>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40" w:before="0"/>
            </w:pPr>
            <w:r>
              <w:rPr>
                <w:rFonts w:ascii="Calibri" w:cs="Calibri" w:eastAsia="Calibri" w:hAnsi="Calibri"/>
                <w:sz w:val="19"/>
                <w:szCs w:val="19"/>
              </w:rPr>
              <w:t xml:space="preserve">Video y entrega final</w:t>
            </w:r>
          </w:p>
        </w:tc>
        <w:tc>
          <w:tcPr>
            <w:tcW w:type="dxa" w:w="16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Equipo</w:t>
            </w:r>
          </w:p>
        </w:tc>
        <w:tc>
          <w:tcPr>
            <w:tcW w:type="dxa" w:w="1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40" w:before="0"/>
            </w:pPr>
            <w:r>
              <w:rPr>
                <w:rFonts w:ascii="Calibri" w:cs="Calibri" w:eastAsia="Calibri" w:hAnsi="Calibri"/>
                <w:sz w:val="19"/>
                <w:szCs w:val="19"/>
              </w:rPr>
              <w:t xml:space="preserve">Tutores</w:t>
            </w:r>
          </w:p>
        </w:tc>
      </w:tr>
    </w:tbl>
    <w:p>
      <w:pPr>
        <w:spacing w:after="40" w:before="140"/>
      </w:pPr>
      <w:r>
        <w:rPr>
          <w:rFonts w:ascii="Calibri" w:cs="Calibri" w:eastAsia="Calibri" w:hAnsi="Calibri"/>
          <w:color w:val="555555"/>
          <w:sz w:val="17"/>
          <w:szCs w:val="17"/>
        </w:rPr>
        <w:t xml:space="preserve">Ciclo de vida iterativo de ocho semanas con tres entregas. Carga total estimada: 230 horas de equipo (tres personas, unas 10 horas semanales cada una). Datos: Freddie Mac, Single-Family Loan-Level Dataset, gratuito con registro y sin redistribución.</w:t>
      </w:r>
    </w:p>
    <w:sectPr>
      <w:footerReference w:type="default" r:id="rId7"/>
      <w:pgSz w:w="12240" w:h="15840" w:orient="portrait"/>
      <w:pgMar w:top="864" w:right="1008" w:bottom="115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2C83" w:sz="6" w:space="4"/>
      </w:pBdr>
      <w:tabs>
        <w:tab w:val="right" w:pos="10224"/>
      </w:tabs>
    </w:pPr>
    <w:r>
      <w:rPr>
        <w:rFonts w:ascii="Calibri" w:cs="Calibri" w:eastAsia="Calibri" w:hAnsi="Calibri"/>
        <w:color w:val="555555"/>
        <w:sz w:val="17"/>
        <w:szCs w:val="17"/>
      </w:rPr>
      <w:t xml:space="preserve">Carta Proyecto · Riesgo de crédito hipotecario · Freddie Mac</w:t>
    </w:r>
    <w:r>
      <w:rPr>
        <w:rFonts w:ascii="Calibri" w:cs="Calibri" w:eastAsia="Calibri" w:hAnsi="Calibri"/>
        <w:color w:val="555555"/>
        <w:sz w:val="17"/>
        <w:szCs w:val="17"/>
      </w:rPr>
      <w:t xml:space="preserve">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2026-10-20T01:35:21.111Z</dcterms:created>
  <dcterms:modified xsi:type="dcterms:W3CDTF">2026-10-20T01:35:21.117Z</dcterms:modified>
</cp:coreProperties>
</file>

<file path=docProps/custom.xml><?xml version="1.0" encoding="utf-8"?>
<Properties xmlns="http://schemas.openxmlformats.org/officeDocument/2006/custom-properties" xmlns:vt="http://schemas.openxmlformats.org/officeDocument/2006/docPropsVTypes"/>
</file>