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2B67"/>
    <w:multiLevelType w:val="multilevel"/>
    <w:tmpl w:val="A93038C6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D5FE5"/>
    <w:multiLevelType w:val="multilevel"/>
    <w:tmpl w:val="2D12680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1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1F4CF1"/>
    <w:multiLevelType w:val="hybridMultilevel"/>
    <w:tmpl w:val="F4D66164"/>
    <w:lvl w:ilvl="0" w:tplc="C46ABFC2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CE4312">
      <w:start w:val="1"/>
      <w:numFmt w:val="bullet"/>
      <w:lvlText w:val="o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2A70C">
      <w:start w:val="1"/>
      <w:numFmt w:val="bullet"/>
      <w:lvlText w:val="▪"/>
      <w:lvlJc w:val="left"/>
      <w:pPr>
        <w:ind w:left="2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FAF168">
      <w:start w:val="1"/>
      <w:numFmt w:val="bullet"/>
      <w:lvlText w:val="•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6D328">
      <w:start w:val="1"/>
      <w:numFmt w:val="bullet"/>
      <w:lvlText w:val="o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2604A6">
      <w:start w:val="1"/>
      <w:numFmt w:val="bullet"/>
      <w:lvlText w:val="▪"/>
      <w:lvlJc w:val="left"/>
      <w:pPr>
        <w:ind w:left="4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6261A">
      <w:start w:val="1"/>
      <w:numFmt w:val="bullet"/>
      <w:lvlText w:val="•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8290E">
      <w:start w:val="1"/>
      <w:numFmt w:val="bullet"/>
      <w:lvlText w:val="o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CC198">
      <w:start w:val="1"/>
      <w:numFmt w:val="bullet"/>
      <w:lvlText w:val="▪"/>
      <w:lvlJc w:val="left"/>
      <w:pPr>
        <w:ind w:left="6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1C"/>
    <w:rsid w:val="008D6C1C"/>
    <w:rsid w:val="00BF71A4"/>
    <w:rsid w:val="00C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01388-BCF9-47FE-A3AA-F552F098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4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487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3" w:line="267" w:lineRule="auto"/>
      <w:ind w:left="19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50" w:line="264" w:lineRule="auto"/>
      <w:ind w:left="3344" w:right="2774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spacing w:after="50" w:line="264" w:lineRule="auto"/>
      <w:ind w:left="3344" w:right="2774" w:hanging="10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0" w:line="264" w:lineRule="auto"/>
      <w:ind w:left="3344" w:right="2774" w:hanging="10"/>
      <w:outlineLvl w:val="4"/>
    </w:pPr>
    <w:rPr>
      <w:rFonts w:ascii="Arial" w:eastAsia="Arial" w:hAnsi="Arial" w:cs="Arial"/>
      <w:b/>
      <w:color w:val="0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50" w:line="264" w:lineRule="auto"/>
      <w:ind w:left="3344" w:right="2774" w:hanging="10"/>
      <w:outlineLvl w:val="5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8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pPr>
      <w:spacing w:after="5" w:line="264" w:lineRule="auto"/>
      <w:ind w:left="25" w:right="15" w:hanging="10"/>
    </w:pPr>
    <w:rPr>
      <w:rFonts w:ascii="Arial" w:eastAsia="Arial" w:hAnsi="Arial" w:cs="Arial"/>
      <w:b/>
      <w:color w:val="000000"/>
      <w:sz w:val="28"/>
    </w:rPr>
  </w:style>
  <w:style w:type="paragraph" w:styleId="TOC2">
    <w:name w:val="toc 2"/>
    <w:hidden/>
    <w:pPr>
      <w:spacing w:after="40" w:line="263" w:lineRule="auto"/>
      <w:ind w:left="370" w:right="16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3">
    <w:name w:val="toc 3"/>
    <w:hidden/>
    <w:pPr>
      <w:spacing w:after="40" w:line="263" w:lineRule="auto"/>
      <w:ind w:left="565" w:right="15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4">
    <w:name w:val="toc 4"/>
    <w:hidden/>
    <w:pPr>
      <w:spacing w:after="0" w:line="247" w:lineRule="auto"/>
      <w:ind w:left="15" w:right="15" w:firstLine="54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 Template</vt:lpstr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 Template</dc:title>
  <dc:subject>nstallation, Back-out, and Rollback Guide Template</dc:subject>
  <dc:creator>Chip.Snead@va.gov;James.Magness@va.gov;Ellen.Prechtl@va.gov;Mona.Baggett@va.gov;John.Hina@va.gov;Samantha.Cooper@va.gov;Sylvia.Griffith@va.gov;OITPDPMDocumentationStyleGuideCommittee@va.gov</dc:creator>
  <cp:keywords/>
  <cp:lastModifiedBy>Meneguzzo, Kimberly</cp:lastModifiedBy>
  <cp:revision>2</cp:revision>
  <dcterms:created xsi:type="dcterms:W3CDTF">2018-11-30T12:03:00Z</dcterms:created>
  <dcterms:modified xsi:type="dcterms:W3CDTF">2018-11-30T12:03:00Z</dcterms:modified>
</cp:coreProperties>
</file>