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4A" w:rsidRDefault="00DF2C4A" w:rsidP="00DF2C4A">
      <w:pPr>
        <w:pStyle w:val="Title"/>
      </w:pPr>
      <w:bookmarkStart w:id="0" w:name="_Toc205632711"/>
      <w:r>
        <w:t>Department of Veterans Affairs</w:t>
      </w:r>
    </w:p>
    <w:p w:rsidR="008A3CB9" w:rsidRDefault="008A3CB9" w:rsidP="008A3CB9">
      <w:pPr>
        <w:pStyle w:val="Title2"/>
      </w:pPr>
    </w:p>
    <w:p w:rsidR="00DF2C4A" w:rsidRDefault="008A3CB9" w:rsidP="00DF2C4A">
      <w:pPr>
        <w:pStyle w:val="Title2"/>
      </w:pPr>
      <w:r>
        <w:t>VistA Scheduling Enhancements (VSE)</w:t>
      </w:r>
      <w:r>
        <w:br/>
      </w:r>
    </w:p>
    <w:p w:rsidR="00DF2C4A" w:rsidRDefault="00DF2C4A" w:rsidP="00DF2C4A">
      <w:pPr>
        <w:pStyle w:val="Title2"/>
      </w:pPr>
      <w:r>
        <w:t xml:space="preserve">Security </w:t>
      </w:r>
      <w:r w:rsidR="00C13744">
        <w:t>Guide Update</w:t>
      </w:r>
    </w:p>
    <w:p w:rsidR="00647738" w:rsidRDefault="00647738" w:rsidP="00DF2C4A">
      <w:pPr>
        <w:pStyle w:val="Title2"/>
      </w:pPr>
      <w:r>
        <w:t xml:space="preserve">Version </w:t>
      </w:r>
      <w:r>
        <w:t>3.1</w:t>
      </w:r>
    </w:p>
    <w:p w:rsidR="00DF2C4A" w:rsidRPr="00FA1BF4" w:rsidRDefault="00DF2C4A" w:rsidP="00DF2C4A">
      <w:pPr>
        <w:pStyle w:val="Title"/>
      </w:pPr>
    </w:p>
    <w:p w:rsidR="00DF2C4A" w:rsidRDefault="00DF2C4A" w:rsidP="00DF2C4A">
      <w:pPr>
        <w:pStyle w:val="CoverTitleInstructions"/>
      </w:pPr>
      <w:r>
        <w:rPr>
          <w:noProof/>
        </w:rPr>
        <w:drawing>
          <wp:inline distT="0" distB="0" distL="0" distR="0" wp14:anchorId="21EA75F8" wp14:editId="3ABC63D1">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DF2C4A" w:rsidRDefault="00DF2C4A" w:rsidP="00DF2C4A">
      <w:pPr>
        <w:pStyle w:val="Title"/>
      </w:pPr>
    </w:p>
    <w:p w:rsidR="00DF2C4A" w:rsidRDefault="00457C74" w:rsidP="00DF2C4A">
      <w:pPr>
        <w:pStyle w:val="Title2"/>
      </w:pPr>
      <w:r>
        <w:t xml:space="preserve">December </w:t>
      </w:r>
      <w:r w:rsidR="00DF2C4A">
        <w:t>201</w:t>
      </w:r>
      <w:r w:rsidR="00F21A15">
        <w:t>6</w:t>
      </w:r>
    </w:p>
    <w:p w:rsidR="00DF2C4A" w:rsidRDefault="00DF2C4A" w:rsidP="00DF2C4A">
      <w:pPr>
        <w:pStyle w:val="Title2"/>
      </w:pPr>
    </w:p>
    <w:p w:rsidR="00DF2C4A" w:rsidRDefault="00DF2C4A" w:rsidP="00DF2C4A">
      <w:pPr>
        <w:pStyle w:val="Title2"/>
      </w:pPr>
    </w:p>
    <w:p w:rsidR="00DF2C4A" w:rsidRDefault="00DF2C4A" w:rsidP="00DF2C4A">
      <w:pPr>
        <w:pStyle w:val="BodyText"/>
        <w:sectPr w:rsidR="00DF2C4A" w:rsidSect="00FA1BF4">
          <w:pgSz w:w="12240" w:h="15840" w:code="1"/>
          <w:pgMar w:top="1440" w:right="1440" w:bottom="1440" w:left="1440" w:header="720" w:footer="720" w:gutter="0"/>
          <w:pgNumType w:fmt="lowerRoman" w:start="1"/>
          <w:cols w:space="720"/>
          <w:vAlign w:val="center"/>
          <w:docGrid w:linePitch="360"/>
        </w:sectPr>
      </w:pPr>
    </w:p>
    <w:p w:rsidR="00DF2C4A" w:rsidRDefault="00DF2C4A" w:rsidP="00DF2C4A">
      <w:pPr>
        <w:pStyle w:val="Title2"/>
      </w:pPr>
      <w:r>
        <w:lastRenderedPageBreak/>
        <w:t>Revision History</w:t>
      </w:r>
    </w:p>
    <w:p w:rsidR="008A3CB9" w:rsidRPr="00AD4E85" w:rsidRDefault="008A3CB9" w:rsidP="008A3CB9">
      <w:pPr>
        <w:pStyle w:val="Body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458"/>
        <w:gridCol w:w="1023"/>
        <w:gridCol w:w="4757"/>
        <w:gridCol w:w="2338"/>
      </w:tblGrid>
      <w:tr w:rsidR="00DF2C4A" w:rsidRPr="005068FD" w:rsidTr="008A7E2C">
        <w:trPr>
          <w:cantSplit/>
          <w:tblHeader/>
        </w:trPr>
        <w:tc>
          <w:tcPr>
            <w:tcW w:w="761" w:type="pct"/>
            <w:tcBorders>
              <w:bottom w:val="single" w:sz="4" w:space="0" w:color="000000"/>
            </w:tcBorders>
            <w:shd w:val="clear" w:color="auto" w:fill="F2F2F2" w:themeFill="background1" w:themeFillShade="F2"/>
          </w:tcPr>
          <w:p w:rsidR="00DF2C4A" w:rsidRPr="005068FD" w:rsidRDefault="00DF2C4A" w:rsidP="009D7A1C">
            <w:pPr>
              <w:pStyle w:val="TableHeading"/>
            </w:pPr>
            <w:bookmarkStart w:id="1" w:name="ColumnTitle_01"/>
            <w:bookmarkEnd w:id="1"/>
            <w:r w:rsidRPr="005068FD">
              <w:t>Date</w:t>
            </w:r>
          </w:p>
        </w:tc>
        <w:tc>
          <w:tcPr>
            <w:tcW w:w="534" w:type="pct"/>
            <w:tcBorders>
              <w:bottom w:val="single" w:sz="4" w:space="0" w:color="000000"/>
            </w:tcBorders>
            <w:shd w:val="clear" w:color="auto" w:fill="F2F2F2" w:themeFill="background1" w:themeFillShade="F2"/>
          </w:tcPr>
          <w:p w:rsidR="00DF2C4A" w:rsidRPr="005068FD" w:rsidRDefault="00DF2C4A" w:rsidP="009D7A1C">
            <w:pPr>
              <w:pStyle w:val="TableHeading"/>
            </w:pPr>
            <w:r w:rsidRPr="005068FD">
              <w:t>Version</w:t>
            </w:r>
          </w:p>
        </w:tc>
        <w:tc>
          <w:tcPr>
            <w:tcW w:w="2484" w:type="pct"/>
            <w:tcBorders>
              <w:bottom w:val="single" w:sz="4" w:space="0" w:color="000000"/>
            </w:tcBorders>
            <w:shd w:val="clear" w:color="auto" w:fill="F2F2F2" w:themeFill="background1" w:themeFillShade="F2"/>
          </w:tcPr>
          <w:p w:rsidR="00DF2C4A" w:rsidRPr="005068FD" w:rsidRDefault="00DF2C4A" w:rsidP="009D7A1C">
            <w:pPr>
              <w:pStyle w:val="TableHeading"/>
            </w:pPr>
            <w:r w:rsidRPr="005068FD">
              <w:t>Description</w:t>
            </w:r>
          </w:p>
        </w:tc>
        <w:tc>
          <w:tcPr>
            <w:tcW w:w="1221" w:type="pct"/>
            <w:tcBorders>
              <w:bottom w:val="single" w:sz="4" w:space="0" w:color="000000"/>
            </w:tcBorders>
            <w:shd w:val="clear" w:color="auto" w:fill="F2F2F2" w:themeFill="background1" w:themeFillShade="F2"/>
          </w:tcPr>
          <w:p w:rsidR="00DF2C4A" w:rsidRPr="005068FD" w:rsidRDefault="00DF2C4A" w:rsidP="009D7A1C">
            <w:pPr>
              <w:pStyle w:val="TableHeading"/>
            </w:pPr>
            <w:r w:rsidRPr="005068FD">
              <w:t>Author</w:t>
            </w:r>
          </w:p>
        </w:tc>
      </w:tr>
      <w:tr w:rsidR="00647738" w:rsidRPr="005068FD" w:rsidTr="008A7E2C">
        <w:trPr>
          <w:cantSplit/>
          <w:tblHeader/>
        </w:trPr>
        <w:tc>
          <w:tcPr>
            <w:tcW w:w="761" w:type="pct"/>
            <w:shd w:val="clear" w:color="auto" w:fill="auto"/>
          </w:tcPr>
          <w:p w:rsidR="00647738" w:rsidRDefault="00647738" w:rsidP="009D7A1C">
            <w:pPr>
              <w:pStyle w:val="TableHeading"/>
              <w:rPr>
                <w:b w:val="0"/>
              </w:rPr>
            </w:pPr>
            <w:r>
              <w:rPr>
                <w:b w:val="0"/>
              </w:rPr>
              <w:t>02/09/2017</w:t>
            </w:r>
          </w:p>
        </w:tc>
        <w:tc>
          <w:tcPr>
            <w:tcW w:w="534" w:type="pct"/>
            <w:shd w:val="clear" w:color="auto" w:fill="auto"/>
          </w:tcPr>
          <w:p w:rsidR="00647738" w:rsidRPr="0062414A" w:rsidRDefault="00647738" w:rsidP="006F133C">
            <w:pPr>
              <w:pStyle w:val="TableHeading"/>
              <w:rPr>
                <w:b w:val="0"/>
              </w:rPr>
            </w:pPr>
            <w:r w:rsidRPr="0062414A">
              <w:rPr>
                <w:b w:val="0"/>
              </w:rPr>
              <w:t>3.1</w:t>
            </w:r>
          </w:p>
        </w:tc>
        <w:tc>
          <w:tcPr>
            <w:tcW w:w="2484" w:type="pct"/>
            <w:shd w:val="clear" w:color="auto" w:fill="auto"/>
          </w:tcPr>
          <w:p w:rsidR="00647738" w:rsidRPr="0062414A" w:rsidRDefault="00647738" w:rsidP="009D7A1C">
            <w:pPr>
              <w:pStyle w:val="TableHeading"/>
              <w:rPr>
                <w:b w:val="0"/>
              </w:rPr>
            </w:pPr>
            <w:r>
              <w:rPr>
                <w:b w:val="0"/>
              </w:rPr>
              <w:t xml:space="preserve">Added Shareholder’s Approval </w:t>
            </w:r>
          </w:p>
        </w:tc>
        <w:tc>
          <w:tcPr>
            <w:tcW w:w="1221" w:type="pct"/>
            <w:shd w:val="clear" w:color="auto" w:fill="auto"/>
          </w:tcPr>
          <w:p w:rsidR="00647738" w:rsidRPr="0062414A" w:rsidRDefault="00647738" w:rsidP="0062414A">
            <w:pPr>
              <w:pStyle w:val="TableHeading"/>
              <w:rPr>
                <w:b w:val="0"/>
              </w:rPr>
            </w:pPr>
            <w:r>
              <w:rPr>
                <w:b w:val="0"/>
              </w:rPr>
              <w:t>VSE PMO</w:t>
            </w:r>
          </w:p>
        </w:tc>
      </w:tr>
      <w:tr w:rsidR="00647738" w:rsidRPr="005068FD" w:rsidTr="008A7E2C">
        <w:trPr>
          <w:cantSplit/>
          <w:tblHeader/>
        </w:trPr>
        <w:tc>
          <w:tcPr>
            <w:tcW w:w="761" w:type="pct"/>
            <w:shd w:val="clear" w:color="auto" w:fill="auto"/>
          </w:tcPr>
          <w:p w:rsidR="00647738" w:rsidRPr="0062414A" w:rsidRDefault="00647738" w:rsidP="009D7A1C">
            <w:pPr>
              <w:pStyle w:val="TableHeading"/>
              <w:rPr>
                <w:b w:val="0"/>
              </w:rPr>
            </w:pPr>
            <w:r>
              <w:rPr>
                <w:b w:val="0"/>
              </w:rPr>
              <w:t>12/02</w:t>
            </w:r>
            <w:r w:rsidRPr="0062414A">
              <w:rPr>
                <w:b w:val="0"/>
              </w:rPr>
              <w:t>/2016</w:t>
            </w:r>
          </w:p>
        </w:tc>
        <w:tc>
          <w:tcPr>
            <w:tcW w:w="534" w:type="pct"/>
            <w:shd w:val="clear" w:color="auto" w:fill="auto"/>
          </w:tcPr>
          <w:p w:rsidR="00647738" w:rsidRPr="0062414A" w:rsidRDefault="00647738" w:rsidP="009D7A1C">
            <w:pPr>
              <w:pStyle w:val="TableHeading"/>
              <w:rPr>
                <w:b w:val="0"/>
              </w:rPr>
            </w:pPr>
            <w:r w:rsidRPr="0062414A">
              <w:rPr>
                <w:b w:val="0"/>
              </w:rPr>
              <w:t>3.1</w:t>
            </w:r>
          </w:p>
        </w:tc>
        <w:tc>
          <w:tcPr>
            <w:tcW w:w="2484" w:type="pct"/>
            <w:shd w:val="clear" w:color="auto" w:fill="auto"/>
          </w:tcPr>
          <w:p w:rsidR="00647738" w:rsidRPr="0062414A" w:rsidRDefault="00647738" w:rsidP="009D7A1C">
            <w:pPr>
              <w:pStyle w:val="TableHeading"/>
              <w:rPr>
                <w:b w:val="0"/>
              </w:rPr>
            </w:pPr>
            <w:r w:rsidRPr="0062414A">
              <w:rPr>
                <w:b w:val="0"/>
              </w:rPr>
              <w:t>Updated for Additional Enhancements work  to add additional security key</w:t>
            </w:r>
            <w:r>
              <w:rPr>
                <w:b w:val="0"/>
              </w:rPr>
              <w:t>, section 2.5</w:t>
            </w:r>
          </w:p>
        </w:tc>
        <w:tc>
          <w:tcPr>
            <w:tcW w:w="1221" w:type="pct"/>
            <w:shd w:val="clear" w:color="auto" w:fill="auto"/>
          </w:tcPr>
          <w:p w:rsidR="00647738" w:rsidRPr="0062414A" w:rsidRDefault="00647738" w:rsidP="0062414A">
            <w:pPr>
              <w:pStyle w:val="TableHeading"/>
              <w:rPr>
                <w:b w:val="0"/>
              </w:rPr>
            </w:pPr>
            <w:r w:rsidRPr="0062414A">
              <w:rPr>
                <w:b w:val="0"/>
              </w:rPr>
              <w:t>D. Vick, PM;</w:t>
            </w:r>
            <w:r>
              <w:rPr>
                <w:b w:val="0"/>
              </w:rPr>
              <w:br/>
              <w:t>E.</w:t>
            </w:r>
            <w:r w:rsidRPr="0062414A">
              <w:rPr>
                <w:b w:val="0"/>
              </w:rPr>
              <w:t xml:space="preserve"> Phelps</w:t>
            </w:r>
            <w:r>
              <w:rPr>
                <w:b w:val="0"/>
              </w:rPr>
              <w:t>,</w:t>
            </w:r>
            <w:r w:rsidRPr="0062414A">
              <w:rPr>
                <w:b w:val="0"/>
              </w:rPr>
              <w:t xml:space="preserve"> Sr. TW</w:t>
            </w:r>
          </w:p>
        </w:tc>
      </w:tr>
      <w:tr w:rsidR="00647738" w:rsidRPr="005068FD" w:rsidTr="008A7E2C">
        <w:trPr>
          <w:cantSplit/>
          <w:tblHeader/>
        </w:trPr>
        <w:tc>
          <w:tcPr>
            <w:tcW w:w="761" w:type="pct"/>
            <w:shd w:val="clear" w:color="auto" w:fill="FFFFFF" w:themeFill="background1"/>
          </w:tcPr>
          <w:p w:rsidR="00647738" w:rsidRPr="005068FD" w:rsidRDefault="00647738" w:rsidP="0003559E">
            <w:pPr>
              <w:pStyle w:val="TableText"/>
            </w:pPr>
            <w:r>
              <w:t>12/24/2015</w:t>
            </w:r>
          </w:p>
        </w:tc>
        <w:tc>
          <w:tcPr>
            <w:tcW w:w="534" w:type="pct"/>
            <w:shd w:val="clear" w:color="auto" w:fill="FFFFFF" w:themeFill="background1"/>
          </w:tcPr>
          <w:p w:rsidR="00647738" w:rsidRPr="005068FD" w:rsidRDefault="00647738" w:rsidP="0003559E">
            <w:pPr>
              <w:pStyle w:val="TableText"/>
            </w:pPr>
            <w:r>
              <w:t>3.0</w:t>
            </w:r>
          </w:p>
        </w:tc>
        <w:tc>
          <w:tcPr>
            <w:tcW w:w="2484" w:type="pct"/>
            <w:shd w:val="clear" w:color="auto" w:fill="FFFFFF" w:themeFill="background1"/>
          </w:tcPr>
          <w:p w:rsidR="00647738" w:rsidRPr="005068FD" w:rsidRDefault="00647738" w:rsidP="0003559E">
            <w:pPr>
              <w:pStyle w:val="TableText"/>
            </w:pPr>
            <w:r>
              <w:t>Document Submission</w:t>
            </w:r>
          </w:p>
        </w:tc>
        <w:tc>
          <w:tcPr>
            <w:tcW w:w="1221" w:type="pct"/>
            <w:shd w:val="clear" w:color="auto" w:fill="FFFFFF" w:themeFill="background1"/>
          </w:tcPr>
          <w:p w:rsidR="00647738" w:rsidRDefault="00647738" w:rsidP="0003559E">
            <w:pPr>
              <w:pStyle w:val="TableText"/>
            </w:pPr>
            <w:r>
              <w:t>D. Vick, PM;</w:t>
            </w:r>
          </w:p>
          <w:p w:rsidR="00647738" w:rsidRPr="005068FD" w:rsidRDefault="00647738" w:rsidP="0003559E">
            <w:pPr>
              <w:pStyle w:val="TableText"/>
            </w:pPr>
            <w:r>
              <w:t>M. Woehrle, PM</w:t>
            </w:r>
          </w:p>
        </w:tc>
      </w:tr>
      <w:tr w:rsidR="00647738" w:rsidRPr="005068FD" w:rsidTr="008A7E2C">
        <w:trPr>
          <w:cantSplit/>
          <w:tblHeader/>
        </w:trPr>
        <w:tc>
          <w:tcPr>
            <w:tcW w:w="761" w:type="pct"/>
            <w:shd w:val="clear" w:color="auto" w:fill="FFFFFF" w:themeFill="background1"/>
          </w:tcPr>
          <w:p w:rsidR="00647738" w:rsidRDefault="00647738" w:rsidP="0003559E">
            <w:pPr>
              <w:pStyle w:val="TableText"/>
            </w:pPr>
            <w:r>
              <w:t>12/23/2015</w:t>
            </w:r>
          </w:p>
        </w:tc>
        <w:tc>
          <w:tcPr>
            <w:tcW w:w="534" w:type="pct"/>
            <w:shd w:val="clear" w:color="auto" w:fill="FFFFFF" w:themeFill="background1"/>
          </w:tcPr>
          <w:p w:rsidR="00647738" w:rsidRDefault="00647738" w:rsidP="0003559E">
            <w:pPr>
              <w:pStyle w:val="TableText"/>
            </w:pPr>
            <w:r>
              <w:t>2.2</w:t>
            </w:r>
          </w:p>
        </w:tc>
        <w:tc>
          <w:tcPr>
            <w:tcW w:w="2484" w:type="pct"/>
            <w:shd w:val="clear" w:color="auto" w:fill="FFFFFF" w:themeFill="background1"/>
          </w:tcPr>
          <w:p w:rsidR="00647738" w:rsidRDefault="00647738" w:rsidP="0003559E">
            <w:pPr>
              <w:pStyle w:val="TableText"/>
            </w:pPr>
            <w:r>
              <w:t>TW Review Performed</w:t>
            </w:r>
          </w:p>
        </w:tc>
        <w:tc>
          <w:tcPr>
            <w:tcW w:w="1221" w:type="pct"/>
            <w:shd w:val="clear" w:color="auto" w:fill="FFFFFF" w:themeFill="background1"/>
          </w:tcPr>
          <w:p w:rsidR="00647738" w:rsidRDefault="00647738" w:rsidP="0003559E">
            <w:pPr>
              <w:pStyle w:val="TableText"/>
            </w:pPr>
            <w:r>
              <w:t>G. Scorca, Sr. TW</w:t>
            </w:r>
          </w:p>
        </w:tc>
      </w:tr>
      <w:tr w:rsidR="00647738" w:rsidTr="008A7E2C">
        <w:trPr>
          <w:cantSplit/>
        </w:trPr>
        <w:tc>
          <w:tcPr>
            <w:tcW w:w="761" w:type="pct"/>
          </w:tcPr>
          <w:p w:rsidR="00647738" w:rsidRPr="005068FD" w:rsidRDefault="00647738" w:rsidP="0003559E">
            <w:pPr>
              <w:pStyle w:val="TableText"/>
            </w:pPr>
            <w:r>
              <w:t>12/18/2015</w:t>
            </w:r>
          </w:p>
        </w:tc>
        <w:tc>
          <w:tcPr>
            <w:tcW w:w="534" w:type="pct"/>
          </w:tcPr>
          <w:p w:rsidR="00647738" w:rsidRPr="005068FD" w:rsidRDefault="00647738" w:rsidP="0003559E">
            <w:pPr>
              <w:pStyle w:val="TableText"/>
            </w:pPr>
            <w:r>
              <w:t>2.1</w:t>
            </w:r>
          </w:p>
        </w:tc>
        <w:tc>
          <w:tcPr>
            <w:tcW w:w="2484" w:type="pct"/>
          </w:tcPr>
          <w:p w:rsidR="00647738" w:rsidRPr="005068FD" w:rsidRDefault="00647738" w:rsidP="0003559E">
            <w:pPr>
              <w:pStyle w:val="TableText"/>
            </w:pPr>
            <w:r>
              <w:t>Incorporated VAR, NSR002, OT3 and OT4. Removed Enh 1, Enh 2, and Enh 3 from document name.</w:t>
            </w:r>
          </w:p>
        </w:tc>
        <w:tc>
          <w:tcPr>
            <w:tcW w:w="1221" w:type="pct"/>
          </w:tcPr>
          <w:p w:rsidR="00647738" w:rsidRPr="005068FD" w:rsidRDefault="00647738" w:rsidP="0003559E">
            <w:pPr>
              <w:pStyle w:val="TableText"/>
            </w:pPr>
            <w:r>
              <w:t>D. Vick, PM</w:t>
            </w:r>
          </w:p>
        </w:tc>
      </w:tr>
      <w:tr w:rsidR="00647738" w:rsidTr="008A7E2C">
        <w:trPr>
          <w:cantSplit/>
        </w:trPr>
        <w:tc>
          <w:tcPr>
            <w:tcW w:w="761" w:type="pct"/>
          </w:tcPr>
          <w:p w:rsidR="00647738" w:rsidRPr="005068FD" w:rsidRDefault="00647738" w:rsidP="0003559E">
            <w:pPr>
              <w:pStyle w:val="TableText"/>
            </w:pPr>
            <w:r>
              <w:t>03/18/2015</w:t>
            </w:r>
          </w:p>
        </w:tc>
        <w:tc>
          <w:tcPr>
            <w:tcW w:w="534" w:type="pct"/>
          </w:tcPr>
          <w:p w:rsidR="00647738" w:rsidRDefault="00647738" w:rsidP="0003559E">
            <w:pPr>
              <w:pStyle w:val="TableText"/>
            </w:pPr>
            <w:r>
              <w:t>2.0</w:t>
            </w:r>
          </w:p>
        </w:tc>
        <w:tc>
          <w:tcPr>
            <w:tcW w:w="2484" w:type="pct"/>
          </w:tcPr>
          <w:p w:rsidR="00647738" w:rsidRDefault="00647738" w:rsidP="0003559E">
            <w:pPr>
              <w:pStyle w:val="TableText"/>
            </w:pPr>
            <w:r>
              <w:t>Incorporated Enhancement 3</w:t>
            </w:r>
          </w:p>
        </w:tc>
        <w:tc>
          <w:tcPr>
            <w:tcW w:w="1221" w:type="pct"/>
          </w:tcPr>
          <w:p w:rsidR="00647738" w:rsidRDefault="00647738" w:rsidP="0003559E">
            <w:pPr>
              <w:pStyle w:val="TableText"/>
            </w:pPr>
            <w:r>
              <w:t>D. Vick, PM;</w:t>
            </w:r>
            <w:r>
              <w:br/>
              <w:t>B. Tomlin, Dev.;</w:t>
            </w:r>
            <w:r>
              <w:br/>
              <w:t>G. Scorca, TW</w:t>
            </w:r>
          </w:p>
        </w:tc>
      </w:tr>
      <w:tr w:rsidR="00647738" w:rsidTr="008A7E2C">
        <w:trPr>
          <w:cantSplit/>
        </w:trPr>
        <w:tc>
          <w:tcPr>
            <w:tcW w:w="761" w:type="pct"/>
          </w:tcPr>
          <w:p w:rsidR="00647738" w:rsidRPr="005068FD" w:rsidRDefault="00647738" w:rsidP="0003559E">
            <w:pPr>
              <w:pStyle w:val="TableText"/>
            </w:pPr>
            <w:r>
              <w:t>01/22/2015</w:t>
            </w:r>
          </w:p>
        </w:tc>
        <w:tc>
          <w:tcPr>
            <w:tcW w:w="534" w:type="pct"/>
          </w:tcPr>
          <w:p w:rsidR="00647738" w:rsidRDefault="00647738" w:rsidP="0003559E">
            <w:pPr>
              <w:pStyle w:val="TableText"/>
            </w:pPr>
            <w:r>
              <w:t>1.0</w:t>
            </w:r>
          </w:p>
        </w:tc>
        <w:tc>
          <w:tcPr>
            <w:tcW w:w="2484" w:type="pct"/>
          </w:tcPr>
          <w:p w:rsidR="00647738" w:rsidRDefault="00647738" w:rsidP="0003559E">
            <w:pPr>
              <w:pStyle w:val="TableText"/>
            </w:pPr>
            <w:r>
              <w:t>Initial Version for Submission</w:t>
            </w:r>
          </w:p>
        </w:tc>
        <w:tc>
          <w:tcPr>
            <w:tcW w:w="1221" w:type="pct"/>
          </w:tcPr>
          <w:p w:rsidR="00647738" w:rsidRDefault="00647738" w:rsidP="0003559E">
            <w:pPr>
              <w:pStyle w:val="TableText"/>
            </w:pPr>
            <w:r>
              <w:t>E. Merica</w:t>
            </w:r>
            <w:r>
              <w:br/>
              <w:t>E. Crean, TW</w:t>
            </w:r>
            <w:r>
              <w:br/>
              <w:t>M. Colyvas, TW</w:t>
            </w:r>
          </w:p>
        </w:tc>
      </w:tr>
    </w:tbl>
    <w:p w:rsidR="00DF2C4A" w:rsidRPr="00BF2C5A" w:rsidRDefault="00DF2C4A" w:rsidP="00DF2C4A">
      <w:pPr>
        <w:pStyle w:val="BodyText"/>
      </w:pPr>
    </w:p>
    <w:p w:rsidR="002A4177" w:rsidRDefault="002A4177" w:rsidP="002A4177">
      <w:r>
        <w:br w:type="page"/>
      </w:r>
    </w:p>
    <w:sdt>
      <w:sdtPr>
        <w:rPr>
          <w:rFonts w:ascii="Arial" w:eastAsia="Times New Roman" w:hAnsi="Arial" w:cs="Arial"/>
          <w:b w:val="0"/>
          <w:bCs w:val="0"/>
          <w:color w:val="auto"/>
          <w:sz w:val="22"/>
          <w:szCs w:val="24"/>
          <w:lang w:eastAsia="en-US"/>
        </w:rPr>
        <w:id w:val="-1167169607"/>
        <w:docPartObj>
          <w:docPartGallery w:val="Table of Contents"/>
          <w:docPartUnique/>
        </w:docPartObj>
      </w:sdtPr>
      <w:sdtEndPr>
        <w:rPr>
          <w:rFonts w:ascii="Times New Roman" w:hAnsi="Times New Roman" w:cs="Times New Roman"/>
          <w:noProof/>
        </w:rPr>
      </w:sdtEndPr>
      <w:sdtContent>
        <w:p w:rsidR="002A4177" w:rsidRPr="002A4177" w:rsidRDefault="002A4177" w:rsidP="002A4177">
          <w:pPr>
            <w:pStyle w:val="TOCHeading"/>
            <w:spacing w:after="320"/>
            <w:jc w:val="center"/>
            <w:rPr>
              <w:rFonts w:ascii="Arial" w:hAnsi="Arial" w:cs="Arial"/>
              <w:color w:val="auto"/>
            </w:rPr>
          </w:pPr>
          <w:r w:rsidRPr="002A4177">
            <w:rPr>
              <w:rFonts w:ascii="Arial" w:hAnsi="Arial" w:cs="Arial"/>
              <w:color w:val="auto"/>
            </w:rPr>
            <w:t>Table of Contents</w:t>
          </w:r>
        </w:p>
        <w:p w:rsidR="002A4177" w:rsidRDefault="002A4177">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71220994" w:history="1">
            <w:r w:rsidRPr="009C750C">
              <w:rPr>
                <w:rStyle w:val="Hyperlink"/>
                <w:noProof/>
              </w:rPr>
              <w:t>1.</w:t>
            </w:r>
            <w:r>
              <w:rPr>
                <w:rFonts w:asciiTheme="minorHAnsi" w:eastAsiaTheme="minorEastAsia" w:hAnsiTheme="minorHAnsi" w:cstheme="minorBidi"/>
                <w:b w:val="0"/>
                <w:noProof/>
                <w:sz w:val="22"/>
                <w:szCs w:val="22"/>
              </w:rPr>
              <w:tab/>
            </w:r>
            <w:r w:rsidRPr="009C750C">
              <w:rPr>
                <w:rStyle w:val="Hyperlink"/>
                <w:noProof/>
              </w:rPr>
              <w:t>Introduction</w:t>
            </w:r>
            <w:r>
              <w:rPr>
                <w:noProof/>
                <w:webHidden/>
              </w:rPr>
              <w:tab/>
            </w:r>
            <w:r>
              <w:rPr>
                <w:noProof/>
                <w:webHidden/>
              </w:rPr>
              <w:fldChar w:fldCharType="begin"/>
            </w:r>
            <w:r>
              <w:rPr>
                <w:noProof/>
                <w:webHidden/>
              </w:rPr>
              <w:instrText xml:space="preserve"> PAGEREF _Toc471220994 \h </w:instrText>
            </w:r>
            <w:r>
              <w:rPr>
                <w:noProof/>
                <w:webHidden/>
              </w:rPr>
            </w:r>
            <w:r>
              <w:rPr>
                <w:noProof/>
                <w:webHidden/>
              </w:rPr>
              <w:fldChar w:fldCharType="separate"/>
            </w:r>
            <w:r>
              <w:rPr>
                <w:noProof/>
                <w:webHidden/>
              </w:rPr>
              <w:t>1</w:t>
            </w:r>
            <w:r>
              <w:rPr>
                <w:noProof/>
                <w:webHidden/>
              </w:rPr>
              <w:fldChar w:fldCharType="end"/>
            </w:r>
          </w:hyperlink>
        </w:p>
        <w:p w:rsidR="002A4177" w:rsidRDefault="001F4ED1">
          <w:pPr>
            <w:pStyle w:val="TOC1"/>
            <w:rPr>
              <w:rFonts w:asciiTheme="minorHAnsi" w:eastAsiaTheme="minorEastAsia" w:hAnsiTheme="minorHAnsi" w:cstheme="minorBidi"/>
              <w:b w:val="0"/>
              <w:noProof/>
              <w:sz w:val="22"/>
              <w:szCs w:val="22"/>
            </w:rPr>
          </w:pPr>
          <w:hyperlink w:anchor="_Toc471220995" w:history="1">
            <w:r w:rsidR="002A4177" w:rsidRPr="009C750C">
              <w:rPr>
                <w:rStyle w:val="Hyperlink"/>
                <w:noProof/>
              </w:rPr>
              <w:t>2.</w:t>
            </w:r>
            <w:r w:rsidR="002A4177">
              <w:rPr>
                <w:rFonts w:asciiTheme="minorHAnsi" w:eastAsiaTheme="minorEastAsia" w:hAnsiTheme="minorHAnsi" w:cstheme="minorBidi"/>
                <w:b w:val="0"/>
                <w:noProof/>
                <w:sz w:val="22"/>
                <w:szCs w:val="22"/>
              </w:rPr>
              <w:tab/>
            </w:r>
            <w:r w:rsidR="002A4177" w:rsidRPr="009C750C">
              <w:rPr>
                <w:rStyle w:val="Hyperlink"/>
                <w:noProof/>
              </w:rPr>
              <w:t>Security Guide</w:t>
            </w:r>
            <w:r w:rsidR="002A4177">
              <w:rPr>
                <w:noProof/>
                <w:webHidden/>
              </w:rPr>
              <w:tab/>
            </w:r>
            <w:r w:rsidR="002A4177">
              <w:rPr>
                <w:noProof/>
                <w:webHidden/>
              </w:rPr>
              <w:fldChar w:fldCharType="begin"/>
            </w:r>
            <w:r w:rsidR="002A4177">
              <w:rPr>
                <w:noProof/>
                <w:webHidden/>
              </w:rPr>
              <w:instrText xml:space="preserve"> PAGEREF _Toc471220995 \h </w:instrText>
            </w:r>
            <w:r w:rsidR="002A4177">
              <w:rPr>
                <w:noProof/>
                <w:webHidden/>
              </w:rPr>
            </w:r>
            <w:r w:rsidR="002A4177">
              <w:rPr>
                <w:noProof/>
                <w:webHidden/>
              </w:rPr>
              <w:fldChar w:fldCharType="separate"/>
            </w:r>
            <w:r w:rsidR="002A4177">
              <w:rPr>
                <w:noProof/>
                <w:webHidden/>
              </w:rPr>
              <w:t>1</w:t>
            </w:r>
            <w:r w:rsidR="002A4177">
              <w:rPr>
                <w:noProof/>
                <w:webHidden/>
              </w:rPr>
              <w:fldChar w:fldCharType="end"/>
            </w:r>
          </w:hyperlink>
        </w:p>
        <w:p w:rsidR="002A4177" w:rsidRDefault="001F4ED1">
          <w:pPr>
            <w:pStyle w:val="TOC2"/>
            <w:rPr>
              <w:rFonts w:asciiTheme="minorHAnsi" w:eastAsiaTheme="minorEastAsia" w:hAnsiTheme="minorHAnsi" w:cstheme="minorBidi"/>
              <w:b w:val="0"/>
              <w:noProof/>
              <w:sz w:val="22"/>
              <w:szCs w:val="22"/>
            </w:rPr>
          </w:pPr>
          <w:hyperlink w:anchor="_Toc471220996" w:history="1">
            <w:r w:rsidR="002A4177" w:rsidRPr="009C750C">
              <w:rPr>
                <w:rStyle w:val="Hyperlink"/>
                <w:noProof/>
              </w:rPr>
              <w:t>2.1.</w:t>
            </w:r>
            <w:r w:rsidR="002A4177">
              <w:rPr>
                <w:rFonts w:asciiTheme="minorHAnsi" w:eastAsiaTheme="minorEastAsia" w:hAnsiTheme="minorHAnsi" w:cstheme="minorBidi"/>
                <w:b w:val="0"/>
                <w:noProof/>
                <w:sz w:val="22"/>
                <w:szCs w:val="22"/>
              </w:rPr>
              <w:tab/>
            </w:r>
            <w:r w:rsidR="002A4177" w:rsidRPr="009C750C">
              <w:rPr>
                <w:rStyle w:val="Hyperlink"/>
                <w:noProof/>
              </w:rPr>
              <w:t>Security/Identity Management</w:t>
            </w:r>
            <w:r w:rsidR="002A4177">
              <w:rPr>
                <w:noProof/>
                <w:webHidden/>
              </w:rPr>
              <w:tab/>
            </w:r>
            <w:r w:rsidR="002A4177">
              <w:rPr>
                <w:noProof/>
                <w:webHidden/>
              </w:rPr>
              <w:fldChar w:fldCharType="begin"/>
            </w:r>
            <w:r w:rsidR="002A4177">
              <w:rPr>
                <w:noProof/>
                <w:webHidden/>
              </w:rPr>
              <w:instrText xml:space="preserve"> PAGEREF _Toc471220996 \h </w:instrText>
            </w:r>
            <w:r w:rsidR="002A4177">
              <w:rPr>
                <w:noProof/>
                <w:webHidden/>
              </w:rPr>
            </w:r>
            <w:r w:rsidR="002A4177">
              <w:rPr>
                <w:noProof/>
                <w:webHidden/>
              </w:rPr>
              <w:fldChar w:fldCharType="separate"/>
            </w:r>
            <w:r w:rsidR="002A4177">
              <w:rPr>
                <w:noProof/>
                <w:webHidden/>
              </w:rPr>
              <w:t>1</w:t>
            </w:r>
            <w:r w:rsidR="002A4177">
              <w:rPr>
                <w:noProof/>
                <w:webHidden/>
              </w:rPr>
              <w:fldChar w:fldCharType="end"/>
            </w:r>
          </w:hyperlink>
        </w:p>
        <w:p w:rsidR="002A4177" w:rsidRDefault="001F4ED1">
          <w:pPr>
            <w:pStyle w:val="TOC2"/>
            <w:rPr>
              <w:rFonts w:asciiTheme="minorHAnsi" w:eastAsiaTheme="minorEastAsia" w:hAnsiTheme="minorHAnsi" w:cstheme="minorBidi"/>
              <w:b w:val="0"/>
              <w:noProof/>
              <w:sz w:val="22"/>
              <w:szCs w:val="22"/>
            </w:rPr>
          </w:pPr>
          <w:hyperlink w:anchor="_Toc471220997" w:history="1">
            <w:r w:rsidR="002A4177" w:rsidRPr="009C750C">
              <w:rPr>
                <w:rStyle w:val="Hyperlink"/>
                <w:noProof/>
              </w:rPr>
              <w:t>2.2.</w:t>
            </w:r>
            <w:r w:rsidR="002A4177">
              <w:rPr>
                <w:rFonts w:asciiTheme="minorHAnsi" w:eastAsiaTheme="minorEastAsia" w:hAnsiTheme="minorHAnsi" w:cstheme="minorBidi"/>
                <w:b w:val="0"/>
                <w:noProof/>
                <w:sz w:val="22"/>
                <w:szCs w:val="22"/>
              </w:rPr>
              <w:tab/>
            </w:r>
            <w:r w:rsidR="002A4177" w:rsidRPr="009C750C">
              <w:rPr>
                <w:rStyle w:val="Hyperlink"/>
                <w:noProof/>
              </w:rPr>
              <w:t>Continuity of Operations</w:t>
            </w:r>
            <w:r w:rsidR="002A4177">
              <w:rPr>
                <w:noProof/>
                <w:webHidden/>
              </w:rPr>
              <w:tab/>
            </w:r>
            <w:r w:rsidR="002A4177">
              <w:rPr>
                <w:noProof/>
                <w:webHidden/>
              </w:rPr>
              <w:fldChar w:fldCharType="begin"/>
            </w:r>
            <w:r w:rsidR="002A4177">
              <w:rPr>
                <w:noProof/>
                <w:webHidden/>
              </w:rPr>
              <w:instrText xml:space="preserve"> PAGEREF _Toc471220997 \h </w:instrText>
            </w:r>
            <w:r w:rsidR="002A4177">
              <w:rPr>
                <w:noProof/>
                <w:webHidden/>
              </w:rPr>
            </w:r>
            <w:r w:rsidR="002A4177">
              <w:rPr>
                <w:noProof/>
                <w:webHidden/>
              </w:rPr>
              <w:fldChar w:fldCharType="separate"/>
            </w:r>
            <w:r w:rsidR="002A4177">
              <w:rPr>
                <w:noProof/>
                <w:webHidden/>
              </w:rPr>
              <w:t>1</w:t>
            </w:r>
            <w:r w:rsidR="002A4177">
              <w:rPr>
                <w:noProof/>
                <w:webHidden/>
              </w:rPr>
              <w:fldChar w:fldCharType="end"/>
            </w:r>
          </w:hyperlink>
        </w:p>
        <w:p w:rsidR="002A4177" w:rsidRDefault="001F4ED1">
          <w:pPr>
            <w:pStyle w:val="TOC2"/>
            <w:rPr>
              <w:rFonts w:asciiTheme="minorHAnsi" w:eastAsiaTheme="minorEastAsia" w:hAnsiTheme="minorHAnsi" w:cstheme="minorBidi"/>
              <w:b w:val="0"/>
              <w:noProof/>
              <w:sz w:val="22"/>
              <w:szCs w:val="22"/>
            </w:rPr>
          </w:pPr>
          <w:hyperlink w:anchor="_Toc471220998" w:history="1">
            <w:r w:rsidR="002A4177" w:rsidRPr="009C750C">
              <w:rPr>
                <w:rStyle w:val="Hyperlink"/>
                <w:noProof/>
              </w:rPr>
              <w:t>2.3.</w:t>
            </w:r>
            <w:r w:rsidR="002A4177">
              <w:rPr>
                <w:rFonts w:asciiTheme="minorHAnsi" w:eastAsiaTheme="minorEastAsia" w:hAnsiTheme="minorHAnsi" w:cstheme="minorBidi"/>
                <w:b w:val="0"/>
                <w:noProof/>
                <w:sz w:val="22"/>
                <w:szCs w:val="22"/>
              </w:rPr>
              <w:tab/>
            </w:r>
            <w:r w:rsidR="002A4177" w:rsidRPr="009C750C">
              <w:rPr>
                <w:rStyle w:val="Hyperlink"/>
                <w:noProof/>
              </w:rPr>
              <w:t>Disaster Event Activities</w:t>
            </w:r>
            <w:r w:rsidR="002A4177">
              <w:rPr>
                <w:noProof/>
                <w:webHidden/>
              </w:rPr>
              <w:tab/>
            </w:r>
            <w:r w:rsidR="002A4177">
              <w:rPr>
                <w:noProof/>
                <w:webHidden/>
              </w:rPr>
              <w:fldChar w:fldCharType="begin"/>
            </w:r>
            <w:r w:rsidR="002A4177">
              <w:rPr>
                <w:noProof/>
                <w:webHidden/>
              </w:rPr>
              <w:instrText xml:space="preserve"> PAGEREF _Toc471220998 \h </w:instrText>
            </w:r>
            <w:r w:rsidR="002A4177">
              <w:rPr>
                <w:noProof/>
                <w:webHidden/>
              </w:rPr>
            </w:r>
            <w:r w:rsidR="002A4177">
              <w:rPr>
                <w:noProof/>
                <w:webHidden/>
              </w:rPr>
              <w:fldChar w:fldCharType="separate"/>
            </w:r>
            <w:r w:rsidR="002A4177">
              <w:rPr>
                <w:noProof/>
                <w:webHidden/>
              </w:rPr>
              <w:t>1</w:t>
            </w:r>
            <w:r w:rsidR="002A4177">
              <w:rPr>
                <w:noProof/>
                <w:webHidden/>
              </w:rPr>
              <w:fldChar w:fldCharType="end"/>
            </w:r>
          </w:hyperlink>
        </w:p>
        <w:p w:rsidR="002A4177" w:rsidRDefault="001F4ED1">
          <w:pPr>
            <w:pStyle w:val="TOC2"/>
            <w:rPr>
              <w:rFonts w:asciiTheme="minorHAnsi" w:eastAsiaTheme="minorEastAsia" w:hAnsiTheme="minorHAnsi" w:cstheme="minorBidi"/>
              <w:b w:val="0"/>
              <w:noProof/>
              <w:sz w:val="22"/>
              <w:szCs w:val="22"/>
            </w:rPr>
          </w:pPr>
          <w:hyperlink w:anchor="_Toc471220999" w:history="1">
            <w:r w:rsidR="002A4177" w:rsidRPr="009C750C">
              <w:rPr>
                <w:rStyle w:val="Hyperlink"/>
                <w:noProof/>
              </w:rPr>
              <w:t>2.4.</w:t>
            </w:r>
            <w:r w:rsidR="002A4177">
              <w:rPr>
                <w:rFonts w:asciiTheme="minorHAnsi" w:eastAsiaTheme="minorEastAsia" w:hAnsiTheme="minorHAnsi" w:cstheme="minorBidi"/>
                <w:b w:val="0"/>
                <w:noProof/>
                <w:sz w:val="22"/>
                <w:szCs w:val="22"/>
              </w:rPr>
              <w:tab/>
            </w:r>
            <w:r w:rsidR="002A4177" w:rsidRPr="009C750C">
              <w:rPr>
                <w:rStyle w:val="Hyperlink"/>
                <w:noProof/>
              </w:rPr>
              <w:t>Rules of Behavior</w:t>
            </w:r>
            <w:r w:rsidR="002A4177">
              <w:rPr>
                <w:noProof/>
                <w:webHidden/>
              </w:rPr>
              <w:tab/>
            </w:r>
            <w:r w:rsidR="002A4177">
              <w:rPr>
                <w:noProof/>
                <w:webHidden/>
              </w:rPr>
              <w:fldChar w:fldCharType="begin"/>
            </w:r>
            <w:r w:rsidR="002A4177">
              <w:rPr>
                <w:noProof/>
                <w:webHidden/>
              </w:rPr>
              <w:instrText xml:space="preserve"> PAGEREF _Toc471220999 \h </w:instrText>
            </w:r>
            <w:r w:rsidR="002A4177">
              <w:rPr>
                <w:noProof/>
                <w:webHidden/>
              </w:rPr>
            </w:r>
            <w:r w:rsidR="002A4177">
              <w:rPr>
                <w:noProof/>
                <w:webHidden/>
              </w:rPr>
              <w:fldChar w:fldCharType="separate"/>
            </w:r>
            <w:r w:rsidR="002A4177">
              <w:rPr>
                <w:noProof/>
                <w:webHidden/>
              </w:rPr>
              <w:t>1</w:t>
            </w:r>
            <w:r w:rsidR="002A4177">
              <w:rPr>
                <w:noProof/>
                <w:webHidden/>
              </w:rPr>
              <w:fldChar w:fldCharType="end"/>
            </w:r>
          </w:hyperlink>
        </w:p>
        <w:p w:rsidR="002A4177" w:rsidRDefault="001F4ED1">
          <w:pPr>
            <w:pStyle w:val="TOC2"/>
            <w:rPr>
              <w:rFonts w:asciiTheme="minorHAnsi" w:eastAsiaTheme="minorEastAsia" w:hAnsiTheme="minorHAnsi" w:cstheme="minorBidi"/>
              <w:b w:val="0"/>
              <w:noProof/>
              <w:sz w:val="22"/>
              <w:szCs w:val="22"/>
            </w:rPr>
          </w:pPr>
          <w:hyperlink w:anchor="_Toc471221000" w:history="1">
            <w:r w:rsidR="002A4177" w:rsidRPr="009C750C">
              <w:rPr>
                <w:rStyle w:val="Hyperlink"/>
                <w:noProof/>
              </w:rPr>
              <w:t>2.5.</w:t>
            </w:r>
            <w:r w:rsidR="002A4177">
              <w:rPr>
                <w:rFonts w:asciiTheme="minorHAnsi" w:eastAsiaTheme="minorEastAsia" w:hAnsiTheme="minorHAnsi" w:cstheme="minorBidi"/>
                <w:b w:val="0"/>
                <w:noProof/>
                <w:sz w:val="22"/>
                <w:szCs w:val="22"/>
              </w:rPr>
              <w:tab/>
            </w:r>
            <w:r w:rsidR="002A4177" w:rsidRPr="009C750C">
              <w:rPr>
                <w:rStyle w:val="Hyperlink"/>
                <w:noProof/>
              </w:rPr>
              <w:t>Security Keys</w:t>
            </w:r>
            <w:r w:rsidR="002A4177">
              <w:rPr>
                <w:noProof/>
                <w:webHidden/>
              </w:rPr>
              <w:tab/>
            </w:r>
            <w:r w:rsidR="002A4177">
              <w:rPr>
                <w:noProof/>
                <w:webHidden/>
              </w:rPr>
              <w:fldChar w:fldCharType="begin"/>
            </w:r>
            <w:r w:rsidR="002A4177">
              <w:rPr>
                <w:noProof/>
                <w:webHidden/>
              </w:rPr>
              <w:instrText xml:space="preserve"> PAGEREF _Toc471221000 \h </w:instrText>
            </w:r>
            <w:r w:rsidR="002A4177">
              <w:rPr>
                <w:noProof/>
                <w:webHidden/>
              </w:rPr>
            </w:r>
            <w:r w:rsidR="002A4177">
              <w:rPr>
                <w:noProof/>
                <w:webHidden/>
              </w:rPr>
              <w:fldChar w:fldCharType="separate"/>
            </w:r>
            <w:r w:rsidR="002A4177">
              <w:rPr>
                <w:noProof/>
                <w:webHidden/>
              </w:rPr>
              <w:t>2</w:t>
            </w:r>
            <w:r w:rsidR="002A4177">
              <w:rPr>
                <w:noProof/>
                <w:webHidden/>
              </w:rPr>
              <w:fldChar w:fldCharType="end"/>
            </w:r>
          </w:hyperlink>
        </w:p>
        <w:p w:rsidR="002A4177" w:rsidRDefault="001F4ED1">
          <w:pPr>
            <w:pStyle w:val="TOC1"/>
            <w:rPr>
              <w:rFonts w:asciiTheme="minorHAnsi" w:eastAsiaTheme="minorEastAsia" w:hAnsiTheme="minorHAnsi" w:cstheme="minorBidi"/>
              <w:b w:val="0"/>
              <w:noProof/>
              <w:sz w:val="22"/>
              <w:szCs w:val="22"/>
            </w:rPr>
          </w:pPr>
          <w:hyperlink w:anchor="_Toc471221001" w:history="1">
            <w:r w:rsidR="002A4177" w:rsidRPr="009C750C">
              <w:rPr>
                <w:rStyle w:val="Hyperlink"/>
                <w:noProof/>
              </w:rPr>
              <w:t>3.</w:t>
            </w:r>
            <w:r w:rsidR="002A4177">
              <w:rPr>
                <w:rFonts w:asciiTheme="minorHAnsi" w:eastAsiaTheme="minorEastAsia" w:hAnsiTheme="minorHAnsi" w:cstheme="minorBidi"/>
                <w:b w:val="0"/>
                <w:noProof/>
                <w:sz w:val="22"/>
                <w:szCs w:val="22"/>
              </w:rPr>
              <w:tab/>
            </w:r>
            <w:r w:rsidR="002A4177" w:rsidRPr="009C750C">
              <w:rPr>
                <w:rStyle w:val="Hyperlink"/>
                <w:noProof/>
              </w:rPr>
              <w:t>VSE User Guide</w:t>
            </w:r>
            <w:r w:rsidR="002A4177">
              <w:rPr>
                <w:noProof/>
                <w:webHidden/>
              </w:rPr>
              <w:tab/>
            </w:r>
            <w:r w:rsidR="002A4177">
              <w:rPr>
                <w:noProof/>
                <w:webHidden/>
              </w:rPr>
              <w:fldChar w:fldCharType="begin"/>
            </w:r>
            <w:r w:rsidR="002A4177">
              <w:rPr>
                <w:noProof/>
                <w:webHidden/>
              </w:rPr>
              <w:instrText xml:space="preserve"> PAGEREF _Toc471221001 \h </w:instrText>
            </w:r>
            <w:r w:rsidR="002A4177">
              <w:rPr>
                <w:noProof/>
                <w:webHidden/>
              </w:rPr>
            </w:r>
            <w:r w:rsidR="002A4177">
              <w:rPr>
                <w:noProof/>
                <w:webHidden/>
              </w:rPr>
              <w:fldChar w:fldCharType="separate"/>
            </w:r>
            <w:r w:rsidR="002A4177">
              <w:rPr>
                <w:noProof/>
                <w:webHidden/>
              </w:rPr>
              <w:t>3</w:t>
            </w:r>
            <w:r w:rsidR="002A4177">
              <w:rPr>
                <w:noProof/>
                <w:webHidden/>
              </w:rPr>
              <w:fldChar w:fldCharType="end"/>
            </w:r>
          </w:hyperlink>
        </w:p>
        <w:p w:rsidR="002A4177" w:rsidRDefault="001F4ED1">
          <w:pPr>
            <w:pStyle w:val="TOC2"/>
            <w:rPr>
              <w:rFonts w:asciiTheme="minorHAnsi" w:eastAsiaTheme="minorEastAsia" w:hAnsiTheme="minorHAnsi" w:cstheme="minorBidi"/>
              <w:b w:val="0"/>
              <w:noProof/>
              <w:sz w:val="22"/>
              <w:szCs w:val="22"/>
            </w:rPr>
          </w:pPr>
          <w:hyperlink w:anchor="_Toc471221002" w:history="1">
            <w:r w:rsidR="002A4177" w:rsidRPr="009C750C">
              <w:rPr>
                <w:rStyle w:val="Hyperlink"/>
                <w:noProof/>
              </w:rPr>
              <w:t>3.1.</w:t>
            </w:r>
            <w:r w:rsidR="002A4177">
              <w:rPr>
                <w:rFonts w:asciiTheme="minorHAnsi" w:eastAsiaTheme="minorEastAsia" w:hAnsiTheme="minorHAnsi" w:cstheme="minorBidi"/>
                <w:b w:val="0"/>
                <w:noProof/>
                <w:sz w:val="22"/>
                <w:szCs w:val="22"/>
              </w:rPr>
              <w:tab/>
            </w:r>
            <w:r w:rsidR="002A4177" w:rsidRPr="009C750C">
              <w:rPr>
                <w:rStyle w:val="Hyperlink"/>
                <w:noProof/>
              </w:rPr>
              <w:t>User Access Levels</w:t>
            </w:r>
            <w:r w:rsidR="002A4177">
              <w:rPr>
                <w:noProof/>
                <w:webHidden/>
              </w:rPr>
              <w:tab/>
            </w:r>
            <w:r w:rsidR="002A4177">
              <w:rPr>
                <w:noProof/>
                <w:webHidden/>
              </w:rPr>
              <w:fldChar w:fldCharType="begin"/>
            </w:r>
            <w:r w:rsidR="002A4177">
              <w:rPr>
                <w:noProof/>
                <w:webHidden/>
              </w:rPr>
              <w:instrText xml:space="preserve"> PAGEREF _Toc471221002 \h </w:instrText>
            </w:r>
            <w:r w:rsidR="002A4177">
              <w:rPr>
                <w:noProof/>
                <w:webHidden/>
              </w:rPr>
            </w:r>
            <w:r w:rsidR="002A4177">
              <w:rPr>
                <w:noProof/>
                <w:webHidden/>
              </w:rPr>
              <w:fldChar w:fldCharType="separate"/>
            </w:r>
            <w:r w:rsidR="002A4177">
              <w:rPr>
                <w:noProof/>
                <w:webHidden/>
              </w:rPr>
              <w:t>3</w:t>
            </w:r>
            <w:r w:rsidR="002A4177">
              <w:rPr>
                <w:noProof/>
                <w:webHidden/>
              </w:rPr>
              <w:fldChar w:fldCharType="end"/>
            </w:r>
          </w:hyperlink>
        </w:p>
        <w:p w:rsidR="002A4177" w:rsidRDefault="001F4ED1">
          <w:pPr>
            <w:pStyle w:val="TOC1"/>
            <w:rPr>
              <w:rFonts w:asciiTheme="minorHAnsi" w:eastAsiaTheme="minorEastAsia" w:hAnsiTheme="minorHAnsi" w:cstheme="minorBidi"/>
              <w:b w:val="0"/>
              <w:noProof/>
              <w:sz w:val="22"/>
              <w:szCs w:val="22"/>
            </w:rPr>
          </w:pPr>
          <w:hyperlink w:anchor="_Toc471221003" w:history="1">
            <w:r w:rsidR="002A4177" w:rsidRPr="009C750C">
              <w:rPr>
                <w:rStyle w:val="Hyperlink"/>
                <w:noProof/>
              </w:rPr>
              <w:t>4.</w:t>
            </w:r>
            <w:r w:rsidR="002A4177">
              <w:rPr>
                <w:rFonts w:asciiTheme="minorHAnsi" w:eastAsiaTheme="minorEastAsia" w:hAnsiTheme="minorHAnsi" w:cstheme="minorBidi"/>
                <w:b w:val="0"/>
                <w:noProof/>
                <w:sz w:val="22"/>
                <w:szCs w:val="22"/>
              </w:rPr>
              <w:tab/>
            </w:r>
            <w:r w:rsidR="002A4177" w:rsidRPr="009C750C">
              <w:rPr>
                <w:rStyle w:val="Hyperlink"/>
                <w:noProof/>
              </w:rPr>
              <w:t>Approval Signatures</w:t>
            </w:r>
            <w:r w:rsidR="002A4177">
              <w:rPr>
                <w:noProof/>
                <w:webHidden/>
              </w:rPr>
              <w:tab/>
            </w:r>
            <w:r w:rsidR="002A4177">
              <w:rPr>
                <w:noProof/>
                <w:webHidden/>
              </w:rPr>
              <w:fldChar w:fldCharType="begin"/>
            </w:r>
            <w:r w:rsidR="002A4177">
              <w:rPr>
                <w:noProof/>
                <w:webHidden/>
              </w:rPr>
              <w:instrText xml:space="preserve"> PAGEREF _Toc471221003 \h </w:instrText>
            </w:r>
            <w:r w:rsidR="002A4177">
              <w:rPr>
                <w:noProof/>
                <w:webHidden/>
              </w:rPr>
            </w:r>
            <w:r w:rsidR="002A4177">
              <w:rPr>
                <w:noProof/>
                <w:webHidden/>
              </w:rPr>
              <w:fldChar w:fldCharType="separate"/>
            </w:r>
            <w:r w:rsidR="002A4177">
              <w:rPr>
                <w:noProof/>
                <w:webHidden/>
              </w:rPr>
              <w:t>4</w:t>
            </w:r>
            <w:r w:rsidR="002A4177">
              <w:rPr>
                <w:noProof/>
                <w:webHidden/>
              </w:rPr>
              <w:fldChar w:fldCharType="end"/>
            </w:r>
          </w:hyperlink>
        </w:p>
        <w:p w:rsidR="002A4177" w:rsidRDefault="002A4177">
          <w:r>
            <w:rPr>
              <w:b/>
              <w:bCs/>
              <w:noProof/>
            </w:rPr>
            <w:fldChar w:fldCharType="end"/>
          </w:r>
        </w:p>
      </w:sdtContent>
    </w:sdt>
    <w:p w:rsidR="006F3EEB" w:rsidRDefault="006F3EEB" w:rsidP="002A4177"/>
    <w:p w:rsidR="00DF2C4A" w:rsidRDefault="00DF2C4A" w:rsidP="002A4177"/>
    <w:p w:rsidR="00DF2C4A" w:rsidRPr="003F0D62" w:rsidRDefault="00DF2C4A" w:rsidP="00DF2C4A">
      <w:pPr>
        <w:pStyle w:val="capture"/>
        <w:rPr>
          <w:lang w:eastAsia="en-US"/>
        </w:rPr>
        <w:sectPr w:rsidR="00DF2C4A" w:rsidRPr="003F0D62" w:rsidSect="00AD4E85">
          <w:footerReference w:type="default" r:id="rId13"/>
          <w:pgSz w:w="12240" w:h="15840" w:code="1"/>
          <w:pgMar w:top="1440" w:right="1440" w:bottom="1440" w:left="1440" w:header="720" w:footer="720" w:gutter="0"/>
          <w:pgNumType w:fmt="lowerRoman" w:start="1"/>
          <w:cols w:space="720"/>
          <w:docGrid w:linePitch="360"/>
        </w:sectPr>
      </w:pPr>
    </w:p>
    <w:p w:rsidR="00DF2C4A" w:rsidRDefault="00DF2C4A" w:rsidP="00DF2C4A">
      <w:pPr>
        <w:pStyle w:val="Heading1"/>
      </w:pPr>
      <w:bookmarkStart w:id="2" w:name="_Toc409702196"/>
      <w:bookmarkStart w:id="3" w:name="_Toc471220994"/>
      <w:bookmarkEnd w:id="0"/>
      <w:r>
        <w:lastRenderedPageBreak/>
        <w:t>Introduction</w:t>
      </w:r>
      <w:bookmarkEnd w:id="2"/>
      <w:bookmarkEnd w:id="3"/>
    </w:p>
    <w:p w:rsidR="00DF2C4A" w:rsidRDefault="00DF2C4A" w:rsidP="00DF2C4A">
      <w:pPr>
        <w:pStyle w:val="BodyText"/>
      </w:pPr>
      <w:r>
        <w:t>This document serves to assist Veterans Health Information Systems and Technology Architecture (VistA) Information Security and System Administration personnel by identifying potential security control implementation updates related to the VistA Scheduling Enhancement</w:t>
      </w:r>
      <w:r w:rsidR="0062414A">
        <w:t>s</w:t>
      </w:r>
      <w:r>
        <w:t xml:space="preserve"> (VSE) project</w:t>
      </w:r>
      <w:r w:rsidR="00873F96">
        <w:t xml:space="preserve">. </w:t>
      </w:r>
      <w:r>
        <w:t xml:space="preserve">Documentation support is provided for the System Security Plan (SSP) and Information System Contingency Plan (ISCP).  </w:t>
      </w:r>
    </w:p>
    <w:p w:rsidR="00DF2C4A" w:rsidRDefault="00DF2C4A" w:rsidP="0084104B">
      <w:pPr>
        <w:pStyle w:val="BodyTextBullet1"/>
      </w:pPr>
      <w:r>
        <w:t xml:space="preserve">Security control implementation evidence for the SSP is based on requirements in </w:t>
      </w:r>
      <w:r w:rsidRPr="0084104B">
        <w:rPr>
          <w:i/>
        </w:rPr>
        <w:t xml:space="preserve">VA Handbook 6500 Appendix D </w:t>
      </w:r>
      <w:r w:rsidRPr="0062414A">
        <w:t>and</w:t>
      </w:r>
      <w:r w:rsidRPr="0084104B">
        <w:rPr>
          <w:i/>
        </w:rPr>
        <w:t xml:space="preserve"> NIST Special Publication 800-53 Revision 4</w:t>
      </w:r>
      <w:r>
        <w:t>.</w:t>
      </w:r>
    </w:p>
    <w:p w:rsidR="00DF2C4A" w:rsidRDefault="00DF2C4A" w:rsidP="0084104B">
      <w:pPr>
        <w:pStyle w:val="BodyTextBullet1"/>
      </w:pPr>
      <w:r>
        <w:t xml:space="preserve">ISCP items are based on requirements in </w:t>
      </w:r>
      <w:r w:rsidRPr="0084104B">
        <w:rPr>
          <w:i/>
        </w:rPr>
        <w:t>VA Handbook 6500.0, IT Contingency Planning</w:t>
      </w:r>
      <w:r>
        <w:t>.</w:t>
      </w:r>
    </w:p>
    <w:p w:rsidR="00DF2C4A" w:rsidRPr="000F7DF6" w:rsidRDefault="00DF2C4A" w:rsidP="006F3EEB">
      <w:pPr>
        <w:pStyle w:val="Heading1"/>
        <w:pageBreakBefore w:val="0"/>
      </w:pPr>
      <w:bookmarkStart w:id="4" w:name="_Toc409702197"/>
      <w:bookmarkStart w:id="5" w:name="_Toc471220995"/>
      <w:r>
        <w:t>Security Guide</w:t>
      </w:r>
      <w:bookmarkEnd w:id="4"/>
      <w:bookmarkEnd w:id="5"/>
    </w:p>
    <w:p w:rsidR="00DF2C4A" w:rsidRDefault="00DF2C4A" w:rsidP="00DF2C4A">
      <w:pPr>
        <w:pStyle w:val="BodyText"/>
      </w:pPr>
      <w:r>
        <w:t xml:space="preserve">The sections below identify items as part of security control implementation evidence requirements of </w:t>
      </w:r>
      <w:r w:rsidRPr="0084104B">
        <w:rPr>
          <w:i/>
        </w:rPr>
        <w:t>VA Handbook 6500 Appendix D</w:t>
      </w:r>
      <w:r>
        <w:t xml:space="preserve"> and contingency planning items of </w:t>
      </w:r>
      <w:r w:rsidRPr="0084104B">
        <w:rPr>
          <w:i/>
        </w:rPr>
        <w:t>VA Handbook 6500.8</w:t>
      </w:r>
      <w:r>
        <w:t>.</w:t>
      </w:r>
    </w:p>
    <w:p w:rsidR="00DF2C4A" w:rsidRDefault="00DF2C4A" w:rsidP="00DF2C4A">
      <w:pPr>
        <w:pStyle w:val="Heading2"/>
      </w:pPr>
      <w:bookmarkStart w:id="6" w:name="_Toc409702198"/>
      <w:bookmarkStart w:id="7" w:name="_Toc471220996"/>
      <w:r>
        <w:t>Security/Identity Management</w:t>
      </w:r>
      <w:bookmarkEnd w:id="6"/>
      <w:bookmarkEnd w:id="7"/>
    </w:p>
    <w:p w:rsidR="00DF2C4A" w:rsidRDefault="00DF2C4A" w:rsidP="00DF2C4A">
      <w:pPr>
        <w:pStyle w:val="BodyText"/>
      </w:pPr>
      <w:r>
        <w:t xml:space="preserve">Security/Identity management for VSE </w:t>
      </w:r>
      <w:r w:rsidR="0062414A">
        <w:t xml:space="preserve">project </w:t>
      </w:r>
      <w:r>
        <w:t>is managed by current VistA Security/Identity management protocols a</w:t>
      </w:r>
      <w:r w:rsidR="00B70B2B">
        <w:t xml:space="preserve">nd is not affected by </w:t>
      </w:r>
      <w:r w:rsidR="00457C74">
        <w:t xml:space="preserve">the </w:t>
      </w:r>
      <w:r w:rsidR="00B70B2B">
        <w:t xml:space="preserve">VSE </w:t>
      </w:r>
      <w:r w:rsidR="00457C74">
        <w:t>enhancements</w:t>
      </w:r>
      <w:r>
        <w:t>.</w:t>
      </w:r>
    </w:p>
    <w:p w:rsidR="00DF2C4A" w:rsidRDefault="00DF2C4A" w:rsidP="00DF2C4A">
      <w:pPr>
        <w:pStyle w:val="Heading2"/>
      </w:pPr>
      <w:bookmarkStart w:id="8" w:name="_Toc409702199"/>
      <w:bookmarkStart w:id="9" w:name="_Toc471220997"/>
      <w:r>
        <w:t>Continuity of Operations</w:t>
      </w:r>
      <w:bookmarkEnd w:id="8"/>
      <w:bookmarkEnd w:id="9"/>
    </w:p>
    <w:p w:rsidR="00DF2C4A" w:rsidRDefault="00DF2C4A" w:rsidP="00DF2C4A">
      <w:pPr>
        <w:pStyle w:val="BodyText"/>
      </w:pPr>
      <w:r>
        <w:t xml:space="preserve">There is no additional information to add to Continuity of Operations documentation. </w:t>
      </w:r>
    </w:p>
    <w:p w:rsidR="00DF2C4A" w:rsidRDefault="00DF2C4A" w:rsidP="00DF2C4A">
      <w:pPr>
        <w:pStyle w:val="Heading2"/>
      </w:pPr>
      <w:bookmarkStart w:id="10" w:name="_Toc409702200"/>
      <w:bookmarkStart w:id="11" w:name="_Toc471220998"/>
      <w:r>
        <w:t>Disaster Event Activities</w:t>
      </w:r>
      <w:bookmarkEnd w:id="10"/>
      <w:bookmarkEnd w:id="11"/>
    </w:p>
    <w:p w:rsidR="00DF2C4A" w:rsidRDefault="00DF2C4A" w:rsidP="00DF2C4A">
      <w:pPr>
        <w:pStyle w:val="BodyText"/>
      </w:pPr>
      <w:r>
        <w:t>This document does</w:t>
      </w:r>
      <w:r w:rsidR="00EC1ED8">
        <w:t xml:space="preserve"> </w:t>
      </w:r>
      <w:r>
        <w:t>n</w:t>
      </w:r>
      <w:r w:rsidR="00EC1ED8">
        <w:t>o</w:t>
      </w:r>
      <w:r>
        <w:t>t provide any additional detail for use in a facility-specific Disaster Recovery Plan (DRP), which is the first go-to plan for each facility.</w:t>
      </w:r>
    </w:p>
    <w:p w:rsidR="00DF2C4A" w:rsidRDefault="00DF2C4A" w:rsidP="00DF2C4A">
      <w:pPr>
        <w:pStyle w:val="Heading2"/>
      </w:pPr>
      <w:bookmarkStart w:id="12" w:name="_Toc409702201"/>
      <w:bookmarkStart w:id="13" w:name="_Toc471220999"/>
      <w:r>
        <w:t>Rules of Behavior</w:t>
      </w:r>
      <w:bookmarkEnd w:id="12"/>
      <w:bookmarkEnd w:id="13"/>
    </w:p>
    <w:p w:rsidR="00DF2C4A" w:rsidRDefault="00DF2C4A" w:rsidP="00DF2C4A">
      <w:pPr>
        <w:pStyle w:val="BodyText"/>
      </w:pPr>
      <w:r>
        <w:t>A</w:t>
      </w:r>
      <w:r w:rsidRPr="00696EB1">
        <w:t xml:space="preserve">ll VistA users are required to observe </w:t>
      </w:r>
      <w:r w:rsidR="00F92A0B" w:rsidRPr="00F92A0B">
        <w:t>Health and Human Services</w:t>
      </w:r>
      <w:r w:rsidR="00F92A0B" w:rsidRPr="00696EB1">
        <w:t xml:space="preserve"> </w:t>
      </w:r>
      <w:r w:rsidR="00F92A0B">
        <w:t>(</w:t>
      </w:r>
      <w:r w:rsidRPr="00696EB1">
        <w:t>HHS</w:t>
      </w:r>
      <w:r w:rsidR="00F92A0B">
        <w:t>)</w:t>
      </w:r>
      <w:r w:rsidRPr="00696EB1">
        <w:t xml:space="preserve"> and </w:t>
      </w:r>
      <w:r w:rsidR="00F575A8">
        <w:t>Department of Veterans Affairs (</w:t>
      </w:r>
      <w:r w:rsidRPr="00696EB1">
        <w:t>VA</w:t>
      </w:r>
      <w:r w:rsidR="00F575A8">
        <w:t>)</w:t>
      </w:r>
      <w:r w:rsidRPr="00696EB1">
        <w:t xml:space="preserve"> Rules of Behavior regarding patient privacy and the security of both patient informatio</w:t>
      </w:r>
      <w:r>
        <w:t>n and VA computers and networks. Evidence of this control is documented as part of the Planning control PL-4, Rules of Behavior.</w:t>
      </w:r>
    </w:p>
    <w:p w:rsidR="00873F96" w:rsidRDefault="00873F96">
      <w:pPr>
        <w:rPr>
          <w:rFonts w:ascii="Arial" w:hAnsi="Arial" w:cs="Arial"/>
          <w:b/>
          <w:bCs/>
          <w:iCs/>
          <w:kern w:val="32"/>
          <w:sz w:val="32"/>
          <w:szCs w:val="28"/>
        </w:rPr>
      </w:pPr>
      <w:bookmarkStart w:id="14" w:name="_Toc409702202"/>
      <w:r>
        <w:br w:type="page"/>
      </w:r>
    </w:p>
    <w:p w:rsidR="00DF2C4A" w:rsidRPr="00696EB1" w:rsidRDefault="00DF2C4A" w:rsidP="00DF2C4A">
      <w:pPr>
        <w:pStyle w:val="Heading2"/>
      </w:pPr>
      <w:bookmarkStart w:id="15" w:name="_Toc471221000"/>
      <w:r>
        <w:lastRenderedPageBreak/>
        <w:t>Security Keys</w:t>
      </w:r>
      <w:bookmarkEnd w:id="14"/>
      <w:bookmarkEnd w:id="15"/>
    </w:p>
    <w:p w:rsidR="00DF2C4A" w:rsidRDefault="00DF2C4A" w:rsidP="00DF2C4A">
      <w:pPr>
        <w:pStyle w:val="BodyText"/>
      </w:pPr>
      <w:r>
        <w:t xml:space="preserve">The database security keys that define access features </w:t>
      </w:r>
      <w:r w:rsidR="00457C74">
        <w:t xml:space="preserve">for different </w:t>
      </w:r>
      <w:r>
        <w:t>application users are listed in the table below. This information can be applied to Access Controls AC-5, Separation of Duties, and AC-6, Least Privilege.</w:t>
      </w:r>
    </w:p>
    <w:p w:rsidR="00DF2C4A" w:rsidRDefault="00DF2C4A" w:rsidP="00DF2C4A">
      <w:pPr>
        <w:pStyle w:val="Caption"/>
      </w:pPr>
      <w:bookmarkStart w:id="16" w:name="_Toc409702268"/>
      <w:r>
        <w:t xml:space="preserve">Table </w:t>
      </w:r>
      <w:fldSimple w:instr=" SEQ Table \* ARABIC ">
        <w:r>
          <w:rPr>
            <w:noProof/>
          </w:rPr>
          <w:t>1</w:t>
        </w:r>
      </w:fldSimple>
      <w:r>
        <w:t>: Security Keys</w:t>
      </w:r>
      <w:bookmarkEnd w:id="16"/>
    </w:p>
    <w:tbl>
      <w:tblPr>
        <w:tblW w:w="9680" w:type="dxa"/>
        <w:tblInd w:w="-23" w:type="dxa"/>
        <w:tblCellMar>
          <w:left w:w="0" w:type="dxa"/>
          <w:right w:w="0" w:type="dxa"/>
        </w:tblCellMar>
        <w:tblLook w:val="04A0" w:firstRow="1" w:lastRow="0" w:firstColumn="1" w:lastColumn="0" w:noHBand="0" w:noVBand="1"/>
      </w:tblPr>
      <w:tblGrid>
        <w:gridCol w:w="2520"/>
        <w:gridCol w:w="7160"/>
      </w:tblGrid>
      <w:tr w:rsidR="0049571D" w:rsidTr="008A7E2C">
        <w:trPr>
          <w:cantSplit/>
          <w:trHeight w:val="315"/>
        </w:trPr>
        <w:tc>
          <w:tcPr>
            <w:tcW w:w="25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bottom"/>
            <w:hideMark/>
          </w:tcPr>
          <w:p w:rsidR="0049571D" w:rsidRDefault="0049571D" w:rsidP="00557FBA">
            <w:pPr>
              <w:pStyle w:val="TableHeading"/>
            </w:pPr>
            <w:r>
              <w:t>Key Name</w:t>
            </w:r>
          </w:p>
        </w:tc>
        <w:tc>
          <w:tcPr>
            <w:tcW w:w="716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bottom"/>
            <w:hideMark/>
          </w:tcPr>
          <w:p w:rsidR="0049571D" w:rsidRDefault="0049571D" w:rsidP="00557FBA">
            <w:pPr>
              <w:pStyle w:val="TableHeading"/>
            </w:pPr>
            <w:r>
              <w:t>Description</w:t>
            </w:r>
          </w:p>
        </w:tc>
      </w:tr>
      <w:tr w:rsidR="0049571D" w:rsidTr="00EC1ED8">
        <w:trPr>
          <w:cantSplit/>
          <w:trHeight w:val="315"/>
        </w:trPr>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9571D" w:rsidRDefault="0049571D" w:rsidP="00EC1ED8">
            <w:pPr>
              <w:pStyle w:val="TableText"/>
            </w:pPr>
            <w:r>
              <w:t>SDECZMENU</w:t>
            </w:r>
          </w:p>
        </w:tc>
        <w:tc>
          <w:tcPr>
            <w:tcW w:w="7160" w:type="dxa"/>
            <w:tcBorders>
              <w:top w:val="nil"/>
              <w:left w:val="nil"/>
              <w:bottom w:val="single" w:sz="8" w:space="0" w:color="auto"/>
              <w:right w:val="single" w:sz="8" w:space="0" w:color="auto"/>
            </w:tcBorders>
            <w:tcMar>
              <w:top w:w="0" w:type="dxa"/>
              <w:left w:w="108" w:type="dxa"/>
              <w:bottom w:w="0" w:type="dxa"/>
              <w:right w:w="108" w:type="dxa"/>
            </w:tcMar>
          </w:tcPr>
          <w:p w:rsidR="0049571D" w:rsidRDefault="0049571D" w:rsidP="00557FBA">
            <w:pPr>
              <w:pStyle w:val="TableText"/>
            </w:pPr>
            <w:r>
              <w:t>All Vista Scheduling users must have this key to access to the following options</w:t>
            </w:r>
          </w:p>
          <w:p w:rsidR="0049571D" w:rsidRDefault="0049571D" w:rsidP="00EC1ED8">
            <w:pPr>
              <w:pStyle w:val="TableText"/>
              <w:spacing w:before="20" w:after="20"/>
            </w:pPr>
            <w:r>
              <w:t>Tasks Tab:</w:t>
            </w:r>
          </w:p>
          <w:p w:rsidR="0049571D" w:rsidRPr="00557FBA" w:rsidRDefault="0049571D" w:rsidP="00EC1ED8">
            <w:pPr>
              <w:pStyle w:val="TableText"/>
              <w:numPr>
                <w:ilvl w:val="0"/>
                <w:numId w:val="32"/>
              </w:numPr>
              <w:spacing w:before="20" w:after="20"/>
            </w:pPr>
            <w:r w:rsidRPr="00557FBA">
              <w:t>Actions button</w:t>
            </w:r>
          </w:p>
          <w:p w:rsidR="0049571D" w:rsidRPr="00557FBA" w:rsidRDefault="0049571D" w:rsidP="00EC1ED8">
            <w:pPr>
              <w:pStyle w:val="TableText"/>
              <w:numPr>
                <w:ilvl w:val="0"/>
                <w:numId w:val="32"/>
              </w:numPr>
              <w:spacing w:before="20" w:after="20"/>
            </w:pPr>
            <w:r w:rsidRPr="00557FBA">
              <w:t>Arrangement button</w:t>
            </w:r>
          </w:p>
          <w:p w:rsidR="0049571D" w:rsidRPr="00557FBA" w:rsidRDefault="0049571D" w:rsidP="00EC1ED8">
            <w:pPr>
              <w:pStyle w:val="TableText"/>
              <w:numPr>
                <w:ilvl w:val="0"/>
                <w:numId w:val="32"/>
              </w:numPr>
              <w:spacing w:before="20" w:after="20"/>
            </w:pPr>
            <w:r w:rsidRPr="00557FBA">
              <w:t>Tools button</w:t>
            </w:r>
          </w:p>
          <w:p w:rsidR="0049571D" w:rsidRPr="00557FBA" w:rsidRDefault="0049571D" w:rsidP="00EC1ED8">
            <w:pPr>
              <w:pStyle w:val="TableText"/>
              <w:numPr>
                <w:ilvl w:val="0"/>
                <w:numId w:val="32"/>
              </w:numPr>
              <w:spacing w:before="20" w:after="20"/>
            </w:pPr>
            <w:r w:rsidRPr="00557FBA">
              <w:t>Clinic Schedules button</w:t>
            </w:r>
          </w:p>
          <w:p w:rsidR="0049571D" w:rsidRPr="00557FBA" w:rsidRDefault="0049571D" w:rsidP="00EC1ED8">
            <w:pPr>
              <w:pStyle w:val="TableText"/>
              <w:numPr>
                <w:ilvl w:val="0"/>
                <w:numId w:val="32"/>
              </w:numPr>
              <w:spacing w:before="20" w:after="20"/>
            </w:pPr>
            <w:r w:rsidRPr="00557FBA">
              <w:t>Provider Schedules button</w:t>
            </w:r>
          </w:p>
          <w:p w:rsidR="0049571D" w:rsidRPr="00557FBA" w:rsidRDefault="0049571D" w:rsidP="00EC1ED8">
            <w:pPr>
              <w:pStyle w:val="TableText"/>
              <w:numPr>
                <w:ilvl w:val="0"/>
                <w:numId w:val="32"/>
              </w:numPr>
              <w:spacing w:before="20" w:after="20"/>
            </w:pPr>
            <w:r w:rsidRPr="00557FBA">
              <w:t>Clinic Group button</w:t>
            </w:r>
          </w:p>
          <w:p w:rsidR="0049571D" w:rsidRDefault="0049571D" w:rsidP="00EC1ED8">
            <w:pPr>
              <w:pStyle w:val="TableText"/>
              <w:spacing w:before="20" w:after="20"/>
            </w:pPr>
            <w:r>
              <w:t>System Tab</w:t>
            </w:r>
          </w:p>
          <w:p w:rsidR="0049571D" w:rsidRPr="00557FBA" w:rsidRDefault="0049571D" w:rsidP="00EC1ED8">
            <w:pPr>
              <w:pStyle w:val="TableText"/>
              <w:numPr>
                <w:ilvl w:val="0"/>
                <w:numId w:val="33"/>
              </w:numPr>
              <w:spacing w:before="20" w:after="20"/>
            </w:pPr>
            <w:r w:rsidRPr="00557FBA">
              <w:t>Availability button</w:t>
            </w:r>
          </w:p>
          <w:p w:rsidR="0049571D" w:rsidRDefault="0049571D" w:rsidP="00EC1ED8">
            <w:pPr>
              <w:pStyle w:val="TableText"/>
              <w:spacing w:before="20" w:after="20"/>
            </w:pPr>
            <w:r>
              <w:t>Reports tab:</w:t>
            </w:r>
          </w:p>
          <w:p w:rsidR="0049571D" w:rsidRPr="00557FBA" w:rsidRDefault="0049571D" w:rsidP="00EC1ED8">
            <w:pPr>
              <w:pStyle w:val="TableText"/>
              <w:numPr>
                <w:ilvl w:val="0"/>
                <w:numId w:val="33"/>
              </w:numPr>
              <w:spacing w:before="20" w:after="20"/>
            </w:pPr>
            <w:r w:rsidRPr="00557FBA">
              <w:t>Audit Activity</w:t>
            </w:r>
          </w:p>
          <w:p w:rsidR="0049571D" w:rsidRPr="00557FBA" w:rsidRDefault="0049571D" w:rsidP="00EC1ED8">
            <w:pPr>
              <w:pStyle w:val="TableText"/>
              <w:numPr>
                <w:ilvl w:val="0"/>
                <w:numId w:val="33"/>
              </w:numPr>
              <w:spacing w:before="20" w:after="20"/>
            </w:pPr>
            <w:r w:rsidRPr="00557FBA">
              <w:t>EWL- Non Display Patients</w:t>
            </w:r>
          </w:p>
          <w:p w:rsidR="0049571D" w:rsidRPr="00557FBA" w:rsidRDefault="0049571D" w:rsidP="00EC1ED8">
            <w:pPr>
              <w:pStyle w:val="TableText"/>
              <w:numPr>
                <w:ilvl w:val="0"/>
                <w:numId w:val="33"/>
              </w:numPr>
              <w:spacing w:before="20" w:after="20"/>
            </w:pPr>
            <w:r w:rsidRPr="00557FBA">
              <w:t>Clinics</w:t>
            </w:r>
          </w:p>
          <w:p w:rsidR="0049571D" w:rsidRDefault="0049571D" w:rsidP="00EC1ED8">
            <w:pPr>
              <w:pStyle w:val="TableText"/>
              <w:numPr>
                <w:ilvl w:val="0"/>
                <w:numId w:val="33"/>
              </w:numPr>
              <w:spacing w:before="20" w:after="20"/>
            </w:pPr>
            <w:r w:rsidRPr="00557FBA">
              <w:t>Managements Report (E3)</w:t>
            </w:r>
          </w:p>
        </w:tc>
      </w:tr>
      <w:tr w:rsidR="0049571D" w:rsidTr="00EC1ED8">
        <w:trPr>
          <w:cantSplit/>
          <w:trHeight w:val="780"/>
        </w:trPr>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9571D" w:rsidRDefault="0049571D" w:rsidP="00EC1ED8">
            <w:pPr>
              <w:pStyle w:val="TableText"/>
              <w:rPr>
                <w:rFonts w:eastAsiaTheme="minorHAnsi"/>
              </w:rPr>
            </w:pPr>
            <w:r>
              <w:t>SDECZMGR</w:t>
            </w:r>
          </w:p>
        </w:tc>
        <w:tc>
          <w:tcPr>
            <w:tcW w:w="7160" w:type="dxa"/>
            <w:tcBorders>
              <w:top w:val="nil"/>
              <w:left w:val="nil"/>
              <w:bottom w:val="single" w:sz="8" w:space="0" w:color="auto"/>
              <w:right w:val="single" w:sz="8" w:space="0" w:color="auto"/>
            </w:tcBorders>
            <w:tcMar>
              <w:top w:w="0" w:type="dxa"/>
              <w:left w:w="108" w:type="dxa"/>
              <w:bottom w:w="0" w:type="dxa"/>
              <w:right w:w="108" w:type="dxa"/>
            </w:tcMar>
            <w:hideMark/>
          </w:tcPr>
          <w:p w:rsidR="0049571D" w:rsidRDefault="0049571D" w:rsidP="00557FBA">
            <w:pPr>
              <w:pStyle w:val="TableText"/>
            </w:pPr>
            <w:r>
              <w:t>This key should be assigned to users who manage the overall Scheduling application. This key gives access to the Scheduling Management icon on the VSE applications System tab.</w:t>
            </w:r>
          </w:p>
        </w:tc>
      </w:tr>
      <w:tr w:rsidR="0049571D" w:rsidTr="00EC1ED8">
        <w:trPr>
          <w:trHeight w:val="615"/>
        </w:trPr>
        <w:tc>
          <w:tcPr>
            <w:tcW w:w="25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9571D" w:rsidRDefault="0049571D" w:rsidP="00EC1ED8">
            <w:pPr>
              <w:pStyle w:val="TableText"/>
              <w:rPr>
                <w:rFonts w:ascii="Calibri" w:hAnsi="Calibri"/>
                <w:szCs w:val="22"/>
              </w:rPr>
            </w:pPr>
            <w:r>
              <w:t>SDECZ REQUEST</w:t>
            </w:r>
          </w:p>
        </w:tc>
        <w:tc>
          <w:tcPr>
            <w:tcW w:w="7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9571D" w:rsidRDefault="0049571D" w:rsidP="00557FBA">
            <w:pPr>
              <w:pStyle w:val="TableText"/>
            </w:pPr>
            <w:r>
              <w:t>Allows holder of key to access VAR mobile request icon and view mobile request list from the VAR application</w:t>
            </w:r>
          </w:p>
        </w:tc>
      </w:tr>
      <w:tr w:rsidR="0049571D" w:rsidTr="00EC1ED8">
        <w:trPr>
          <w:trHeight w:val="615"/>
        </w:trPr>
        <w:tc>
          <w:tcPr>
            <w:tcW w:w="25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9571D" w:rsidRDefault="0049571D" w:rsidP="00EC1ED8">
            <w:pPr>
              <w:pStyle w:val="TableText"/>
            </w:pPr>
            <w:r>
              <w:t>SDOB</w:t>
            </w:r>
          </w:p>
        </w:tc>
        <w:tc>
          <w:tcPr>
            <w:tcW w:w="7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9571D" w:rsidRDefault="0049571D" w:rsidP="00557FBA">
            <w:pPr>
              <w:pStyle w:val="TableText"/>
            </w:pPr>
            <w:r>
              <w:t>Authorized to overbook in the clinic to maximum allowed as defined in set up a clinic</w:t>
            </w:r>
          </w:p>
        </w:tc>
      </w:tr>
      <w:tr w:rsidR="0049571D" w:rsidTr="00EC1ED8">
        <w:trPr>
          <w:trHeight w:val="615"/>
        </w:trPr>
        <w:tc>
          <w:tcPr>
            <w:tcW w:w="25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9571D" w:rsidRDefault="0049571D" w:rsidP="00EC1ED8">
            <w:pPr>
              <w:pStyle w:val="TableText"/>
            </w:pPr>
            <w:r>
              <w:t>SDMOB</w:t>
            </w:r>
          </w:p>
        </w:tc>
        <w:tc>
          <w:tcPr>
            <w:tcW w:w="71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49571D" w:rsidRDefault="0049571D" w:rsidP="00557FBA">
            <w:pPr>
              <w:pStyle w:val="TableText"/>
            </w:pPr>
            <w:r>
              <w:t>Authorized to overbook in the clinic over the maximum allowed as defined in set up a clinic.</w:t>
            </w:r>
          </w:p>
        </w:tc>
      </w:tr>
      <w:tr w:rsidR="0049571D" w:rsidTr="00EC1ED8">
        <w:trPr>
          <w:trHeight w:val="1215"/>
        </w:trPr>
        <w:tc>
          <w:tcPr>
            <w:tcW w:w="2520" w:type="dxa"/>
            <w:tcBorders>
              <w:top w:val="single" w:sz="8" w:space="0" w:color="auto"/>
              <w:left w:val="single" w:sz="8" w:space="0" w:color="auto"/>
              <w:bottom w:val="single" w:sz="6" w:space="0" w:color="auto"/>
              <w:right w:val="single" w:sz="6" w:space="0" w:color="auto"/>
            </w:tcBorders>
            <w:noWrap/>
            <w:tcMar>
              <w:top w:w="0" w:type="dxa"/>
              <w:left w:w="108" w:type="dxa"/>
              <w:bottom w:w="0" w:type="dxa"/>
              <w:right w:w="108" w:type="dxa"/>
            </w:tcMar>
            <w:hideMark/>
          </w:tcPr>
          <w:p w:rsidR="0049571D" w:rsidRDefault="004F1A37" w:rsidP="00EC1ED8">
            <w:pPr>
              <w:pStyle w:val="TableText"/>
            </w:pPr>
            <w:r>
              <w:t>SDWL MENU</w:t>
            </w:r>
          </w:p>
        </w:tc>
        <w:tc>
          <w:tcPr>
            <w:tcW w:w="7160" w:type="dxa"/>
            <w:tcBorders>
              <w:top w:val="single" w:sz="8"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49571D" w:rsidRDefault="0049571D" w:rsidP="00EC1ED8">
            <w:pPr>
              <w:pStyle w:val="TableText"/>
            </w:pPr>
            <w:r>
              <w:t>If user does not have this key assigned they cannot enter a new wait list request (right click option "Transfer to EWL" from an o</w:t>
            </w:r>
            <w:r w:rsidR="004F1A37">
              <w:t xml:space="preserve">pen APPT Request) or perform a </w:t>
            </w:r>
            <w:r>
              <w:t>disposition (which is the right click option for EWL Disposition) of a EWL request.</w:t>
            </w:r>
          </w:p>
        </w:tc>
      </w:tr>
      <w:tr w:rsidR="00F21A15" w:rsidTr="00EC1ED8">
        <w:trPr>
          <w:trHeight w:val="435"/>
        </w:trPr>
        <w:tc>
          <w:tcPr>
            <w:tcW w:w="2520" w:type="dxa"/>
            <w:tcBorders>
              <w:top w:val="single" w:sz="6" w:space="0" w:color="auto"/>
              <w:left w:val="single" w:sz="8" w:space="0" w:color="auto"/>
              <w:bottom w:val="single" w:sz="8" w:space="0" w:color="auto"/>
              <w:right w:val="single" w:sz="6" w:space="0" w:color="auto"/>
            </w:tcBorders>
            <w:noWrap/>
            <w:tcMar>
              <w:top w:w="0" w:type="dxa"/>
              <w:left w:w="108" w:type="dxa"/>
              <w:bottom w:w="0" w:type="dxa"/>
              <w:right w:w="108" w:type="dxa"/>
            </w:tcMar>
          </w:tcPr>
          <w:p w:rsidR="00F21A15" w:rsidRDefault="00F21A15" w:rsidP="00EC1ED8">
            <w:pPr>
              <w:pStyle w:val="TableText"/>
            </w:pPr>
            <w:r>
              <w:t>SDECVIEW</w:t>
            </w:r>
          </w:p>
        </w:tc>
        <w:tc>
          <w:tcPr>
            <w:tcW w:w="7160" w:type="dxa"/>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bottom"/>
          </w:tcPr>
          <w:p w:rsidR="00F21A15" w:rsidRDefault="00F21A15" w:rsidP="004F1A37">
            <w:pPr>
              <w:pStyle w:val="TableText"/>
            </w:pPr>
            <w:r>
              <w:t>This key is assigned to users who need access to the Scheduling application but are not allowed to take action on any requests or schedules. This key gives access to the VistA Scheduling Graphical User Interface (VS GUI) application’s Tasks tab view only. This key overrides any other scheduling key assigned to the user and restricts access to all adding and updating capabilities.</w:t>
            </w:r>
          </w:p>
        </w:tc>
      </w:tr>
    </w:tbl>
    <w:p w:rsidR="00DF2C4A" w:rsidRDefault="00B70B2B" w:rsidP="00873F96">
      <w:pPr>
        <w:pStyle w:val="Heading1"/>
        <w:pageBreakBefore w:val="0"/>
      </w:pPr>
      <w:bookmarkStart w:id="17" w:name="_Toc409702203"/>
      <w:bookmarkStart w:id="18" w:name="_Toc471221001"/>
      <w:r>
        <w:lastRenderedPageBreak/>
        <w:t xml:space="preserve">VSE </w:t>
      </w:r>
      <w:r w:rsidR="00DF2C4A">
        <w:t>User Guide</w:t>
      </w:r>
      <w:bookmarkEnd w:id="17"/>
      <w:bookmarkEnd w:id="18"/>
    </w:p>
    <w:p w:rsidR="00DF2C4A" w:rsidRDefault="00DF2C4A" w:rsidP="00DF2C4A">
      <w:pPr>
        <w:pStyle w:val="Heading2"/>
      </w:pPr>
      <w:bookmarkStart w:id="19" w:name="_Toc409702204"/>
      <w:bookmarkStart w:id="20" w:name="_Toc471221002"/>
      <w:r>
        <w:t>User Access Levels</w:t>
      </w:r>
      <w:bookmarkEnd w:id="19"/>
      <w:bookmarkEnd w:id="20"/>
    </w:p>
    <w:p w:rsidR="00DF2C4A" w:rsidRDefault="00DF2C4A" w:rsidP="00DF2C4A">
      <w:pPr>
        <w:pStyle w:val="BodyText"/>
      </w:pPr>
      <w:r w:rsidRPr="00B70B2B">
        <w:rPr>
          <w:i/>
        </w:rPr>
        <w:t>Section 2.</w:t>
      </w:r>
      <w:r w:rsidR="00B70B2B" w:rsidRPr="00B70B2B">
        <w:rPr>
          <w:i/>
        </w:rPr>
        <w:t>2: User Access Levels</w:t>
      </w:r>
      <w:r>
        <w:t xml:space="preserve"> of the </w:t>
      </w:r>
      <w:r w:rsidR="00B70B2B" w:rsidRPr="00B70B2B">
        <w:rPr>
          <w:i/>
        </w:rPr>
        <w:t xml:space="preserve">VSE </w:t>
      </w:r>
      <w:r w:rsidRPr="00B70B2B">
        <w:rPr>
          <w:i/>
        </w:rPr>
        <w:t>User Guide</w:t>
      </w:r>
      <w:r>
        <w:t xml:space="preserve"> describes the rights available through each of </w:t>
      </w:r>
      <w:r w:rsidR="00CE47CD">
        <w:t xml:space="preserve">the </w:t>
      </w:r>
      <w:r>
        <w:t>user access levels</w:t>
      </w:r>
      <w:r w:rsidR="00873F96">
        <w:t xml:space="preserve">. </w:t>
      </w:r>
      <w:r>
        <w:t>This information can be applied to Access Control AC-5, Separation of Duties, and AC-6, Least Privilege.</w:t>
      </w:r>
    </w:p>
    <w:p w:rsidR="00DF2C4A" w:rsidRDefault="00DF2C4A" w:rsidP="00DF2C4A">
      <w:pPr>
        <w:rPr>
          <w:sz w:val="24"/>
          <w:szCs w:val="20"/>
        </w:rPr>
      </w:pPr>
      <w:r>
        <w:br w:type="page"/>
      </w:r>
    </w:p>
    <w:p w:rsidR="00DF2C4A" w:rsidRPr="004F7FDE" w:rsidRDefault="00DF2C4A" w:rsidP="00DF2C4A">
      <w:pPr>
        <w:pStyle w:val="Heading1"/>
      </w:pPr>
      <w:bookmarkStart w:id="21" w:name="_Toc408922536"/>
      <w:bookmarkStart w:id="22" w:name="_Toc409702205"/>
      <w:bookmarkStart w:id="23" w:name="_Toc471221003"/>
      <w:r w:rsidRPr="004F7FDE">
        <w:lastRenderedPageBreak/>
        <w:t>Approval Signatures</w:t>
      </w:r>
      <w:bookmarkEnd w:id="21"/>
      <w:bookmarkEnd w:id="22"/>
      <w:bookmarkEnd w:id="23"/>
    </w:p>
    <w:p w:rsidR="00DF2C4A" w:rsidRPr="004F7FDE" w:rsidRDefault="001F4ED1" w:rsidP="008A7E2C">
      <w:pPr>
        <w:spacing w:before="1320" w:after="120"/>
        <w:rPr>
          <w:sz w:val="24"/>
          <w:szCs w:val="20"/>
        </w:rPr>
      </w:pPr>
      <w:r>
        <w:rPr>
          <w:sz w:val="24"/>
          <w:szCs w:val="20"/>
        </w:rPr>
        <w:t>__________</w:t>
      </w:r>
      <w:r>
        <w:rPr>
          <w:sz w:val="24"/>
          <w:szCs w:val="20"/>
        </w:rPr>
        <w:object w:dxaOrig="1531" w:dyaOrig="1004">
          <v:shape id="_x0000_i1026" type="#_x0000_t75" style="width:76.5pt;height:50.25pt" o:ole="">
            <v:imagedata r:id="rId14" o:title=""/>
          </v:shape>
          <o:OLEObject Type="Embed" ProgID="Package" ShapeID="_x0000_i1026" DrawAspect="Icon" ObjectID="_1548136115" r:id="rId15"/>
        </w:object>
      </w:r>
      <w:r w:rsidR="00DF2C4A" w:rsidRPr="004F7FDE">
        <w:rPr>
          <w:sz w:val="24"/>
          <w:szCs w:val="20"/>
        </w:rPr>
        <w:t xml:space="preserve">______________________________________________________ </w:t>
      </w:r>
    </w:p>
    <w:p w:rsidR="00DF2C4A" w:rsidRPr="004F7FDE" w:rsidRDefault="00647738" w:rsidP="00DF2C4A">
      <w:pPr>
        <w:tabs>
          <w:tab w:val="right" w:pos="9360"/>
        </w:tabs>
        <w:rPr>
          <w:sz w:val="24"/>
          <w:szCs w:val="20"/>
        </w:rPr>
      </w:pPr>
      <w:r>
        <w:rPr>
          <w:sz w:val="24"/>
          <w:szCs w:val="20"/>
        </w:rPr>
        <w:t>Debbie Malkovich</w:t>
      </w:r>
      <w:r w:rsidR="00DF2C4A">
        <w:rPr>
          <w:sz w:val="24"/>
          <w:szCs w:val="20"/>
        </w:rPr>
        <w:tab/>
      </w:r>
      <w:r w:rsidR="00DF2C4A" w:rsidRPr="004F7FDE">
        <w:rPr>
          <w:sz w:val="24"/>
          <w:szCs w:val="20"/>
        </w:rPr>
        <w:t>Date</w:t>
      </w:r>
    </w:p>
    <w:p w:rsidR="00DF2C4A" w:rsidRPr="00647738" w:rsidRDefault="00647738" w:rsidP="00DF2C4A">
      <w:pPr>
        <w:rPr>
          <w:sz w:val="24"/>
          <w:szCs w:val="20"/>
        </w:rPr>
      </w:pPr>
      <w:r w:rsidRPr="00647738">
        <w:rPr>
          <w:sz w:val="24"/>
          <w:szCs w:val="20"/>
        </w:rPr>
        <w:t>Scheduling Systems Program Manager</w:t>
      </w:r>
      <w:r w:rsidR="008A7E2C">
        <w:rPr>
          <w:sz w:val="24"/>
          <w:szCs w:val="20"/>
        </w:rPr>
        <w:t>, OVAC</w:t>
      </w:r>
    </w:p>
    <w:p w:rsidR="00DF2C4A" w:rsidRPr="004F7FDE" w:rsidRDefault="00DF2C4A" w:rsidP="00DF2C4A">
      <w:pPr>
        <w:rPr>
          <w:sz w:val="24"/>
          <w:szCs w:val="20"/>
        </w:rPr>
      </w:pPr>
      <w:r w:rsidRPr="004F7FDE">
        <w:rPr>
          <w:sz w:val="24"/>
          <w:szCs w:val="20"/>
        </w:rPr>
        <w:t xml:space="preserve">Business Sponsor </w:t>
      </w:r>
    </w:p>
    <w:p w:rsidR="00DF2C4A" w:rsidRPr="004F7FDE" w:rsidRDefault="00DF2C4A" w:rsidP="008A7E2C">
      <w:pPr>
        <w:spacing w:before="1320" w:after="120"/>
        <w:rPr>
          <w:sz w:val="24"/>
          <w:szCs w:val="20"/>
        </w:rPr>
      </w:pPr>
      <w:r w:rsidRPr="004F7FDE">
        <w:rPr>
          <w:sz w:val="24"/>
          <w:szCs w:val="20"/>
        </w:rPr>
        <w:t>______</w:t>
      </w:r>
      <w:r w:rsidR="001F4ED1">
        <w:rPr>
          <w:sz w:val="24"/>
          <w:szCs w:val="20"/>
        </w:rPr>
        <w:t>____________</w:t>
      </w:r>
      <w:bookmarkStart w:id="24" w:name="_GoBack"/>
      <w:bookmarkEnd w:id="24"/>
      <w:r w:rsidRPr="004F7FDE">
        <w:rPr>
          <w:sz w:val="24"/>
          <w:szCs w:val="20"/>
        </w:rPr>
        <w:t>_</w:t>
      </w:r>
      <w:r w:rsidR="001F4ED1">
        <w:rPr>
          <w:sz w:val="24"/>
          <w:szCs w:val="20"/>
        </w:rPr>
        <w:object w:dxaOrig="1531" w:dyaOrig="1004">
          <v:shape id="_x0000_i1027" type="#_x0000_t75" style="width:76.5pt;height:50.25pt" o:ole="">
            <v:imagedata r:id="rId16" o:title=""/>
          </v:shape>
          <o:OLEObject Type="Embed" ProgID="Package" ShapeID="_x0000_i1027" DrawAspect="Icon" ObjectID="_1548136116" r:id="rId17"/>
        </w:object>
      </w:r>
      <w:r w:rsidRPr="004F7FDE">
        <w:rPr>
          <w:sz w:val="24"/>
          <w:szCs w:val="20"/>
        </w:rPr>
        <w:t xml:space="preserve">_______________________________________ </w:t>
      </w:r>
    </w:p>
    <w:p w:rsidR="00DF2C4A" w:rsidRPr="004F7FDE" w:rsidRDefault="00CE47CD" w:rsidP="00DF2C4A">
      <w:pPr>
        <w:tabs>
          <w:tab w:val="right" w:pos="9360"/>
        </w:tabs>
        <w:rPr>
          <w:sz w:val="24"/>
          <w:szCs w:val="20"/>
        </w:rPr>
      </w:pPr>
      <w:r>
        <w:rPr>
          <w:sz w:val="24"/>
          <w:szCs w:val="20"/>
        </w:rPr>
        <w:t>Robert Schmidt</w:t>
      </w:r>
      <w:r w:rsidR="00DF2C4A" w:rsidRPr="004F7FDE">
        <w:rPr>
          <w:sz w:val="24"/>
          <w:szCs w:val="20"/>
        </w:rPr>
        <w:t xml:space="preserve"> </w:t>
      </w:r>
      <w:r w:rsidR="00DF2C4A">
        <w:rPr>
          <w:sz w:val="24"/>
          <w:szCs w:val="20"/>
        </w:rPr>
        <w:tab/>
      </w:r>
      <w:r w:rsidR="00DF2C4A" w:rsidRPr="004F7FDE">
        <w:rPr>
          <w:sz w:val="24"/>
          <w:szCs w:val="20"/>
        </w:rPr>
        <w:t>Date</w:t>
      </w:r>
    </w:p>
    <w:p w:rsidR="00DF2C4A" w:rsidRPr="004F7FDE" w:rsidRDefault="00F83C96" w:rsidP="008A7E2C">
      <w:pPr>
        <w:rPr>
          <w:sz w:val="24"/>
          <w:szCs w:val="20"/>
        </w:rPr>
      </w:pPr>
      <w:r>
        <w:rPr>
          <w:sz w:val="24"/>
          <w:szCs w:val="20"/>
        </w:rPr>
        <w:t>Project Manager/COR</w:t>
      </w:r>
    </w:p>
    <w:sectPr w:rsidR="00DF2C4A" w:rsidRPr="004F7FDE" w:rsidSect="00F036A8">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2A3" w:rsidRDefault="004C72A3">
      <w:r>
        <w:separator/>
      </w:r>
    </w:p>
    <w:p w:rsidR="004C72A3" w:rsidRDefault="004C72A3"/>
  </w:endnote>
  <w:endnote w:type="continuationSeparator" w:id="0">
    <w:p w:rsidR="004C72A3" w:rsidRDefault="004C72A3">
      <w:r>
        <w:continuationSeparator/>
      </w:r>
    </w:p>
    <w:p w:rsidR="004C72A3" w:rsidRDefault="004C7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C4A" w:rsidRDefault="00DF2C4A" w:rsidP="003F0D62">
    <w:pPr>
      <w:pStyle w:val="Footer"/>
      <w:rPr>
        <w:rStyle w:val="PageNumber"/>
      </w:rPr>
    </w:pPr>
    <w:r>
      <w:t>VistA Scheduling Enhancements (VSE)</w:t>
    </w:r>
    <w:r>
      <w:tab/>
    </w:r>
    <w:r>
      <w:rPr>
        <w:rStyle w:val="PageNumber"/>
      </w:rPr>
      <w:fldChar w:fldCharType="begin"/>
    </w:r>
    <w:r>
      <w:rPr>
        <w:rStyle w:val="PageNumber"/>
      </w:rPr>
      <w:instrText xml:space="preserve"> PAGE </w:instrText>
    </w:r>
    <w:r>
      <w:rPr>
        <w:rStyle w:val="PageNumber"/>
      </w:rPr>
      <w:fldChar w:fldCharType="separate"/>
    </w:r>
    <w:r w:rsidR="00647738">
      <w:rPr>
        <w:rStyle w:val="PageNumber"/>
        <w:noProof/>
      </w:rPr>
      <w:t>ii</w:t>
    </w:r>
    <w:r>
      <w:rPr>
        <w:rStyle w:val="PageNumber"/>
      </w:rPr>
      <w:fldChar w:fldCharType="end"/>
    </w:r>
    <w:r>
      <w:rPr>
        <w:rStyle w:val="PageNumber"/>
      </w:rPr>
      <w:tab/>
    </w:r>
    <w:r w:rsidR="00396DE9">
      <w:rPr>
        <w:rStyle w:val="PageNumber"/>
      </w:rPr>
      <w:t xml:space="preserve">December </w:t>
    </w:r>
    <w:r>
      <w:rPr>
        <w:rStyle w:val="PageNumber"/>
      </w:rPr>
      <w:t>201</w:t>
    </w:r>
    <w:r w:rsidR="0062414A">
      <w:rPr>
        <w:rStyle w:val="PageNumber"/>
      </w:rPr>
      <w:t>6</w:t>
    </w:r>
  </w:p>
  <w:p w:rsidR="00DF2C4A" w:rsidRPr="003F0D62" w:rsidRDefault="00873F96" w:rsidP="003F0D62">
    <w:pPr>
      <w:pStyle w:val="Footer"/>
      <w:rPr>
        <w:rStyle w:val="PageNumber"/>
      </w:rPr>
    </w:pPr>
    <w:r>
      <w:t xml:space="preserve">Security </w:t>
    </w:r>
    <w:r w:rsidR="00C13744">
      <w:t xml:space="preserve">Guide Update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5A" w:rsidRDefault="00E71A5A" w:rsidP="00E71A5A">
    <w:pPr>
      <w:pStyle w:val="Footer"/>
      <w:rPr>
        <w:rStyle w:val="PageNumber"/>
      </w:rPr>
    </w:pPr>
    <w:r>
      <w:t>VistA Scheduling Enhancements (VSE)</w:t>
    </w:r>
    <w:r>
      <w:tab/>
    </w:r>
    <w:r>
      <w:rPr>
        <w:rStyle w:val="PageNumber"/>
      </w:rPr>
      <w:fldChar w:fldCharType="begin"/>
    </w:r>
    <w:r>
      <w:rPr>
        <w:rStyle w:val="PageNumber"/>
      </w:rPr>
      <w:instrText xml:space="preserve"> PAGE </w:instrText>
    </w:r>
    <w:r>
      <w:rPr>
        <w:rStyle w:val="PageNumber"/>
      </w:rPr>
      <w:fldChar w:fldCharType="separate"/>
    </w:r>
    <w:r w:rsidR="001F4ED1">
      <w:rPr>
        <w:rStyle w:val="PageNumber"/>
        <w:noProof/>
      </w:rPr>
      <w:t>4</w:t>
    </w:r>
    <w:r>
      <w:rPr>
        <w:rStyle w:val="PageNumber"/>
      </w:rPr>
      <w:fldChar w:fldCharType="end"/>
    </w:r>
    <w:r>
      <w:rPr>
        <w:rStyle w:val="PageNumber"/>
      </w:rPr>
      <w:tab/>
    </w:r>
    <w:r w:rsidR="00396DE9">
      <w:rPr>
        <w:rStyle w:val="PageNumber"/>
      </w:rPr>
      <w:t xml:space="preserve">December </w:t>
    </w:r>
    <w:r>
      <w:rPr>
        <w:rStyle w:val="PageNumber"/>
      </w:rPr>
      <w:t>201</w:t>
    </w:r>
    <w:r w:rsidR="0062414A">
      <w:rPr>
        <w:rStyle w:val="PageNumber"/>
      </w:rPr>
      <w:t>6</w:t>
    </w:r>
  </w:p>
  <w:p w:rsidR="00922D53" w:rsidRPr="00FD2649" w:rsidRDefault="00E71A5A" w:rsidP="00FD2649">
    <w:pPr>
      <w:pStyle w:val="Footer"/>
      <w:rPr>
        <w:rStyle w:val="PageNumber"/>
      </w:rPr>
    </w:pPr>
    <w:r>
      <w:t xml:space="preserve">Security </w:t>
    </w:r>
    <w:r w:rsidR="00C13744">
      <w:t xml:space="preserve">Guide Update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2A3" w:rsidRDefault="004C72A3">
      <w:r>
        <w:separator/>
      </w:r>
    </w:p>
    <w:p w:rsidR="004C72A3" w:rsidRDefault="004C72A3"/>
  </w:footnote>
  <w:footnote w:type="continuationSeparator" w:id="0">
    <w:p w:rsidR="004C72A3" w:rsidRDefault="004C72A3">
      <w:r>
        <w:continuationSeparator/>
      </w:r>
    </w:p>
    <w:p w:rsidR="004C72A3" w:rsidRDefault="004C72A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4716FEC"/>
    <w:multiLevelType w:val="hybridMultilevel"/>
    <w:tmpl w:val="90EC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DE5175C"/>
    <w:multiLevelType w:val="hybridMultilevel"/>
    <w:tmpl w:val="A804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6B44BDC"/>
    <w:multiLevelType w:val="hybridMultilevel"/>
    <w:tmpl w:val="D1AA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2585F15"/>
    <w:multiLevelType w:val="hybridMultilevel"/>
    <w:tmpl w:val="F89A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nsid w:val="7B681714"/>
    <w:multiLevelType w:val="hybridMultilevel"/>
    <w:tmpl w:val="41F0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2"/>
  </w:num>
  <w:num w:numId="4">
    <w:abstractNumId w:val="23"/>
  </w:num>
  <w:num w:numId="5">
    <w:abstractNumId w:val="25"/>
  </w:num>
  <w:num w:numId="6">
    <w:abstractNumId w:val="15"/>
  </w:num>
  <w:num w:numId="7">
    <w:abstractNumId w:val="10"/>
  </w:num>
  <w:num w:numId="8">
    <w:abstractNumId w:val="7"/>
  </w:num>
  <w:num w:numId="9">
    <w:abstractNumId w:val="12"/>
  </w:num>
  <w:num w:numId="10">
    <w:abstractNumId w:val="14"/>
  </w:num>
  <w:num w:numId="11">
    <w:abstractNumId w:val="3"/>
  </w:num>
  <w:num w:numId="12">
    <w:abstractNumId w:val="11"/>
  </w:num>
  <w:num w:numId="13">
    <w:abstractNumId w:val="16"/>
  </w:num>
  <w:num w:numId="14">
    <w:abstractNumId w:val="13"/>
  </w:num>
  <w:num w:numId="15">
    <w:abstractNumId w:val="6"/>
  </w:num>
  <w:num w:numId="16">
    <w:abstractNumId w:val="9"/>
  </w:num>
  <w:num w:numId="17">
    <w:abstractNumId w:val="21"/>
  </w:num>
  <w:num w:numId="18">
    <w:abstractNumId w:val="1"/>
  </w:num>
  <w:num w:numId="19">
    <w:abstractNumId w:val="1"/>
  </w:num>
  <w:num w:numId="20">
    <w:abstractNumId w:val="18"/>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17"/>
  </w:num>
  <w:num w:numId="30">
    <w:abstractNumId w:val="24"/>
  </w:num>
  <w:num w:numId="31">
    <w:abstractNumId w:val="8"/>
  </w:num>
  <w:num w:numId="32">
    <w:abstractNumId w:val="22"/>
  </w:num>
  <w:num w:numId="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GrammaticalErrors/>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B69"/>
    <w:rsid w:val="0000189F"/>
    <w:rsid w:val="000063A7"/>
    <w:rsid w:val="0000675B"/>
    <w:rsid w:val="00006DB8"/>
    <w:rsid w:val="00010140"/>
    <w:rsid w:val="000114B6"/>
    <w:rsid w:val="00011EE6"/>
    <w:rsid w:val="0001226E"/>
    <w:rsid w:val="000171DA"/>
    <w:rsid w:val="000263BB"/>
    <w:rsid w:val="00030C06"/>
    <w:rsid w:val="0003559E"/>
    <w:rsid w:val="00040DCD"/>
    <w:rsid w:val="0004636C"/>
    <w:rsid w:val="000512B6"/>
    <w:rsid w:val="00051BC7"/>
    <w:rsid w:val="000715A9"/>
    <w:rsid w:val="00071609"/>
    <w:rsid w:val="0007778C"/>
    <w:rsid w:val="00086D68"/>
    <w:rsid w:val="0009184E"/>
    <w:rsid w:val="000939D4"/>
    <w:rsid w:val="000B23F8"/>
    <w:rsid w:val="000D2A67"/>
    <w:rsid w:val="000F3438"/>
    <w:rsid w:val="000F7DF6"/>
    <w:rsid w:val="00101B1F"/>
    <w:rsid w:val="0010320F"/>
    <w:rsid w:val="001035B9"/>
    <w:rsid w:val="00104399"/>
    <w:rsid w:val="0010664C"/>
    <w:rsid w:val="00107971"/>
    <w:rsid w:val="0012060D"/>
    <w:rsid w:val="00131A00"/>
    <w:rsid w:val="0014736E"/>
    <w:rsid w:val="00151087"/>
    <w:rsid w:val="001559D0"/>
    <w:rsid w:val="001574A4"/>
    <w:rsid w:val="00160824"/>
    <w:rsid w:val="00161ED8"/>
    <w:rsid w:val="001624C3"/>
    <w:rsid w:val="001645B5"/>
    <w:rsid w:val="00165AB8"/>
    <w:rsid w:val="00170E4B"/>
    <w:rsid w:val="00172D7F"/>
    <w:rsid w:val="00175C2D"/>
    <w:rsid w:val="00180235"/>
    <w:rsid w:val="00186009"/>
    <w:rsid w:val="001A3C5C"/>
    <w:rsid w:val="001A75D9"/>
    <w:rsid w:val="001C6D26"/>
    <w:rsid w:val="001C725D"/>
    <w:rsid w:val="001D3222"/>
    <w:rsid w:val="001D6650"/>
    <w:rsid w:val="001E4B39"/>
    <w:rsid w:val="001F4ED1"/>
    <w:rsid w:val="002114EB"/>
    <w:rsid w:val="00217034"/>
    <w:rsid w:val="002273CA"/>
    <w:rsid w:val="00234111"/>
    <w:rsid w:val="00252BD5"/>
    <w:rsid w:val="00256419"/>
    <w:rsid w:val="00256F04"/>
    <w:rsid w:val="00266D60"/>
    <w:rsid w:val="00280A53"/>
    <w:rsid w:val="00282EDE"/>
    <w:rsid w:val="00284760"/>
    <w:rsid w:val="00292B10"/>
    <w:rsid w:val="002A0C8C"/>
    <w:rsid w:val="002A2EE5"/>
    <w:rsid w:val="002A4177"/>
    <w:rsid w:val="002A4907"/>
    <w:rsid w:val="002C6335"/>
    <w:rsid w:val="002D0C49"/>
    <w:rsid w:val="002D1B52"/>
    <w:rsid w:val="002D5204"/>
    <w:rsid w:val="002E1D8C"/>
    <w:rsid w:val="002E751D"/>
    <w:rsid w:val="002F0076"/>
    <w:rsid w:val="002F0D61"/>
    <w:rsid w:val="002F5410"/>
    <w:rsid w:val="00303850"/>
    <w:rsid w:val="003110DB"/>
    <w:rsid w:val="003118BD"/>
    <w:rsid w:val="00314B90"/>
    <w:rsid w:val="0032241E"/>
    <w:rsid w:val="003224BE"/>
    <w:rsid w:val="00326966"/>
    <w:rsid w:val="003417C9"/>
    <w:rsid w:val="00342E0C"/>
    <w:rsid w:val="00346959"/>
    <w:rsid w:val="00346B69"/>
    <w:rsid w:val="00353152"/>
    <w:rsid w:val="003565ED"/>
    <w:rsid w:val="003643B8"/>
    <w:rsid w:val="00372700"/>
    <w:rsid w:val="00376DD4"/>
    <w:rsid w:val="00382E81"/>
    <w:rsid w:val="003865AE"/>
    <w:rsid w:val="00392B05"/>
    <w:rsid w:val="00396DE9"/>
    <w:rsid w:val="003B6DC8"/>
    <w:rsid w:val="003C2662"/>
    <w:rsid w:val="003C7B01"/>
    <w:rsid w:val="003D19A8"/>
    <w:rsid w:val="003D59EF"/>
    <w:rsid w:val="003D7EA1"/>
    <w:rsid w:val="003E1F9E"/>
    <w:rsid w:val="003F0D62"/>
    <w:rsid w:val="003F30DB"/>
    <w:rsid w:val="003F4789"/>
    <w:rsid w:val="004145D9"/>
    <w:rsid w:val="00423003"/>
    <w:rsid w:val="00423A58"/>
    <w:rsid w:val="00433816"/>
    <w:rsid w:val="00440A78"/>
    <w:rsid w:val="004443FC"/>
    <w:rsid w:val="00445BF7"/>
    <w:rsid w:val="00451181"/>
    <w:rsid w:val="00452DB6"/>
    <w:rsid w:val="00457C74"/>
    <w:rsid w:val="00467F6F"/>
    <w:rsid w:val="0047075C"/>
    <w:rsid w:val="00474BBC"/>
    <w:rsid w:val="0048016C"/>
    <w:rsid w:val="0048455F"/>
    <w:rsid w:val="004849B1"/>
    <w:rsid w:val="004929C8"/>
    <w:rsid w:val="0049571D"/>
    <w:rsid w:val="004A28E1"/>
    <w:rsid w:val="004B64EC"/>
    <w:rsid w:val="004C72A3"/>
    <w:rsid w:val="004D1F3B"/>
    <w:rsid w:val="004D3CB7"/>
    <w:rsid w:val="004D3FB6"/>
    <w:rsid w:val="004D5CD2"/>
    <w:rsid w:val="004F0FB3"/>
    <w:rsid w:val="004F1A37"/>
    <w:rsid w:val="004F3A80"/>
    <w:rsid w:val="004F7FDE"/>
    <w:rsid w:val="00504BC1"/>
    <w:rsid w:val="005100F6"/>
    <w:rsid w:val="00510914"/>
    <w:rsid w:val="00515F2A"/>
    <w:rsid w:val="00527B5C"/>
    <w:rsid w:val="00530D34"/>
    <w:rsid w:val="00531CD9"/>
    <w:rsid w:val="005327F9"/>
    <w:rsid w:val="00532B92"/>
    <w:rsid w:val="00543E06"/>
    <w:rsid w:val="00554B8F"/>
    <w:rsid w:val="00557FBA"/>
    <w:rsid w:val="00560721"/>
    <w:rsid w:val="00561EC0"/>
    <w:rsid w:val="005647C7"/>
    <w:rsid w:val="00566D6A"/>
    <w:rsid w:val="00572E05"/>
    <w:rsid w:val="00575CFA"/>
    <w:rsid w:val="00576377"/>
    <w:rsid w:val="00577B5B"/>
    <w:rsid w:val="00584F2F"/>
    <w:rsid w:val="00585881"/>
    <w:rsid w:val="00594383"/>
    <w:rsid w:val="005A1C16"/>
    <w:rsid w:val="005A722B"/>
    <w:rsid w:val="005B7CDD"/>
    <w:rsid w:val="005D18C5"/>
    <w:rsid w:val="005D3B22"/>
    <w:rsid w:val="005D48A0"/>
    <w:rsid w:val="005E2AF9"/>
    <w:rsid w:val="00600235"/>
    <w:rsid w:val="00606743"/>
    <w:rsid w:val="00614A5E"/>
    <w:rsid w:val="00620BFA"/>
    <w:rsid w:val="0062414A"/>
    <w:rsid w:val="006244C7"/>
    <w:rsid w:val="00642849"/>
    <w:rsid w:val="0064769E"/>
    <w:rsid w:val="00647738"/>
    <w:rsid w:val="00647B03"/>
    <w:rsid w:val="0065443F"/>
    <w:rsid w:val="006568FF"/>
    <w:rsid w:val="0066022A"/>
    <w:rsid w:val="00663B92"/>
    <w:rsid w:val="00665BF6"/>
    <w:rsid w:val="006670D2"/>
    <w:rsid w:val="00667B40"/>
    <w:rsid w:val="00667E47"/>
    <w:rsid w:val="00677451"/>
    <w:rsid w:val="00680463"/>
    <w:rsid w:val="00680563"/>
    <w:rsid w:val="00691431"/>
    <w:rsid w:val="006A0FC5"/>
    <w:rsid w:val="006A20A1"/>
    <w:rsid w:val="006A7603"/>
    <w:rsid w:val="006B075D"/>
    <w:rsid w:val="006C74F4"/>
    <w:rsid w:val="006C7ACD"/>
    <w:rsid w:val="006D4142"/>
    <w:rsid w:val="006D68DA"/>
    <w:rsid w:val="006E32E0"/>
    <w:rsid w:val="006E5523"/>
    <w:rsid w:val="006F3EEB"/>
    <w:rsid w:val="006F6D65"/>
    <w:rsid w:val="0071027D"/>
    <w:rsid w:val="00714730"/>
    <w:rsid w:val="00715F75"/>
    <w:rsid w:val="007238FF"/>
    <w:rsid w:val="0072569B"/>
    <w:rsid w:val="00725C30"/>
    <w:rsid w:val="0073078F"/>
    <w:rsid w:val="007316E5"/>
    <w:rsid w:val="00736B0D"/>
    <w:rsid w:val="00742D4B"/>
    <w:rsid w:val="00744F0F"/>
    <w:rsid w:val="00750FDE"/>
    <w:rsid w:val="007537E2"/>
    <w:rsid w:val="00762B56"/>
    <w:rsid w:val="00763DBB"/>
    <w:rsid w:val="007654AB"/>
    <w:rsid w:val="00765E89"/>
    <w:rsid w:val="00767528"/>
    <w:rsid w:val="007809A2"/>
    <w:rsid w:val="00781144"/>
    <w:rsid w:val="007864FA"/>
    <w:rsid w:val="0078769E"/>
    <w:rsid w:val="007926DE"/>
    <w:rsid w:val="00793809"/>
    <w:rsid w:val="007A39CC"/>
    <w:rsid w:val="007A6696"/>
    <w:rsid w:val="007B3D18"/>
    <w:rsid w:val="007B5233"/>
    <w:rsid w:val="007B65D7"/>
    <w:rsid w:val="007C0B4B"/>
    <w:rsid w:val="007C2637"/>
    <w:rsid w:val="007E05D4"/>
    <w:rsid w:val="007E4370"/>
    <w:rsid w:val="007F32B8"/>
    <w:rsid w:val="007F767C"/>
    <w:rsid w:val="00801B32"/>
    <w:rsid w:val="00806E2E"/>
    <w:rsid w:val="008159EE"/>
    <w:rsid w:val="00821FD9"/>
    <w:rsid w:val="008241A1"/>
    <w:rsid w:val="00825350"/>
    <w:rsid w:val="008308C2"/>
    <w:rsid w:val="00835964"/>
    <w:rsid w:val="0084104B"/>
    <w:rsid w:val="00845BB9"/>
    <w:rsid w:val="00847214"/>
    <w:rsid w:val="00851248"/>
    <w:rsid w:val="00851812"/>
    <w:rsid w:val="00856A08"/>
    <w:rsid w:val="00863B21"/>
    <w:rsid w:val="00871E3C"/>
    <w:rsid w:val="00873F96"/>
    <w:rsid w:val="0088044F"/>
    <w:rsid w:val="00880C3D"/>
    <w:rsid w:val="008831EB"/>
    <w:rsid w:val="00886638"/>
    <w:rsid w:val="00887D77"/>
    <w:rsid w:val="008A1731"/>
    <w:rsid w:val="008A3CB9"/>
    <w:rsid w:val="008A4AE4"/>
    <w:rsid w:val="008A783A"/>
    <w:rsid w:val="008A7E2C"/>
    <w:rsid w:val="008C2304"/>
    <w:rsid w:val="008C4576"/>
    <w:rsid w:val="008D191D"/>
    <w:rsid w:val="008E3EF4"/>
    <w:rsid w:val="008E661A"/>
    <w:rsid w:val="008F018E"/>
    <w:rsid w:val="008F298E"/>
    <w:rsid w:val="008F43AA"/>
    <w:rsid w:val="009011D4"/>
    <w:rsid w:val="00901D12"/>
    <w:rsid w:val="00904613"/>
    <w:rsid w:val="00906711"/>
    <w:rsid w:val="009071B9"/>
    <w:rsid w:val="0091156A"/>
    <w:rsid w:val="00922D53"/>
    <w:rsid w:val="00941C00"/>
    <w:rsid w:val="009453C1"/>
    <w:rsid w:val="00947AE3"/>
    <w:rsid w:val="0095133D"/>
    <w:rsid w:val="00961FED"/>
    <w:rsid w:val="00963E0E"/>
    <w:rsid w:val="00967C1C"/>
    <w:rsid w:val="009763BD"/>
    <w:rsid w:val="00984DA0"/>
    <w:rsid w:val="00986D82"/>
    <w:rsid w:val="00991613"/>
    <w:rsid w:val="009921F2"/>
    <w:rsid w:val="00996E0A"/>
    <w:rsid w:val="009976DD"/>
    <w:rsid w:val="009A0140"/>
    <w:rsid w:val="009A09A6"/>
    <w:rsid w:val="009B1957"/>
    <w:rsid w:val="009B3CD1"/>
    <w:rsid w:val="009B4743"/>
    <w:rsid w:val="009C4C5F"/>
    <w:rsid w:val="009C53F3"/>
    <w:rsid w:val="009D368C"/>
    <w:rsid w:val="009D4125"/>
    <w:rsid w:val="009E1502"/>
    <w:rsid w:val="009E67B2"/>
    <w:rsid w:val="009F5E75"/>
    <w:rsid w:val="009F77D2"/>
    <w:rsid w:val="00A04018"/>
    <w:rsid w:val="00A0550C"/>
    <w:rsid w:val="00A05CA6"/>
    <w:rsid w:val="00A136DC"/>
    <w:rsid w:val="00A149C0"/>
    <w:rsid w:val="00A24CF9"/>
    <w:rsid w:val="00A43AA1"/>
    <w:rsid w:val="00A753C8"/>
    <w:rsid w:val="00A83D56"/>
    <w:rsid w:val="00A83EB5"/>
    <w:rsid w:val="00A87F24"/>
    <w:rsid w:val="00AA0F64"/>
    <w:rsid w:val="00AA337E"/>
    <w:rsid w:val="00AA6982"/>
    <w:rsid w:val="00AA7363"/>
    <w:rsid w:val="00AB173C"/>
    <w:rsid w:val="00AB177C"/>
    <w:rsid w:val="00AB2C7C"/>
    <w:rsid w:val="00AC2D7E"/>
    <w:rsid w:val="00AD074D"/>
    <w:rsid w:val="00AD2556"/>
    <w:rsid w:val="00AD4E85"/>
    <w:rsid w:val="00AD50AE"/>
    <w:rsid w:val="00AE0630"/>
    <w:rsid w:val="00AE15B7"/>
    <w:rsid w:val="00B04771"/>
    <w:rsid w:val="00B140A4"/>
    <w:rsid w:val="00B24CE8"/>
    <w:rsid w:val="00B254C3"/>
    <w:rsid w:val="00B43397"/>
    <w:rsid w:val="00B470C6"/>
    <w:rsid w:val="00B61012"/>
    <w:rsid w:val="00B667B2"/>
    <w:rsid w:val="00B6706C"/>
    <w:rsid w:val="00B70B2B"/>
    <w:rsid w:val="00B725E5"/>
    <w:rsid w:val="00B811B1"/>
    <w:rsid w:val="00B83F9C"/>
    <w:rsid w:val="00B84AAD"/>
    <w:rsid w:val="00B859DB"/>
    <w:rsid w:val="00B8745A"/>
    <w:rsid w:val="00B92868"/>
    <w:rsid w:val="00B959D1"/>
    <w:rsid w:val="00BB52EE"/>
    <w:rsid w:val="00BC2D41"/>
    <w:rsid w:val="00BE7AD9"/>
    <w:rsid w:val="00BF1EB7"/>
    <w:rsid w:val="00BF2C5A"/>
    <w:rsid w:val="00C033C1"/>
    <w:rsid w:val="00C03950"/>
    <w:rsid w:val="00C04FBA"/>
    <w:rsid w:val="00C13654"/>
    <w:rsid w:val="00C13744"/>
    <w:rsid w:val="00C206A5"/>
    <w:rsid w:val="00C35CC7"/>
    <w:rsid w:val="00C36612"/>
    <w:rsid w:val="00C36ED5"/>
    <w:rsid w:val="00C3721E"/>
    <w:rsid w:val="00C37EB4"/>
    <w:rsid w:val="00C44C32"/>
    <w:rsid w:val="00C44E3B"/>
    <w:rsid w:val="00C54796"/>
    <w:rsid w:val="00C64F38"/>
    <w:rsid w:val="00C84F82"/>
    <w:rsid w:val="00C93BF9"/>
    <w:rsid w:val="00C946FE"/>
    <w:rsid w:val="00C96FD1"/>
    <w:rsid w:val="00CA1477"/>
    <w:rsid w:val="00CA5DF5"/>
    <w:rsid w:val="00CB2A72"/>
    <w:rsid w:val="00CC439B"/>
    <w:rsid w:val="00CD32A6"/>
    <w:rsid w:val="00CD4F2E"/>
    <w:rsid w:val="00CE47CD"/>
    <w:rsid w:val="00CE61F4"/>
    <w:rsid w:val="00CF08BF"/>
    <w:rsid w:val="00CF0DE8"/>
    <w:rsid w:val="00CF5A24"/>
    <w:rsid w:val="00D008F5"/>
    <w:rsid w:val="00D3172E"/>
    <w:rsid w:val="00D3642C"/>
    <w:rsid w:val="00D41E05"/>
    <w:rsid w:val="00D43778"/>
    <w:rsid w:val="00D4529D"/>
    <w:rsid w:val="00D60C86"/>
    <w:rsid w:val="00D672E7"/>
    <w:rsid w:val="00D713C8"/>
    <w:rsid w:val="00D71B75"/>
    <w:rsid w:val="00D83562"/>
    <w:rsid w:val="00D87E85"/>
    <w:rsid w:val="00D93822"/>
    <w:rsid w:val="00D957C8"/>
    <w:rsid w:val="00DA7E40"/>
    <w:rsid w:val="00DB4A3F"/>
    <w:rsid w:val="00DC13CA"/>
    <w:rsid w:val="00DC3FD5"/>
    <w:rsid w:val="00DC49E2"/>
    <w:rsid w:val="00DC5861"/>
    <w:rsid w:val="00DD565E"/>
    <w:rsid w:val="00DD6972"/>
    <w:rsid w:val="00DE37FC"/>
    <w:rsid w:val="00DF0712"/>
    <w:rsid w:val="00DF2C4A"/>
    <w:rsid w:val="00DF6735"/>
    <w:rsid w:val="00E02B61"/>
    <w:rsid w:val="00E03070"/>
    <w:rsid w:val="00E03F2F"/>
    <w:rsid w:val="00E14BCB"/>
    <w:rsid w:val="00E2245D"/>
    <w:rsid w:val="00E2381D"/>
    <w:rsid w:val="00E24621"/>
    <w:rsid w:val="00E2463A"/>
    <w:rsid w:val="00E319D1"/>
    <w:rsid w:val="00E3221B"/>
    <w:rsid w:val="00E3386A"/>
    <w:rsid w:val="00E47D1B"/>
    <w:rsid w:val="00E54302"/>
    <w:rsid w:val="00E54E10"/>
    <w:rsid w:val="00E57CF1"/>
    <w:rsid w:val="00E648C4"/>
    <w:rsid w:val="00E71017"/>
    <w:rsid w:val="00E71A5A"/>
    <w:rsid w:val="00E773E8"/>
    <w:rsid w:val="00E9007C"/>
    <w:rsid w:val="00E96B4B"/>
    <w:rsid w:val="00EA1C70"/>
    <w:rsid w:val="00EA4B53"/>
    <w:rsid w:val="00EA6E32"/>
    <w:rsid w:val="00EB45EC"/>
    <w:rsid w:val="00EB4A1D"/>
    <w:rsid w:val="00EB771E"/>
    <w:rsid w:val="00EB7F5F"/>
    <w:rsid w:val="00EC0593"/>
    <w:rsid w:val="00EC1ED8"/>
    <w:rsid w:val="00EC51AF"/>
    <w:rsid w:val="00ED4712"/>
    <w:rsid w:val="00ED699D"/>
    <w:rsid w:val="00EE4C2A"/>
    <w:rsid w:val="00EF0C86"/>
    <w:rsid w:val="00EF39F6"/>
    <w:rsid w:val="00F036A8"/>
    <w:rsid w:val="00F15310"/>
    <w:rsid w:val="00F214A8"/>
    <w:rsid w:val="00F21A15"/>
    <w:rsid w:val="00F225AF"/>
    <w:rsid w:val="00F243F5"/>
    <w:rsid w:val="00F33DEC"/>
    <w:rsid w:val="00F361F8"/>
    <w:rsid w:val="00F4062E"/>
    <w:rsid w:val="00F40BA7"/>
    <w:rsid w:val="00F4182E"/>
    <w:rsid w:val="00F41862"/>
    <w:rsid w:val="00F5014A"/>
    <w:rsid w:val="00F524D9"/>
    <w:rsid w:val="00F527C1"/>
    <w:rsid w:val="00F54831"/>
    <w:rsid w:val="00F575A8"/>
    <w:rsid w:val="00F57F42"/>
    <w:rsid w:val="00F601FD"/>
    <w:rsid w:val="00F6698D"/>
    <w:rsid w:val="00F7216E"/>
    <w:rsid w:val="00F73A10"/>
    <w:rsid w:val="00F741A0"/>
    <w:rsid w:val="00F83C96"/>
    <w:rsid w:val="00F866E3"/>
    <w:rsid w:val="00F879AC"/>
    <w:rsid w:val="00F87BC1"/>
    <w:rsid w:val="00F91A26"/>
    <w:rsid w:val="00F92A0B"/>
    <w:rsid w:val="00F94C8A"/>
    <w:rsid w:val="00F9794C"/>
    <w:rsid w:val="00FA1BF4"/>
    <w:rsid w:val="00FA25B6"/>
    <w:rsid w:val="00FA2999"/>
    <w:rsid w:val="00FA5B5C"/>
    <w:rsid w:val="00FA5EDC"/>
    <w:rsid w:val="00FD2649"/>
    <w:rsid w:val="00FD5C13"/>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TableofFigures">
    <w:name w:val="table of figures"/>
    <w:basedOn w:val="Normal"/>
    <w:next w:val="Normal"/>
    <w:uiPriority w:val="99"/>
    <w:unhideWhenUsed/>
    <w:rsid w:val="00DF2C4A"/>
  </w:style>
  <w:style w:type="paragraph" w:styleId="Revision">
    <w:name w:val="Revision"/>
    <w:hidden/>
    <w:uiPriority w:val="99"/>
    <w:semiHidden/>
    <w:rsid w:val="00557FBA"/>
    <w:rPr>
      <w:sz w:val="22"/>
      <w:szCs w:val="24"/>
    </w:rPr>
  </w:style>
  <w:style w:type="paragraph" w:styleId="ListParagraph">
    <w:name w:val="List Paragraph"/>
    <w:basedOn w:val="Normal"/>
    <w:uiPriority w:val="34"/>
    <w:qFormat/>
    <w:rsid w:val="00557FBA"/>
    <w:pPr>
      <w:ind w:left="720"/>
      <w:contextualSpacing/>
    </w:pPr>
  </w:style>
  <w:style w:type="paragraph" w:styleId="TOCHeading">
    <w:name w:val="TOC Heading"/>
    <w:basedOn w:val="Heading1"/>
    <w:next w:val="Normal"/>
    <w:uiPriority w:val="39"/>
    <w:semiHidden/>
    <w:unhideWhenUsed/>
    <w:qFormat/>
    <w:rsid w:val="002A4177"/>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TableofFigures">
    <w:name w:val="table of figures"/>
    <w:basedOn w:val="Normal"/>
    <w:next w:val="Normal"/>
    <w:uiPriority w:val="99"/>
    <w:unhideWhenUsed/>
    <w:rsid w:val="00DF2C4A"/>
  </w:style>
  <w:style w:type="paragraph" w:styleId="Revision">
    <w:name w:val="Revision"/>
    <w:hidden/>
    <w:uiPriority w:val="99"/>
    <w:semiHidden/>
    <w:rsid w:val="00557FBA"/>
    <w:rPr>
      <w:sz w:val="22"/>
      <w:szCs w:val="24"/>
    </w:rPr>
  </w:style>
  <w:style w:type="paragraph" w:styleId="ListParagraph">
    <w:name w:val="List Paragraph"/>
    <w:basedOn w:val="Normal"/>
    <w:uiPriority w:val="34"/>
    <w:qFormat/>
    <w:rsid w:val="00557FBA"/>
    <w:pPr>
      <w:ind w:left="720"/>
      <w:contextualSpacing/>
    </w:pPr>
  </w:style>
  <w:style w:type="paragraph" w:styleId="TOCHeading">
    <w:name w:val="TOC Heading"/>
    <w:basedOn w:val="Heading1"/>
    <w:next w:val="Normal"/>
    <w:uiPriority w:val="39"/>
    <w:semiHidden/>
    <w:unhideWhenUsed/>
    <w:qFormat/>
    <w:rsid w:val="002A4177"/>
    <w:pPr>
      <w:keepLines/>
      <w:pageBreakBefore w:val="0"/>
      <w:numPr>
        <w:numId w:val="0"/>
      </w:numPr>
      <w:tabs>
        <w:tab w:val="clear" w:pos="72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8996">
      <w:bodyDiv w:val="1"/>
      <w:marLeft w:val="0"/>
      <w:marRight w:val="0"/>
      <w:marTop w:val="0"/>
      <w:marBottom w:val="0"/>
      <w:divBdr>
        <w:top w:val="none" w:sz="0" w:space="0" w:color="auto"/>
        <w:left w:val="none" w:sz="0" w:space="0" w:color="auto"/>
        <w:bottom w:val="none" w:sz="0" w:space="0" w:color="auto"/>
        <w:right w:val="none" w:sz="0" w:space="0" w:color="auto"/>
      </w:divBdr>
    </w:div>
    <w:div w:id="110299647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952785633">
      <w:bodyDiv w:val="1"/>
      <w:marLeft w:val="0"/>
      <w:marRight w:val="0"/>
      <w:marTop w:val="0"/>
      <w:marBottom w:val="0"/>
      <w:divBdr>
        <w:top w:val="none" w:sz="0" w:space="0" w:color="auto"/>
        <w:left w:val="none" w:sz="0" w:space="0" w:color="auto"/>
        <w:bottom w:val="none" w:sz="0" w:space="0" w:color="auto"/>
        <w:right w:val="none" w:sz="0" w:space="0" w:color="auto"/>
      </w:divBdr>
    </w:div>
    <w:div w:id="211428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aacmericf\Documents\Personal\HP%20VistA%20Support\Enhanc%201-2%20docs\Security%20Guide%20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FA357CFE36DC4385BF598318605989" ma:contentTypeVersion="0" ma:contentTypeDescription="Create a new document." ma:contentTypeScope="" ma:versionID="471219a89a6835b103690f3df44095a0">
  <xsd:schema xmlns:xsd="http://www.w3.org/2001/XMLSchema" xmlns:xs="http://www.w3.org/2001/XMLSchema" xmlns:p="http://schemas.microsoft.com/office/2006/metadata/properties" targetNamespace="http://schemas.microsoft.com/office/2006/metadata/properties" ma:root="true" ma:fieldsID="0aad3de0140b0ca4ba45ebda471d9c4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804C6-5CEF-4768-B0C3-AE360362EE54}">
  <ds:schemaRefs>
    <ds:schemaRef ds:uri="http://schemas.microsoft.com/sharepoint/v3/contenttype/forms"/>
  </ds:schemaRefs>
</ds:datastoreItem>
</file>

<file path=customXml/itemProps2.xml><?xml version="1.0" encoding="utf-8"?>
<ds:datastoreItem xmlns:ds="http://schemas.openxmlformats.org/officeDocument/2006/customXml" ds:itemID="{46594165-502E-4147-B8F1-D3B19E0E5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3459CC-A218-4EDD-BD86-F0F8D2033569}">
  <ds:schemaRefs>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F97765F9-A647-404E-B63D-64B7856C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Security Guide artifact_template</Template>
  <TotalTime>0</TotalTime>
  <Pages>7</Pages>
  <Words>764</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VSE Security Guide Update</vt:lpstr>
    </vt:vector>
  </TitlesOfParts>
  <LinksUpToDate>false</LinksUpToDate>
  <CharactersWithSpaces>5759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VSE Security Guide Update</dc:title>
  <dc:creator/>
  <cp:lastModifiedBy/>
  <cp:revision>1</cp:revision>
  <dcterms:created xsi:type="dcterms:W3CDTF">2017-01-03T20:16:00Z</dcterms:created>
  <dcterms:modified xsi:type="dcterms:W3CDTF">2017-02-09T14:02:00Z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ProPath Process ID">
    <vt:lpwstr>2</vt:lpwstr>
  </property>
  <property fmtid="{D5CDD505-2E9C-101B-9397-08002B2CF9AE}" pid="4" name="Action Requested">
    <vt:lpwstr>No Action Required</vt:lpwstr>
  </property>
  <property fmtid="{D5CDD505-2E9C-101B-9397-08002B2CF9AE}" pid="5" name="_dlc_DocIdItemGuid">
    <vt:lpwstr>cbbd61b9-ddea-4135-9df4-d75cbf607ee8</vt:lpwstr>
  </property>
  <property fmtid="{D5CDD505-2E9C-101B-9397-08002B2CF9AE}" pid="6" name="Reviewed at Milestone (Multi-Select)">
    <vt:lpwstr>;#None;#</vt:lpwstr>
  </property>
  <property fmtid="{D5CDD505-2E9C-101B-9397-08002B2CF9AE}" pid="7" name="Required for National Release">
    <vt:lpwstr>true</vt:lpwstr>
  </property>
  <property fmtid="{D5CDD505-2E9C-101B-9397-08002B2CF9AE}" pid="8"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9" name="Public Storage Location">
    <vt:lpwstr>1</vt:lpwstr>
  </property>
  <property fmtid="{D5CDD505-2E9C-101B-9397-08002B2CF9AE}" pid="10" name="Version Control Storage Location">
    <vt:lpwstr>2</vt:lpwstr>
  </property>
  <property fmtid="{D5CDD505-2E9C-101B-9397-08002B2CF9AE}" pid="11" name="_dlc_DocId">
    <vt:lpwstr>657KNE7CTRDA-583-12528</vt:lpwstr>
  </property>
  <property fmtid="{D5CDD505-2E9C-101B-9397-08002B2CF9AE}" pid="12" name="Artifact Owner">
    <vt:lpwstr>22</vt:lpwstr>
  </property>
  <property fmtid="{D5CDD505-2E9C-101B-9397-08002B2CF9AE}" pid="13" name="Process ID">
    <vt:lpwstr>2272416153318103917</vt:lpwstr>
  </property>
  <property fmtid="{D5CDD505-2E9C-101B-9397-08002B2CF9AE}" pid="14" name="Add to VOA">
    <vt:lpwstr>Yes</vt:lpwstr>
  </property>
  <property fmtid="{D5CDD505-2E9C-101B-9397-08002B2CF9AE}" pid="15" name="Status">
    <vt:lpwstr>Active</vt:lpwstr>
  </property>
  <property fmtid="{D5CDD505-2E9C-101B-9397-08002B2CF9AE}" pid="16" name="_dlc_DocIdUrl">
    <vt:lpwstr>http://vaww.oed.portal.va.gov/administration/Process/_layouts/DocIdRedir.aspx?ID=657KNE7CTRDA-583-12528657KNE7CTRDA-583-12528</vt:lpwstr>
  </property>
  <property fmtid="{D5CDD505-2E9C-101B-9397-08002B2CF9AE}" pid="17" name="Required by Operational Readiness">
    <vt:lpwstr>true</vt:lpwstr>
  </property>
  <property fmtid="{D5CDD505-2E9C-101B-9397-08002B2CF9AE}" pid="18" name="PMAS Milestone Required">
    <vt:lpwstr>MS 2</vt:lpwstr>
  </property>
  <property fmtid="{D5CDD505-2E9C-101B-9397-08002B2CF9AE}" pid="19" name="Required for Assessment and Authorizatio">
    <vt:lpwstr>true</vt:lpwstr>
  </property>
  <property fmtid="{D5CDD505-2E9C-101B-9397-08002B2CF9AE}" pid="20" name="Contributors">
    <vt:lpwstr>VA PMAS Business Office34624</vt:lpwstr>
  </property>
  <property fmtid="{D5CDD505-2E9C-101B-9397-08002B2CF9AE}" pid="21" name="Replaced By">
    <vt:lpwstr>, </vt:lpwstr>
  </property>
  <property fmtid="{D5CDD505-2E9C-101B-9397-08002B2CF9AE}" pid="22" name="Required by National Release">
    <vt:bool>false</vt:bool>
  </property>
  <property fmtid="{D5CDD505-2E9C-101B-9397-08002B2CF9AE}" pid="23" name="Required by Independent Testing">
    <vt:bool>false</vt:bool>
  </property>
  <property fmtid="{D5CDD505-2E9C-101B-9397-08002B2CF9AE}" pid="24" name="Required for Operational Readiness Review">
    <vt:bool>false</vt:bool>
  </property>
  <property fmtid="{D5CDD505-2E9C-101B-9397-08002B2CF9AE}" pid="25" name="Required by PMAS">
    <vt:bool>false</vt:bool>
  </property>
  <property fmtid="{D5CDD505-2E9C-101B-9397-08002B2CF9AE}" pid="26" name="Required by VHA Release Management">
    <vt:bool>false</vt:bool>
  </property>
  <property fmtid="{D5CDD505-2E9C-101B-9397-08002B2CF9AE}" pid="27" name="Required for Assessment and Authorization">
    <vt:bool>false</vt:bool>
  </property>
  <property fmtid="{D5CDD505-2E9C-101B-9397-08002B2CF9AE}" pid="28" name="Required by Enterprise Operations">
    <vt:bool>false</vt:bool>
  </property>
  <property fmtid="{D5CDD505-2E9C-101B-9397-08002B2CF9AE}" pid="29" name="ContentTypeId">
    <vt:lpwstr>0x01010014FA357CFE36DC4385BF598318605989</vt:lpwstr>
  </property>
</Properties>
</file>