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0CBF5FF5" w:rsidR="00DB33BD" w:rsidRPr="009630C7" w:rsidRDefault="00DB33BD" w:rsidP="009630C7">
      <w:pPr>
        <w:pStyle w:val="Title2"/>
      </w:pPr>
      <w:r w:rsidRPr="009630C7">
        <w:t xml:space="preserve">Revised </w:t>
      </w:r>
      <w:r w:rsidR="007229D3">
        <w:t>August</w:t>
      </w:r>
      <w:r w:rsidR="00A55379">
        <w:t xml:space="preserve"> </w:t>
      </w:r>
      <w:r w:rsidR="00953735">
        <w:t>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55379"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41A23FD2" w:rsidR="00A55379" w:rsidRDefault="007229D3">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532EDF4E" w14:textId="77777777" w:rsidR="00A55379" w:rsidRDefault="00A55379" w:rsidP="00A55379">
            <w:pPr>
              <w:spacing w:before="60" w:after="60"/>
              <w:textAlignment w:val="auto"/>
              <w:rPr>
                <w:rFonts w:ascii="Times New Roman" w:hAnsi="Times New Roman"/>
                <w:sz w:val="22"/>
                <w:szCs w:val="22"/>
              </w:rPr>
            </w:pPr>
            <w:r>
              <w:rPr>
                <w:rFonts w:ascii="Times New Roman" w:hAnsi="Times New Roman"/>
                <w:sz w:val="22"/>
                <w:szCs w:val="22"/>
              </w:rPr>
              <w:t>Updated for patch IB*2.0*591</w:t>
            </w:r>
          </w:p>
          <w:p w14:paraId="54E9C2DD" w14:textId="23301465" w:rsidR="00A55379" w:rsidRPr="00A55379" w:rsidRDefault="001F73ED" w:rsidP="00A55379">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6E581A3" w14:textId="76EC3696" w:rsidR="00A55379" w:rsidRDefault="00A55379">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4" w:name="_Toc200787290"/>
      <w:bookmarkStart w:id="5"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4"/>
      <w:bookmarkEnd w:id="5"/>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E73561">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E73561">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E73561">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E73561">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E73561">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E73561">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E73561">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E73561">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E73561">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E73561">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E73561">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E73561">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E73561">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E73561">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E73561">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E73561">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E73561">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E73561">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E73561">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E73561">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E73561">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E73561">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E73561">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E73561">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E73561">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E73561">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E73561">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E73561">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E73561">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E73561">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E73561">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E73561">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E73561">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E73561">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E73561">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E73561">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E73561">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E73561">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E73561">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E73561">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6" w:name="_Toc200787515"/>
      <w:bookmarkStart w:id="7" w:name="_Toc442890951"/>
      <w:bookmarkStart w:id="8" w:name="_Toc514255792"/>
      <w:r w:rsidRPr="0002501E">
        <w:t>Introduction</w:t>
      </w:r>
      <w:bookmarkEnd w:id="6"/>
      <w:bookmarkEnd w:id="7"/>
      <w:bookmarkEnd w:id="8"/>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9" w:name="_Toc200787516"/>
      <w:bookmarkStart w:id="10" w:name="_Toc442890952"/>
      <w:bookmarkStart w:id="11" w:name="_Toc514255793"/>
      <w:r w:rsidRPr="0002501E">
        <w:t>Orientation</w:t>
      </w:r>
      <w:bookmarkEnd w:id="9"/>
      <w:bookmarkEnd w:id="10"/>
      <w:bookmarkEnd w:id="11"/>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2" w:name="_Toc200787517"/>
      <w:bookmarkStart w:id="13" w:name="_Toc442890953"/>
      <w:bookmarkStart w:id="14" w:name="_Toc514255794"/>
      <w:r w:rsidRPr="0002501E">
        <w:t>General Information</w:t>
      </w:r>
      <w:bookmarkEnd w:id="12"/>
      <w:bookmarkEnd w:id="13"/>
      <w:bookmarkEnd w:id="14"/>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5" w:name="_Toc200787518"/>
      <w:bookmarkStart w:id="16" w:name="_Toc442890954"/>
      <w:bookmarkStart w:id="17" w:name="_Toc514255795"/>
      <w:r w:rsidRPr="0002501E">
        <w:t>Namespace Conventions</w:t>
      </w:r>
      <w:bookmarkEnd w:id="15"/>
      <w:bookmarkEnd w:id="16"/>
      <w:bookmarkEnd w:id="17"/>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18" w:name="_Toc200787519"/>
      <w:bookmarkStart w:id="19" w:name="_Toc442890955"/>
      <w:bookmarkStart w:id="20" w:name="_Toc514255796"/>
      <w:r w:rsidRPr="0002501E">
        <w:t>Integrity Checker</w:t>
      </w:r>
      <w:bookmarkEnd w:id="18"/>
      <w:bookmarkEnd w:id="19"/>
      <w:bookmarkEnd w:id="20"/>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1" w:name="_Toc200787520"/>
      <w:bookmarkStart w:id="22" w:name="_Toc442890956"/>
      <w:bookmarkStart w:id="23" w:name="_Toc514255797"/>
      <w:r w:rsidRPr="0002501E">
        <w:t>SACC Exemptions/Non-Standard Code</w:t>
      </w:r>
      <w:bookmarkEnd w:id="21"/>
      <w:bookmarkEnd w:id="22"/>
      <w:bookmarkEnd w:id="23"/>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4" w:name="_Toc200787521"/>
      <w:bookmarkStart w:id="25" w:name="_Toc442890957"/>
      <w:bookmarkStart w:id="26" w:name="_Toc514255798"/>
      <w:r w:rsidRPr="0002501E">
        <w:t>Resource Requirements</w:t>
      </w:r>
      <w:bookmarkEnd w:id="24"/>
      <w:bookmarkEnd w:id="25"/>
      <w:bookmarkEnd w:id="26"/>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7" w:name="_Toc200787522"/>
      <w:bookmarkStart w:id="28" w:name="_Toc442890958"/>
      <w:bookmarkStart w:id="29" w:name="_Toc514255799"/>
      <w:r w:rsidRPr="0002501E">
        <w:t>Implementation and Maintenance</w:t>
      </w:r>
      <w:bookmarkEnd w:id="27"/>
      <w:bookmarkEnd w:id="28"/>
      <w:bookmarkEnd w:id="29"/>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0" w:name="_Toc200787523"/>
      <w:bookmarkStart w:id="31" w:name="_Toc442890959"/>
      <w:bookmarkStart w:id="32" w:name="_Toc514255800"/>
      <w:r w:rsidRPr="0002501E">
        <w:t>Implementing Claims Tracking</w:t>
      </w:r>
      <w:bookmarkEnd w:id="30"/>
      <w:bookmarkEnd w:id="31"/>
      <w:bookmarkEnd w:id="32"/>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3" w:name="_Toc200787524"/>
      <w:bookmarkStart w:id="34" w:name="_Toc442890960"/>
      <w:bookmarkStart w:id="35" w:name="_Toc514255801"/>
      <w:r w:rsidRPr="0002501E">
        <w:t>Implementing Encounter Forms</w:t>
      </w:r>
      <w:bookmarkEnd w:id="33"/>
      <w:bookmarkEnd w:id="34"/>
      <w:bookmarkEnd w:id="35"/>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6" w:name="_Toc200787525"/>
      <w:bookmarkStart w:id="37" w:name="_Toc442890961"/>
      <w:bookmarkStart w:id="38" w:name="_Toc514255802"/>
      <w:r w:rsidRPr="0002501E">
        <w:t>Implementing Insurance Data Capture</w:t>
      </w:r>
      <w:bookmarkEnd w:id="36"/>
      <w:bookmarkEnd w:id="37"/>
      <w:bookmarkEnd w:id="38"/>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39" w:name="_Toc200787526"/>
      <w:bookmarkStart w:id="40" w:name="_Toc442890962"/>
      <w:bookmarkStart w:id="41" w:name="_Toc514255803"/>
      <w:r w:rsidRPr="0002501E">
        <w:t>Implementing Patient Billing</w:t>
      </w:r>
      <w:bookmarkEnd w:id="39"/>
      <w:bookmarkEnd w:id="40"/>
      <w:bookmarkEnd w:id="41"/>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2" w:name="_Toc200787527"/>
      <w:bookmarkStart w:id="43" w:name="_Toc442890963"/>
      <w:bookmarkStart w:id="44" w:name="_Toc514255804"/>
      <w:r w:rsidRPr="0002501E">
        <w:t>Implementing Third Party Billing</w:t>
      </w:r>
      <w:bookmarkEnd w:id="42"/>
      <w:bookmarkEnd w:id="43"/>
      <w:bookmarkEnd w:id="44"/>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5" w:name="_Toc200787528"/>
      <w:bookmarkStart w:id="46" w:name="_Toc442890964"/>
      <w:bookmarkStart w:id="47" w:name="_Toc514255805"/>
      <w:r w:rsidRPr="0002501E">
        <w:t>Routines</w:t>
      </w:r>
      <w:bookmarkEnd w:id="45"/>
      <w:bookmarkEnd w:id="46"/>
      <w:bookmarkEnd w:id="47"/>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48" w:name="_Toc200787529"/>
      <w:bookmarkStart w:id="49" w:name="_Toc442890965"/>
      <w:bookmarkStart w:id="50" w:name="_Toc514255806"/>
      <w:r w:rsidRPr="0002501E">
        <w:t>Routines to Map</w:t>
      </w:r>
      <w:bookmarkEnd w:id="48"/>
      <w:bookmarkEnd w:id="49"/>
      <w:bookmarkEnd w:id="50"/>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1" w:name="_Toc200787530"/>
      <w:bookmarkStart w:id="52" w:name="_Toc442890966"/>
      <w:bookmarkStart w:id="53" w:name="_Toc514255807"/>
      <w:r w:rsidRPr="0002501E">
        <w:t>Obsolete Routines</w:t>
      </w:r>
      <w:bookmarkEnd w:id="51"/>
      <w:bookmarkEnd w:id="52"/>
      <w:bookmarkEnd w:id="53"/>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4" w:name="_Toc200787531"/>
    </w:p>
    <w:p w14:paraId="335A145F" w14:textId="77777777" w:rsidR="00CE3549" w:rsidRPr="0002501E" w:rsidRDefault="00CE3549" w:rsidP="00797813">
      <w:pPr>
        <w:pStyle w:val="Heading2"/>
      </w:pPr>
      <w:r w:rsidRPr="0002501E">
        <w:br w:type="page"/>
      </w:r>
      <w:bookmarkStart w:id="55" w:name="_Toc442890967"/>
      <w:bookmarkStart w:id="56" w:name="_Toc514255808"/>
      <w:r w:rsidR="00797813" w:rsidRPr="0002501E">
        <w:t>Callable Routine</w:t>
      </w:r>
      <w:bookmarkEnd w:id="55"/>
      <w:bookmarkEnd w:id="56"/>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4"/>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7" w:name="_Toc200787532"/>
      <w:bookmarkStart w:id="58" w:name="_Toc442890968"/>
      <w:bookmarkStart w:id="59" w:name="_Toc514255809"/>
      <w:r w:rsidRPr="0002501E">
        <w:t>Routine List with Descriptions</w:t>
      </w:r>
      <w:bookmarkEnd w:id="57"/>
      <w:bookmarkEnd w:id="58"/>
      <w:bookmarkEnd w:id="59"/>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D26491">
        <w:trPr>
          <w:cantSplit/>
        </w:trPr>
        <w:tc>
          <w:tcPr>
            <w:tcW w:w="3438"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138"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60" w:name="p45"/>
            <w:bookmarkEnd w:id="60"/>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138"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 xml:space="preserve">since </w:t>
            </w:r>
            <w:bookmarkStart w:id="61" w:name="_GoBack"/>
            <w:r w:rsidRPr="00D1302C">
              <w:rPr>
                <w:rFonts w:ascii="Times New Roman" w:hAnsi="Times New Roman"/>
                <w:sz w:val="22"/>
                <w:szCs w:val="22"/>
              </w:rPr>
              <w:t>July</w:t>
            </w:r>
            <w:bookmarkEnd w:id="61"/>
            <w:r w:rsidRPr="00D1302C">
              <w:rPr>
                <w:rFonts w:ascii="Times New Roman" w:hAnsi="Times New Roman"/>
                <w:sz w:val="22"/>
                <w:szCs w:val="22"/>
              </w:rPr>
              <w:t xml:space="preserve">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2" w:name="_Toc200787533"/>
      <w:bookmarkStart w:id="63" w:name="_Toc442890969"/>
      <w:bookmarkStart w:id="64" w:name="_Toc514255810"/>
      <w:r w:rsidRPr="0002501E">
        <w:t>DGCR* to IB* Namespace Map</w:t>
      </w:r>
      <w:bookmarkEnd w:id="62"/>
      <w:bookmarkEnd w:id="63"/>
      <w:bookmarkEnd w:id="64"/>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5" w:name="_Toc200787534"/>
      <w:bookmarkStart w:id="66" w:name="_Toc442890970"/>
      <w:bookmarkStart w:id="67" w:name="_Toc514255811"/>
      <w:r w:rsidRPr="0002501E">
        <w:t>Files</w:t>
      </w:r>
      <w:bookmarkEnd w:id="65"/>
      <w:bookmarkEnd w:id="66"/>
      <w:bookmarkEnd w:id="67"/>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8" w:name="_Toc200787535"/>
      <w:bookmarkStart w:id="69" w:name="_Toc442890971"/>
      <w:bookmarkStart w:id="70" w:name="_Toc514255812"/>
      <w:r w:rsidRPr="0002501E">
        <w:t>Globals to Journal</w:t>
      </w:r>
      <w:bookmarkEnd w:id="68"/>
      <w:bookmarkEnd w:id="69"/>
      <w:bookmarkEnd w:id="70"/>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1" w:name="_Toc200787536"/>
      <w:bookmarkStart w:id="72" w:name="_Toc442890972"/>
      <w:bookmarkStart w:id="73" w:name="_Toc514255813"/>
      <w:r w:rsidRPr="0002501E">
        <w:t>File List with Descriptions</w:t>
      </w:r>
      <w:bookmarkEnd w:id="71"/>
      <w:bookmarkEnd w:id="72"/>
      <w:bookmarkEnd w:id="73"/>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74"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4"/>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75" w:name="p71"/>
            <w:r w:rsidRPr="00983048">
              <w:rPr>
                <w:rFonts w:ascii="Times New Roman" w:hAnsi="Times New Roman"/>
                <w:sz w:val="22"/>
                <w:szCs w:val="22"/>
              </w:rPr>
              <w:t>355.99</w:t>
            </w:r>
            <w:bookmarkEnd w:id="75"/>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6" w:name="_Toc200787537"/>
      <w:bookmarkStart w:id="77" w:name="_Toc442890973"/>
      <w:bookmarkStart w:id="78" w:name="_Toc514255814"/>
      <w:r w:rsidRPr="0002501E">
        <w:t>Templates</w:t>
      </w:r>
      <w:bookmarkEnd w:id="76"/>
      <w:bookmarkEnd w:id="77"/>
      <w:bookmarkEnd w:id="78"/>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79" w:name="_Toc442890974"/>
            <w:bookmarkStart w:id="80" w:name="_Toc514255815"/>
            <w:r w:rsidRPr="0002501E">
              <w:t>List</w:t>
            </w:r>
            <w:r w:rsidR="004D61A0" w:rsidRPr="0002501E">
              <w:t xml:space="preserve"> Templates</w:t>
            </w:r>
            <w:bookmarkEnd w:id="79"/>
            <w:bookmarkEnd w:id="80"/>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1" w:name="_Toc442890975"/>
            <w:bookmarkStart w:id="82" w:name="_Toc514255816"/>
            <w:r w:rsidRPr="0002501E">
              <w:t>Input Templates</w:t>
            </w:r>
            <w:bookmarkEnd w:id="81"/>
            <w:bookmarkEnd w:id="82"/>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3" w:name="_Toc442890976"/>
            <w:bookmarkStart w:id="84" w:name="_Toc514255817"/>
            <w:r w:rsidRPr="0002501E">
              <w:t>Sort Templates</w:t>
            </w:r>
            <w:bookmarkEnd w:id="83"/>
            <w:bookmarkEnd w:id="84"/>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5" w:name="_Toc442890977"/>
            <w:bookmarkStart w:id="86" w:name="_Toc514255818"/>
            <w:r w:rsidR="00D915AA" w:rsidRPr="0002501E">
              <w:t>Print Templates</w:t>
            </w:r>
            <w:bookmarkEnd w:id="85"/>
            <w:bookmarkEnd w:id="86"/>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7" w:name="_Toc442890978"/>
      <w:bookmarkStart w:id="88" w:name="_Toc514255819"/>
      <w:r w:rsidR="00B3089D" w:rsidRPr="0002501E">
        <w:t>File Flow Chart</w:t>
      </w:r>
      <w:bookmarkEnd w:id="87"/>
      <w:bookmarkEnd w:id="88"/>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89" w:name="_Toc442890979"/>
            <w:bookmarkStart w:id="90" w:name="_Toc514255820"/>
            <w:r w:rsidRPr="0002501E">
              <w:t>File Flow Chart</w:t>
            </w:r>
            <w:bookmarkEnd w:id="89"/>
            <w:bookmarkEnd w:id="90"/>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1" w:name="p125"/>
            <w:r w:rsidRPr="006A200E">
              <w:rPr>
                <w:rFonts w:ascii="Times New Roman" w:hAnsi="Times New Roman"/>
                <w:sz w:val="18"/>
                <w:szCs w:val="18"/>
              </w:rPr>
              <w:t>355.99</w:t>
            </w:r>
            <w:bookmarkEnd w:id="91"/>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2" w:name="_Exported_Options"/>
    <w:bookmarkStart w:id="93" w:name="_Toc200787542"/>
    <w:bookmarkEnd w:id="92"/>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4" w:name="_Toc442890980"/>
      <w:bookmarkStart w:id="95" w:name="_Toc514255821"/>
      <w:r w:rsidR="00531745" w:rsidRPr="0002501E">
        <w:rPr>
          <w:rStyle w:val="Hyperlink"/>
        </w:rPr>
        <w:t>Exported Options</w:t>
      </w:r>
      <w:bookmarkEnd w:id="93"/>
      <w:bookmarkEnd w:id="94"/>
      <w:bookmarkEnd w:id="95"/>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6" w:name="_Toc200787543"/>
      <w:bookmarkStart w:id="97" w:name="_Toc442890981"/>
      <w:bookmarkStart w:id="98" w:name="_Toc514255822"/>
      <w:r w:rsidRPr="0002501E">
        <w:t>Menu Diagram</w:t>
      </w:r>
      <w:bookmarkEnd w:id="96"/>
      <w:bookmarkEnd w:id="97"/>
      <w:bookmarkEnd w:id="98"/>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99" w:name="_Toc442890982"/>
            <w:bookmarkStart w:id="100" w:name="_Toc514255823"/>
            <w:r w:rsidRPr="0002501E">
              <w:t>Options without Parents</w:t>
            </w:r>
            <w:bookmarkEnd w:id="99"/>
            <w:bookmarkEnd w:id="100"/>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1" w:name="p144"/>
      <w:bookmarkEnd w:id="101"/>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2" w:name="_Toc442890983"/>
            <w:bookmarkStart w:id="103" w:name="_Toc514255824"/>
            <w:r w:rsidRPr="0002501E">
              <w:t>Exported Options</w:t>
            </w:r>
            <w:bookmarkEnd w:id="102"/>
            <w:bookmarkEnd w:id="103"/>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4" w:name="p155_icd"/>
            <w:bookmarkEnd w:id="104"/>
            <w:r w:rsidRPr="00357028">
              <w:rPr>
                <w:rFonts w:ascii="Times New Roman" w:hAnsi="Times New Roman"/>
                <w:sz w:val="22"/>
                <w:szCs w:val="22"/>
              </w:rPr>
              <w:t>ICD</w:t>
            </w:r>
            <w:bookmarkStart w:id="105" w:name="p155"/>
            <w:bookmarkEnd w:id="105"/>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6" w:name="_Toc200787545"/>
      <w:bookmarkStart w:id="107" w:name="_Toc442890984"/>
      <w:bookmarkStart w:id="108" w:name="_Toc514255825"/>
      <w:r w:rsidRPr="0002501E">
        <w:t>Archiving and Purging</w:t>
      </w:r>
      <w:bookmarkEnd w:id="106"/>
      <w:bookmarkEnd w:id="107"/>
      <w:bookmarkEnd w:id="108"/>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09" w:name="_Toc200787546"/>
      <w:bookmarkStart w:id="110" w:name="_Toc442890985"/>
      <w:bookmarkStart w:id="111" w:name="_Toc514255826"/>
      <w:r w:rsidRPr="0002501E">
        <w:t>External Relations</w:t>
      </w:r>
      <w:bookmarkEnd w:id="109"/>
      <w:bookmarkEnd w:id="110"/>
      <w:bookmarkEnd w:id="111"/>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2" w:name="_Toc200787547"/>
      <w:bookmarkStart w:id="113" w:name="_Toc442890986"/>
      <w:bookmarkStart w:id="114" w:name="_Toc514255827"/>
      <w:r w:rsidRPr="0002501E">
        <w:t>Internal Relations</w:t>
      </w:r>
      <w:bookmarkEnd w:id="112"/>
      <w:bookmarkEnd w:id="113"/>
      <w:bookmarkEnd w:id="114"/>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5" w:name="_Toc200787548"/>
      <w:bookmarkStart w:id="116" w:name="_Toc442890987"/>
      <w:bookmarkStart w:id="117" w:name="_Toc514255828"/>
      <w:r w:rsidRPr="0002501E">
        <w:t>Package-wide Variables</w:t>
      </w:r>
      <w:bookmarkEnd w:id="115"/>
      <w:bookmarkEnd w:id="116"/>
      <w:bookmarkEnd w:id="117"/>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18" w:name="_Toc200787549"/>
      <w:bookmarkStart w:id="119" w:name="_Toc442890988"/>
      <w:bookmarkStart w:id="120" w:name="_Toc514255829"/>
      <w:r w:rsidRPr="0002501E">
        <w:t>How to Generate On-Line Documentation</w:t>
      </w:r>
      <w:bookmarkEnd w:id="118"/>
      <w:bookmarkEnd w:id="119"/>
      <w:bookmarkEnd w:id="120"/>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1" w:name="_Toc266523936"/>
      <w:bookmarkStart w:id="122" w:name="_Toc276636310"/>
      <w:bookmarkStart w:id="123" w:name="_Toc305407468"/>
      <w:bookmarkStart w:id="124" w:name="_Toc442890989"/>
      <w:bookmarkStart w:id="125" w:name="_Toc514255830"/>
      <w:r w:rsidRPr="0002501E">
        <w:t>S</w:t>
      </w:r>
      <w:bookmarkEnd w:id="121"/>
      <w:bookmarkEnd w:id="122"/>
      <w:bookmarkEnd w:id="123"/>
      <w:r w:rsidRPr="0002501E">
        <w:t>ecurity</w:t>
      </w:r>
      <w:bookmarkEnd w:id="124"/>
      <w:bookmarkEnd w:id="125"/>
    </w:p>
    <w:p w14:paraId="335A4BC9" w14:textId="77777777" w:rsidR="00FB06D8" w:rsidRPr="0002501E" w:rsidRDefault="00FB06D8" w:rsidP="00FB06D8">
      <w:pPr>
        <w:pStyle w:val="Heading2"/>
        <w:rPr>
          <w:szCs w:val="24"/>
        </w:rPr>
      </w:pPr>
      <w:bookmarkStart w:id="126" w:name="_Toc78627985"/>
      <w:bookmarkStart w:id="127" w:name="_Toc266523937"/>
      <w:bookmarkStart w:id="128" w:name="_Toc276636311"/>
      <w:bookmarkStart w:id="129" w:name="_Toc305407469"/>
      <w:bookmarkStart w:id="130" w:name="_Toc442890990"/>
      <w:bookmarkStart w:id="131" w:name="_Toc514255831"/>
      <w:r w:rsidRPr="0002501E">
        <w:rPr>
          <w:szCs w:val="24"/>
        </w:rPr>
        <w:t>File Protection</w:t>
      </w:r>
      <w:bookmarkEnd w:id="126"/>
      <w:bookmarkEnd w:id="127"/>
      <w:bookmarkEnd w:id="128"/>
      <w:bookmarkEnd w:id="129"/>
      <w:bookmarkEnd w:id="130"/>
      <w:bookmarkEnd w:id="131"/>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2" w:name="_Toc200787550"/>
      <w:bookmarkStart w:id="133" w:name="_Toc442890991"/>
      <w:bookmarkStart w:id="134" w:name="_Toc514255832"/>
      <w:r w:rsidRPr="0002501E">
        <w:t>Glossary</w:t>
      </w:r>
      <w:bookmarkEnd w:id="132"/>
      <w:bookmarkEnd w:id="133"/>
      <w:bookmarkEnd w:id="134"/>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135" w:name="p184"/>
            <w:bookmarkStart w:id="136" w:name="p184_icd"/>
            <w:bookmarkEnd w:id="135"/>
            <w:bookmarkEnd w:id="136"/>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4B62" w14:textId="77777777" w:rsidR="00E73561" w:rsidRDefault="00E73561">
      <w:r>
        <w:separator/>
      </w:r>
    </w:p>
    <w:p w14:paraId="5A42B46F" w14:textId="77777777" w:rsidR="00E73561" w:rsidRDefault="00E73561"/>
  </w:endnote>
  <w:endnote w:type="continuationSeparator" w:id="0">
    <w:p w14:paraId="401DE9CA" w14:textId="77777777" w:rsidR="00E73561" w:rsidRDefault="00E73561">
      <w:r>
        <w:continuationSeparator/>
      </w:r>
    </w:p>
    <w:p w14:paraId="569EC7AB" w14:textId="77777777" w:rsidR="00E73561" w:rsidRDefault="00E73561"/>
  </w:endnote>
  <w:endnote w:type="continuationNotice" w:id="1">
    <w:p w14:paraId="6388B999" w14:textId="77777777" w:rsidR="00E73561" w:rsidRDefault="00E73561"/>
    <w:p w14:paraId="0F45020B" w14:textId="77777777" w:rsidR="00E73561" w:rsidRDefault="00E73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6277C0" w:rsidRPr="00617FAB" w:rsidRDefault="006277C0"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6277C0" w:rsidRPr="00EE5937" w:rsidRDefault="006277C0">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9B9" w14:textId="7AB0BFE7"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EE" w14:textId="69BEECE3" w:rsidR="006277C0" w:rsidRPr="00617FAB" w:rsidRDefault="006277C0"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x</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0F13" w14:textId="5C92B6ED"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F0" w14:textId="0380829C" w:rsidR="006277C0" w:rsidRPr="00BC020A"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8</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6277C0" w:rsidRDefault="006277C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E452" w14:textId="741F4C59"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F3" w14:textId="6FC0DC94" w:rsidR="006277C0" w:rsidRPr="00617FAB" w:rsidRDefault="006277C0"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7</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6277C0" w:rsidRDefault="006277C0">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6277C0" w:rsidRDefault="006277C0">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B044" w14:textId="54DB097C"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FE" w14:textId="7207AD4A" w:rsidR="006277C0" w:rsidRPr="00617FAB" w:rsidRDefault="006277C0"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11</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465F" w14:textId="2B8FE885"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E08" w14:textId="4AD7FAE0" w:rsidR="006277C0" w:rsidRPr="00B30D15"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193</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064C8193" w:rsidR="006277C0" w:rsidRPr="00B30D15" w:rsidRDefault="006277C0">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1F73ED">
      <w:rPr>
        <w:rFonts w:ascii="Times New Roman" w:hAnsi="Times New Roman"/>
        <w:noProof/>
      </w:rPr>
      <w:t>203</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8" w14:textId="77777777" w:rsidR="006277C0" w:rsidRDefault="006277C0">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209</w:t>
    </w:r>
    <w:r>
      <w:rPr>
        <w:sz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3B15" w14:textId="7E30797B"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DE" w14:textId="24B1678F" w:rsidR="006277C0" w:rsidRPr="00EE5937" w:rsidRDefault="006277C0"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vi</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09AC" w14:textId="5AC044EE"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E1E" w14:textId="1D214B56" w:rsidR="006277C0" w:rsidRPr="00AB3233"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220</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5213" w14:textId="2153D2CC"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E1F" w14:textId="27CAAA90" w:rsidR="006277C0" w:rsidRPr="006B339B"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221</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289B" w14:textId="44DEA6CD"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DF" w14:textId="2CB1D5C0" w:rsidR="006277C0" w:rsidRPr="00617FAB"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vii</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6277C0" w:rsidRPr="00617FAB" w:rsidRDefault="006277C0"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6277C0" w:rsidRPr="00EE5937" w:rsidRDefault="006277C0"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6277C0" w:rsidRPr="009D550F" w:rsidRDefault="006277C0"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052" w14:textId="3D61E0F8"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E4" w14:textId="6F00691A" w:rsidR="006277C0" w:rsidRPr="0031190A" w:rsidRDefault="006277C0"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viii</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233D" w14:textId="7DCCF092"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E5" w14:textId="3A36010F" w:rsidR="006277C0" w:rsidRDefault="006277C0"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ix</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6277C0" w:rsidRPr="00617FAB" w:rsidRDefault="006277C0">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6277C0" w:rsidRPr="00BF5D41" w:rsidRDefault="006277C0">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6277C0" w:rsidRDefault="006277C0">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6277C0" w:rsidRDefault="006277C0">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9F81" w14:textId="44D36534" w:rsidR="006277C0" w:rsidRDefault="006277C0" w:rsidP="00953735">
    <w:pPr>
      <w:pStyle w:val="Footer"/>
      <w:rPr>
        <w:rFonts w:ascii="Times New Roman" w:hAnsi="Times New Roman"/>
      </w:rPr>
    </w:pPr>
    <w:r>
      <w:rPr>
        <w:rFonts w:ascii="Times New Roman" w:hAnsi="Times New Roman"/>
      </w:rPr>
      <w:t>Integrated Billing, IB*2*</w:t>
    </w:r>
    <w:r w:rsidR="001F73ED">
      <w:rPr>
        <w:rFonts w:ascii="Times New Roman" w:hAnsi="Times New Roman"/>
      </w:rPr>
      <w:t>591</w:t>
    </w:r>
  </w:p>
  <w:p w14:paraId="335A4DEC" w14:textId="7CDE640A" w:rsidR="006277C0" w:rsidRDefault="006277C0"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1F73ED">
      <w:rPr>
        <w:rFonts w:ascii="Times New Roman" w:hAnsi="Times New Roman"/>
        <w:noProof/>
      </w:rPr>
      <w:t>xi</w:t>
    </w:r>
    <w:r>
      <w:rPr>
        <w:rFonts w:ascii="Times New Roman" w:hAnsi="Times New Roman"/>
        <w:noProof/>
      </w:rPr>
      <w:fldChar w:fldCharType="end"/>
    </w:r>
    <w:r>
      <w:rPr>
        <w:rFonts w:ascii="Times New Roman" w:hAnsi="Times New Roman"/>
      </w:rPr>
      <w:tab/>
    </w:r>
    <w:r w:rsidR="007229D3">
      <w:rPr>
        <w:rFonts w:ascii="Times New Roman" w:hAnsi="Times New Roman"/>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75F4" w14:textId="77777777" w:rsidR="00E73561" w:rsidRDefault="00E73561">
      <w:r>
        <w:separator/>
      </w:r>
    </w:p>
    <w:p w14:paraId="13950BC7" w14:textId="77777777" w:rsidR="00E73561" w:rsidRDefault="00E73561"/>
  </w:footnote>
  <w:footnote w:type="continuationSeparator" w:id="0">
    <w:p w14:paraId="67F24610" w14:textId="77777777" w:rsidR="00E73561" w:rsidRDefault="00E73561">
      <w:r>
        <w:continuationSeparator/>
      </w:r>
    </w:p>
    <w:p w14:paraId="5476C82D" w14:textId="77777777" w:rsidR="00E73561" w:rsidRDefault="00E73561"/>
  </w:footnote>
  <w:footnote w:type="continuationNotice" w:id="1">
    <w:p w14:paraId="152E9D4B" w14:textId="77777777" w:rsidR="00E73561" w:rsidRDefault="00E73561"/>
    <w:p w14:paraId="3854FFB8" w14:textId="77777777" w:rsidR="00E73561" w:rsidRDefault="00E73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6277C0" w:rsidRDefault="006277C0">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6277C0" w:rsidRDefault="006277C0">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6277C0" w:rsidRDefault="006277C0">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6277C0" w:rsidRDefault="006277C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6277C0" w:rsidRDefault="006277C0">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6277C0" w:rsidRDefault="006277C0">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6277C0" w:rsidRPr="0031190A" w:rsidRDefault="006277C0"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6277C0" w:rsidRDefault="006277C0">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6277C0" w:rsidRDefault="006277C0">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6277C0" w:rsidRDefault="006277C0">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6277C0" w:rsidRDefault="006277C0">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6277C0" w:rsidRDefault="006277C0">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6277C0" w:rsidRDefault="006277C0">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6277C0" w:rsidRDefault="006277C0">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6277C0" w:rsidRDefault="006277C0">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6277C0" w:rsidRDefault="006277C0">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6277C0" w:rsidRDefault="006277C0">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6277C0" w:rsidRDefault="006277C0">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6277C0" w:rsidRDefault="006277C0">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6277C0" w:rsidRDefault="006277C0">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6277C0" w:rsidRDefault="006277C0">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6277C0" w:rsidRDefault="006277C0">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6277C0" w:rsidRDefault="006277C0">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6277C0" w:rsidRDefault="006277C0">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6277C0" w:rsidRDefault="006277C0">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6277C0" w:rsidRDefault="006277C0">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6277C0" w:rsidRDefault="006277C0">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6277C0" w:rsidRDefault="006277C0">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6277C0" w:rsidRDefault="006277C0">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6277C0" w:rsidRDefault="006277C0">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6277C0" w:rsidRDefault="006277C0">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6277C0" w:rsidRPr="00064C12" w:rsidRDefault="006277C0"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6277C0" w:rsidRDefault="006277C0">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6277C0" w:rsidRDefault="006277C0">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6277C0" w:rsidRPr="00064C12" w:rsidRDefault="006277C0" w:rsidP="00064C12">
    <w:pPr>
      <w:pStyle w:val="Header"/>
    </w:pPr>
  </w:p>
  <w:p w14:paraId="335A4E1B" w14:textId="77777777" w:rsidR="006277C0" w:rsidRDefault="006277C0"/>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6277C0" w:rsidRPr="00064C12" w:rsidRDefault="006277C0" w:rsidP="00064C12">
    <w:pPr>
      <w:pStyle w:val="Header"/>
    </w:pPr>
  </w:p>
  <w:p w14:paraId="335A4E1D" w14:textId="77777777" w:rsidR="006277C0" w:rsidRDefault="006277C0"/>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6277C0" w:rsidRDefault="006277C0">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6277C0" w:rsidRDefault="006277C0">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6277C0" w:rsidRDefault="006277C0">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6277C0" w:rsidRDefault="006277C0">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6277C0" w:rsidRDefault="006277C0">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6277C0" w:rsidRDefault="006277C0">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2"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72509B"/>
    <w:multiLevelType w:val="singleLevel"/>
    <w:tmpl w:val="3EA819F6"/>
    <w:lvl w:ilvl="0">
      <w:numFmt w:val="none"/>
      <w:lvlText w:val=""/>
      <w:legacy w:legacy="1" w:legacySpace="0" w:legacyIndent="0"/>
      <w:lvlJc w:val="left"/>
    </w:lvl>
  </w:abstractNum>
  <w:abstractNum w:abstractNumId="15"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7"/>
  </w:num>
  <w:num w:numId="5">
    <w:abstractNumId w:val="0"/>
  </w:num>
  <w:num w:numId="6">
    <w:abstractNumId w:val="20"/>
  </w:num>
  <w:num w:numId="7">
    <w:abstractNumId w:val="6"/>
  </w:num>
  <w:num w:numId="8">
    <w:abstractNumId w:val="22"/>
  </w:num>
  <w:num w:numId="9">
    <w:abstractNumId w:val="17"/>
  </w:num>
  <w:num w:numId="10">
    <w:abstractNumId w:val="18"/>
  </w:num>
  <w:num w:numId="11">
    <w:abstractNumId w:val="1"/>
  </w:num>
  <w:num w:numId="12">
    <w:abstractNumId w:val="19"/>
  </w:num>
  <w:num w:numId="13">
    <w:abstractNumId w:val="4"/>
  </w:num>
  <w:num w:numId="14">
    <w:abstractNumId w:val="12"/>
  </w:num>
  <w:num w:numId="15">
    <w:abstractNumId w:val="15"/>
  </w:num>
  <w:num w:numId="16">
    <w:abstractNumId w:val="10"/>
  </w:num>
  <w:num w:numId="17">
    <w:abstractNumId w:val="21"/>
  </w:num>
  <w:num w:numId="18">
    <w:abstractNumId w:val="2"/>
  </w:num>
  <w:num w:numId="19">
    <w:abstractNumId w:val="5"/>
  </w:num>
  <w:num w:numId="20">
    <w:abstractNumId w:val="5"/>
  </w:num>
  <w:num w:numId="21">
    <w:abstractNumId w:val="9"/>
  </w:num>
  <w:num w:numId="22">
    <w:abstractNumId w:val="13"/>
  </w:num>
  <w:num w:numId="23">
    <w:abstractNumId w:val="16"/>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4D68"/>
    <w:rsid w:val="004964C1"/>
    <w:rsid w:val="00496B80"/>
    <w:rsid w:val="004A1F78"/>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6DB73FE9-89A0-4CA0-97CF-15F83463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5.xml><?xml version="1.0" encoding="utf-8"?>
<ds:datastoreItem xmlns:ds="http://schemas.openxmlformats.org/officeDocument/2006/customXml" ds:itemID="{DAE7ADB2-9ADB-48A8-BA62-5A6465EB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80308</Words>
  <Characters>334886</Characters>
  <Application>Microsoft Office Word</Application>
  <DocSecurity>0</DocSecurity>
  <Lines>8372</Lines>
  <Paragraphs>10126</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405068</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Dawson, Mark (LongView)</cp:lastModifiedBy>
  <cp:revision>3</cp:revision>
  <cp:lastPrinted>2018-01-24T03:38:00Z</cp:lastPrinted>
  <dcterms:created xsi:type="dcterms:W3CDTF">2018-08-02T15:18:00Z</dcterms:created>
  <dcterms:modified xsi:type="dcterms:W3CDTF">2018-08-02T15:18:00Z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