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0E7" w:rsidRDefault="007A2A9B">
      <w:pPr>
        <w:keepNext/>
        <w:spacing w:before="373" w:after="0" w:line="240" w:lineRule="auto"/>
        <w:jc w:val="center"/>
      </w:pPr>
      <w:bookmarkStart w:id="0" w:name="d0e3"/>
      <w:r>
        <w:rPr>
          <w:rFonts w:ascii="Arial" w:hAnsi="Arial"/>
          <w:b/>
          <w:color w:val="000000"/>
          <w:sz w:val="50"/>
        </w:rPr>
        <w:t>Clinical Decision Support (CDS) Content and Health Level 7 (HL7)-compliant Knowledge Artifacts (KNARTs)</w:t>
      </w:r>
    </w:p>
    <w:bookmarkEnd w:id="0"/>
    <w:p w:rsidR="002920E7" w:rsidRDefault="007A2A9B">
      <w:pPr>
        <w:spacing w:before="311" w:after="0" w:line="240" w:lineRule="auto"/>
        <w:jc w:val="center"/>
      </w:pPr>
      <w:r>
        <w:rPr>
          <w:rFonts w:ascii="Arial" w:hAnsi="Arial"/>
          <w:b/>
          <w:color w:val="000000"/>
          <w:sz w:val="41"/>
        </w:rPr>
        <w:t>Primary Care: Anaphylaxis Treatment Protocol Clinical Content White Paper</w:t>
      </w:r>
    </w:p>
    <w:p w:rsidR="002920E7" w:rsidRDefault="007A2A9B">
      <w:pPr>
        <w:spacing w:before="2880" w:after="0" w:line="240" w:lineRule="auto"/>
        <w:jc w:val="center"/>
      </w:pPr>
      <w:r>
        <w:rPr>
          <w:rFonts w:ascii="Arial" w:hAnsi="Arial"/>
          <w:b/>
          <w:color w:val="000000"/>
          <w:sz w:val="24"/>
        </w:rPr>
        <w:t>Department of Veterans Affairs (VA)</w:t>
      </w:r>
    </w:p>
    <w:p w:rsidR="002920E7" w:rsidRDefault="007A2A9B">
      <w:pPr>
        <w:spacing w:after="0" w:line="240" w:lineRule="auto"/>
        <w:jc w:val="center"/>
      </w:pPr>
      <w:r>
        <w:rPr>
          <w:rFonts w:ascii="Arial" w:hAnsi="Arial"/>
          <w:b/>
          <w:noProof/>
          <w:color w:val="000000"/>
          <w:sz w:val="24"/>
          <w:lang w:val="en-US"/>
        </w:rPr>
        <w:drawing>
          <wp:inline distT="0" distB="0" distL="0" distR="0" wp14:anchorId="1BA45961" wp14:editId="18257275">
            <wp:extent cx="1828800" cy="1828800"/>
            <wp:effectExtent l="0" t="0" r="0" b="0"/>
            <wp:docPr id="1" name="C:\Users\sjmah\AppData\Local\Temp\xxe3468438217598581670_d\resources\VASealColor.jpg" descr="VA color seal"/>
            <wp:cNvGraphicFramePr/>
            <a:graphic xmlns:a="http://schemas.openxmlformats.org/drawingml/2006/main">
              <a:graphicData uri="http://schemas.openxmlformats.org/drawingml/2006/picture">
                <pic:pic xmlns:pic="http://schemas.openxmlformats.org/drawingml/2006/picture">
                  <pic:nvPicPr>
                    <pic:cNvPr id="2" name="C:\Users\sjmah\AppData\Local\Temp\xxe3468438217598581670_d\resources\VASealColor.jpg"/>
                    <pic:cNvPicPr/>
                  </pic:nvPicPr>
                  <pic:blipFill>
                    <a:blip r:embed="rId8"/>
                    <a:srcRect/>
                    <a:stretch>
                      <a:fillRect/>
                    </a:stretch>
                  </pic:blipFill>
                  <pic:spPr>
                    <a:xfrm>
                      <a:off x="0" y="0"/>
                      <a:ext cx="1828800" cy="1828800"/>
                    </a:xfrm>
                    <a:prstGeom prst="rect">
                      <a:avLst/>
                    </a:prstGeom>
                  </pic:spPr>
                </pic:pic>
              </a:graphicData>
            </a:graphic>
          </wp:inline>
        </w:drawing>
      </w:r>
    </w:p>
    <w:p w:rsidR="002920E7" w:rsidRDefault="007A2A9B">
      <w:pPr>
        <w:spacing w:after="0" w:line="240" w:lineRule="auto"/>
        <w:jc w:val="center"/>
      </w:pPr>
      <w:r>
        <w:rPr>
          <w:rFonts w:ascii="Arial" w:hAnsi="Arial"/>
          <w:b/>
          <w:color w:val="000000"/>
          <w:sz w:val="24"/>
        </w:rPr>
        <w:t>Knowledge Based Systems (KBS)</w:t>
      </w:r>
    </w:p>
    <w:p w:rsidR="002920E7" w:rsidRDefault="007A2A9B">
      <w:pPr>
        <w:spacing w:after="0" w:line="240" w:lineRule="auto"/>
        <w:jc w:val="center"/>
      </w:pPr>
      <w:r>
        <w:rPr>
          <w:rFonts w:ascii="Arial" w:hAnsi="Arial"/>
          <w:b/>
          <w:color w:val="000000"/>
          <w:sz w:val="24"/>
        </w:rPr>
        <w:t>Office of Informatics and Information Governance (OIIG)</w:t>
      </w:r>
    </w:p>
    <w:p w:rsidR="002920E7" w:rsidRDefault="007A2A9B">
      <w:pPr>
        <w:spacing w:after="0" w:line="240" w:lineRule="auto"/>
        <w:jc w:val="center"/>
      </w:pPr>
      <w:r>
        <w:rPr>
          <w:rFonts w:ascii="Arial" w:hAnsi="Arial"/>
          <w:b/>
          <w:color w:val="000000"/>
          <w:sz w:val="24"/>
        </w:rPr>
        <w:t>Clinical Decision Support (CDS)</w:t>
      </w:r>
    </w:p>
    <w:p w:rsidR="002920E7" w:rsidRDefault="007A2A9B">
      <w:pPr>
        <w:pageBreakBefore/>
        <w:spacing w:after="0" w:line="240" w:lineRule="auto"/>
      </w:pPr>
      <w:r>
        <w:rPr>
          <w:rFonts w:ascii="Arial" w:hAnsi="Arial"/>
          <w:b/>
          <w:color w:val="000000"/>
          <w:sz w:val="29"/>
        </w:rPr>
        <w:t>Clinical Decision Support (CDS) Content and Health Level 7 (HL7)-compliant Knowledge Artifacts (KNARTs): Primary Care: Anaphylaxis Treatment Protocol Clinical Content White Paper</w:t>
      </w:r>
    </w:p>
    <w:p w:rsidR="002920E7" w:rsidRDefault="007A2A9B">
      <w:pPr>
        <w:spacing w:after="0" w:line="240" w:lineRule="auto"/>
      </w:pPr>
      <w:r>
        <w:rPr>
          <w:color w:val="000000"/>
        </w:rPr>
        <w:t>by Department of Veterans Affairs (VA)</w:t>
      </w:r>
    </w:p>
    <w:p w:rsidR="002920E7" w:rsidRDefault="007A2A9B">
      <w:pPr>
        <w:spacing w:before="200" w:after="0" w:line="240" w:lineRule="auto"/>
      </w:pPr>
      <w:r>
        <w:rPr>
          <w:color w:val="000000"/>
        </w:rPr>
        <w:t xml:space="preserve">Publication date </w:t>
      </w:r>
      <w:r w:rsidR="00BD7DEB">
        <w:rPr>
          <w:color w:val="000000"/>
        </w:rPr>
        <w:t>April</w:t>
      </w:r>
      <w:r>
        <w:rPr>
          <w:color w:val="000000"/>
        </w:rPr>
        <w:t xml:space="preserve"> 201</w:t>
      </w:r>
      <w:r w:rsidR="00BD7DEB">
        <w:rPr>
          <w:color w:val="000000"/>
        </w:rPr>
        <w:t>8</w:t>
      </w:r>
    </w:p>
    <w:p w:rsidR="002920E7" w:rsidRDefault="007A2A9B">
      <w:pPr>
        <w:keepNext/>
        <w:spacing w:before="200" w:after="0" w:line="240" w:lineRule="auto"/>
        <w:jc w:val="center"/>
      </w:pPr>
      <w:r>
        <w:rPr>
          <w:rFonts w:ascii="Arial" w:hAnsi="Arial"/>
          <w:b/>
          <w:color w:val="000000"/>
        </w:rPr>
        <w:t>Contract: VA118-16-D-1008, Task Order (TO): VA-118-16-F-1008-0007</w:t>
      </w:r>
    </w:p>
    <w:p w:rsidR="002920E7" w:rsidRDefault="007A2A9B">
      <w:pPr>
        <w:keepNext/>
        <w:spacing w:before="240" w:after="0" w:line="240" w:lineRule="auto"/>
      </w:pPr>
      <w:bookmarkStart w:id="1" w:name="d0e43"/>
      <w:r>
        <w:rPr>
          <w:b/>
          <w:color w:val="000000"/>
          <w:sz w:val="24"/>
        </w:rPr>
        <w:t>Table 1. Relevant KNART Information</w:t>
      </w:r>
      <w:r w:rsidR="00BD7DEB">
        <w:rPr>
          <w:b/>
          <w:color w:val="000000"/>
          <w:sz w:val="24"/>
        </w:rPr>
        <w:t>: Primary Care: Anaphylaxis Treatment Protocol</w:t>
      </w:r>
    </w:p>
    <w:bookmarkEnd w:id="1"/>
    <w:p w:rsidR="002920E7" w:rsidRDefault="002920E7">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2920E7">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2920E7" w:rsidRDefault="007A2A9B">
            <w:pPr>
              <w:keepNext/>
              <w:spacing w:after="0" w:line="240" w:lineRule="auto"/>
            </w:pPr>
            <w:r>
              <w:rPr>
                <w:b/>
                <w:color w:val="000000"/>
              </w:rPr>
              <w:t>KNART</w:t>
            </w:r>
            <w:r w:rsidR="007D27B9">
              <w:rPr>
                <w:b/>
                <w:color w:val="000000"/>
              </w:rPr>
              <w:t xml:space="preserve"> Name</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2920E7" w:rsidRDefault="007A2A9B">
            <w:pPr>
              <w:spacing w:after="0" w:line="240" w:lineRule="auto"/>
            </w:pPr>
            <w:r>
              <w:rPr>
                <w:b/>
                <w:color w:val="000000"/>
              </w:rPr>
              <w:t>Associated CLIN</w:t>
            </w:r>
          </w:p>
        </w:tc>
      </w:tr>
      <w:tr w:rsidR="002920E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Anaphylaxis Treatment Protocol - Order Set</w:t>
            </w:r>
          </w:p>
        </w:tc>
        <w:tc>
          <w:tcPr>
            <w:tcW w:w="4513"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CLIN0008BA</w:t>
            </w:r>
          </w:p>
        </w:tc>
      </w:tr>
    </w:tbl>
    <w:p w:rsidR="002920E7" w:rsidRDefault="002920E7">
      <w:pPr>
        <w:sectPr w:rsidR="002920E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fmt="lowerRoman"/>
          <w:cols w:space="720"/>
          <w:titlePg/>
        </w:sectPr>
      </w:pPr>
    </w:p>
    <w:p w:rsidR="002920E7" w:rsidRDefault="007A2A9B">
      <w:pPr>
        <w:spacing w:before="518" w:after="0" w:line="240" w:lineRule="auto"/>
      </w:pPr>
      <w:bookmarkStart w:id="2" w:name="toc___d0e3"/>
      <w:r>
        <w:rPr>
          <w:rFonts w:ascii="Arial" w:hAnsi="Arial"/>
          <w:b/>
          <w:color w:val="000000"/>
          <w:sz w:val="35"/>
        </w:rPr>
        <w:t>Table of Contents</w:t>
      </w:r>
    </w:p>
    <w:bookmarkEnd w:id="2"/>
    <w:p w:rsidR="002920E7" w:rsidRDefault="007A2A9B">
      <w:pPr>
        <w:tabs>
          <w:tab w:val="right" w:leader="dot" w:pos="8120"/>
        </w:tabs>
        <w:spacing w:before="173" w:after="0" w:line="240" w:lineRule="auto"/>
        <w:ind w:right="480"/>
      </w:pPr>
      <w:r>
        <w:fldChar w:fldCharType="begin"/>
      </w:r>
      <w:r>
        <w:instrText xml:space="preserve"> HYPERLINK \l "d0e109" \h </w:instrText>
      </w:r>
      <w:r>
        <w:fldChar w:fldCharType="separate"/>
      </w:r>
      <w:r>
        <w:rPr>
          <w:color w:val="000000"/>
        </w:rPr>
        <w:t>VA Subject Matter Expert (SME) Panel</w:t>
      </w:r>
      <w:r>
        <w:rPr>
          <w:color w:val="000000"/>
        </w:rPr>
        <w:fldChar w:fldCharType="end"/>
      </w:r>
      <w:r>
        <w:rPr>
          <w:color w:val="000000"/>
        </w:rPr>
        <w:tab/>
      </w:r>
      <w:hyperlink w:anchor="d0e109">
        <w:r>
          <w:fldChar w:fldCharType="begin"/>
        </w:r>
        <w:r>
          <w:rPr>
            <w:color w:val="000000"/>
          </w:rPr>
          <w:instrText>PAGEREF d0e109</w:instrText>
        </w:r>
        <w:r>
          <w:fldChar w:fldCharType="separate"/>
        </w:r>
        <w:r w:rsidR="009A5092">
          <w:rPr>
            <w:noProof/>
            <w:color w:val="000000"/>
          </w:rPr>
          <w:t>v</w:t>
        </w:r>
        <w:r>
          <w:fldChar w:fldCharType="end"/>
        </w:r>
      </w:hyperlink>
    </w:p>
    <w:p w:rsidR="002920E7" w:rsidRDefault="001B4661">
      <w:pPr>
        <w:tabs>
          <w:tab w:val="right" w:leader="dot" w:pos="8120"/>
        </w:tabs>
        <w:spacing w:after="0" w:line="240" w:lineRule="auto"/>
        <w:ind w:right="480"/>
      </w:pPr>
      <w:hyperlink w:anchor="d0e165">
        <w:r w:rsidR="007A2A9B">
          <w:rPr>
            <w:color w:val="000000"/>
          </w:rPr>
          <w:t>Introduction</w:t>
        </w:r>
      </w:hyperlink>
      <w:r w:rsidR="007A2A9B">
        <w:rPr>
          <w:color w:val="000000"/>
        </w:rPr>
        <w:tab/>
      </w:r>
      <w:hyperlink w:anchor="d0e165">
        <w:r w:rsidR="007A2A9B">
          <w:fldChar w:fldCharType="begin"/>
        </w:r>
        <w:r w:rsidR="007A2A9B">
          <w:rPr>
            <w:color w:val="000000"/>
          </w:rPr>
          <w:instrText>PAGEREF d0e165</w:instrText>
        </w:r>
        <w:r w:rsidR="007A2A9B">
          <w:fldChar w:fldCharType="separate"/>
        </w:r>
        <w:r w:rsidR="009A5092">
          <w:rPr>
            <w:noProof/>
            <w:color w:val="000000"/>
          </w:rPr>
          <w:t>vi</w:t>
        </w:r>
        <w:r w:rsidR="007A2A9B">
          <w:fldChar w:fldCharType="end"/>
        </w:r>
      </w:hyperlink>
    </w:p>
    <w:p w:rsidR="002920E7" w:rsidRDefault="001B4661">
      <w:pPr>
        <w:tabs>
          <w:tab w:val="right" w:leader="dot" w:pos="8120"/>
        </w:tabs>
        <w:spacing w:after="0" w:line="240" w:lineRule="auto"/>
        <w:ind w:right="480"/>
      </w:pPr>
      <w:hyperlink w:anchor="d0e186">
        <w:r w:rsidR="007A2A9B">
          <w:rPr>
            <w:color w:val="000000"/>
          </w:rPr>
          <w:t>Conventions Used</w:t>
        </w:r>
      </w:hyperlink>
      <w:r w:rsidR="007A2A9B">
        <w:rPr>
          <w:color w:val="000000"/>
        </w:rPr>
        <w:tab/>
      </w:r>
      <w:hyperlink w:anchor="d0e186">
        <w:r w:rsidR="007A2A9B">
          <w:fldChar w:fldCharType="begin"/>
        </w:r>
        <w:r w:rsidR="007A2A9B">
          <w:rPr>
            <w:color w:val="000000"/>
          </w:rPr>
          <w:instrText>PAGEREF d0e186</w:instrText>
        </w:r>
        <w:r w:rsidR="007A2A9B">
          <w:fldChar w:fldCharType="separate"/>
        </w:r>
        <w:r w:rsidR="009A5092">
          <w:rPr>
            <w:noProof/>
            <w:color w:val="000000"/>
          </w:rPr>
          <w:t>vii</w:t>
        </w:r>
        <w:r w:rsidR="007A2A9B">
          <w:fldChar w:fldCharType="end"/>
        </w:r>
      </w:hyperlink>
    </w:p>
    <w:p w:rsidR="002920E7" w:rsidRDefault="001B4661">
      <w:pPr>
        <w:tabs>
          <w:tab w:val="right" w:leader="dot" w:pos="8120"/>
        </w:tabs>
        <w:spacing w:after="0" w:line="240" w:lineRule="auto"/>
        <w:ind w:right="480"/>
      </w:pPr>
      <w:hyperlink w:anchor="d0e277">
        <w:r w:rsidR="007A2A9B">
          <w:rPr>
            <w:color w:val="000000"/>
          </w:rPr>
          <w:t>1. Anaphylaxis Treatment Protocol</w:t>
        </w:r>
      </w:hyperlink>
      <w:r w:rsidR="007A2A9B">
        <w:rPr>
          <w:color w:val="000000"/>
        </w:rPr>
        <w:tab/>
      </w:r>
      <w:hyperlink w:anchor="d0e277">
        <w:r w:rsidR="007A2A9B">
          <w:fldChar w:fldCharType="begin"/>
        </w:r>
        <w:r w:rsidR="007A2A9B">
          <w:rPr>
            <w:color w:val="000000"/>
          </w:rPr>
          <w:instrText>PAGEREF d0e277</w:instrText>
        </w:r>
        <w:r w:rsidR="007A2A9B">
          <w:fldChar w:fldCharType="separate"/>
        </w:r>
        <w:r w:rsidR="009A5092">
          <w:rPr>
            <w:noProof/>
            <w:color w:val="000000"/>
          </w:rPr>
          <w:t>1</w:t>
        </w:r>
        <w:r w:rsidR="007A2A9B">
          <w:fldChar w:fldCharType="end"/>
        </w:r>
      </w:hyperlink>
    </w:p>
    <w:bookmarkStart w:id="3" w:name="toc_d0e3_d0e277"/>
    <w:p w:rsidR="002920E7" w:rsidRDefault="007A2A9B">
      <w:pPr>
        <w:tabs>
          <w:tab w:val="right" w:leader="dot" w:pos="8120"/>
        </w:tabs>
        <w:spacing w:after="0" w:line="240" w:lineRule="auto"/>
        <w:ind w:left="480" w:right="480"/>
      </w:pPr>
      <w:r>
        <w:fldChar w:fldCharType="begin"/>
      </w:r>
      <w:r>
        <w:instrText xml:space="preserve"> HYPERLINK \l "d0e280" \h </w:instrText>
      </w:r>
      <w:r>
        <w:fldChar w:fldCharType="separate"/>
      </w:r>
      <w:r>
        <w:rPr>
          <w:color w:val="000000"/>
        </w:rPr>
        <w:t>1. Clinical Context</w:t>
      </w:r>
      <w:r>
        <w:rPr>
          <w:color w:val="000000"/>
        </w:rPr>
        <w:fldChar w:fldCharType="end"/>
      </w:r>
      <w:r>
        <w:rPr>
          <w:color w:val="000000"/>
        </w:rPr>
        <w:tab/>
      </w:r>
      <w:hyperlink w:anchor="d0e280">
        <w:r>
          <w:fldChar w:fldCharType="begin"/>
        </w:r>
        <w:r>
          <w:rPr>
            <w:color w:val="000000"/>
          </w:rPr>
          <w:instrText>PAGEREF d0e280</w:instrText>
        </w:r>
        <w:r>
          <w:fldChar w:fldCharType="separate"/>
        </w:r>
        <w:r w:rsidR="009A5092">
          <w:rPr>
            <w:noProof/>
            <w:color w:val="000000"/>
          </w:rPr>
          <w:t>1</w:t>
        </w:r>
        <w:r>
          <w:fldChar w:fldCharType="end"/>
        </w:r>
      </w:hyperlink>
    </w:p>
    <w:bookmarkEnd w:id="3"/>
    <w:p w:rsidR="002920E7" w:rsidRDefault="007A2A9B">
      <w:pPr>
        <w:tabs>
          <w:tab w:val="right" w:leader="dot" w:pos="8120"/>
        </w:tabs>
        <w:spacing w:after="0" w:line="240" w:lineRule="auto"/>
        <w:ind w:left="480" w:right="480"/>
      </w:pPr>
      <w:r>
        <w:fldChar w:fldCharType="begin"/>
      </w:r>
      <w:r>
        <w:instrText xml:space="preserve"> HYPERLINK \l "d0e315" \h </w:instrText>
      </w:r>
      <w:r>
        <w:fldChar w:fldCharType="separate"/>
      </w:r>
      <w:r>
        <w:rPr>
          <w:color w:val="000000"/>
        </w:rPr>
        <w:t>2. Knowledge Artifacts</w:t>
      </w:r>
      <w:r>
        <w:rPr>
          <w:color w:val="000000"/>
        </w:rPr>
        <w:fldChar w:fldCharType="end"/>
      </w:r>
      <w:r>
        <w:rPr>
          <w:color w:val="000000"/>
        </w:rPr>
        <w:tab/>
      </w:r>
      <w:hyperlink w:anchor="d0e315">
        <w:r>
          <w:fldChar w:fldCharType="begin"/>
        </w:r>
        <w:r>
          <w:rPr>
            <w:color w:val="000000"/>
          </w:rPr>
          <w:instrText>PAGEREF d0e315</w:instrText>
        </w:r>
        <w:r>
          <w:fldChar w:fldCharType="separate"/>
        </w:r>
        <w:r w:rsidR="009A5092">
          <w:rPr>
            <w:noProof/>
            <w:color w:val="000000"/>
          </w:rPr>
          <w:t>1</w:t>
        </w:r>
        <w:r>
          <w:fldChar w:fldCharType="end"/>
        </w:r>
      </w:hyperlink>
    </w:p>
    <w:p w:rsidR="002920E7" w:rsidRDefault="001B4661">
      <w:pPr>
        <w:tabs>
          <w:tab w:val="right" w:leader="dot" w:pos="8120"/>
        </w:tabs>
        <w:spacing w:after="0" w:line="240" w:lineRule="auto"/>
        <w:ind w:right="480"/>
      </w:pPr>
      <w:hyperlink w:anchor="d0e333">
        <w:r w:rsidR="007A2A9B">
          <w:rPr>
            <w:color w:val="000000"/>
          </w:rPr>
          <w:t>2. Order Set</w:t>
        </w:r>
      </w:hyperlink>
      <w:r w:rsidR="007A2A9B">
        <w:rPr>
          <w:color w:val="000000"/>
        </w:rPr>
        <w:tab/>
      </w:r>
      <w:hyperlink w:anchor="d0e333">
        <w:r w:rsidR="007A2A9B">
          <w:fldChar w:fldCharType="begin"/>
        </w:r>
        <w:r w:rsidR="007A2A9B">
          <w:rPr>
            <w:color w:val="000000"/>
          </w:rPr>
          <w:instrText>PAGEREF d0e333</w:instrText>
        </w:r>
        <w:r w:rsidR="007A2A9B">
          <w:fldChar w:fldCharType="separate"/>
        </w:r>
        <w:r w:rsidR="009A5092">
          <w:rPr>
            <w:noProof/>
            <w:color w:val="000000"/>
          </w:rPr>
          <w:t>2</w:t>
        </w:r>
        <w:r w:rsidR="007A2A9B">
          <w:fldChar w:fldCharType="end"/>
        </w:r>
      </w:hyperlink>
    </w:p>
    <w:bookmarkStart w:id="4" w:name="toc_d0e3_d0e333"/>
    <w:p w:rsidR="002920E7" w:rsidRDefault="007A2A9B">
      <w:pPr>
        <w:tabs>
          <w:tab w:val="right" w:leader="dot" w:pos="8120"/>
        </w:tabs>
        <w:spacing w:after="0" w:line="240" w:lineRule="auto"/>
        <w:ind w:left="480" w:right="480"/>
      </w:pPr>
      <w:r>
        <w:fldChar w:fldCharType="begin"/>
      </w:r>
      <w:r>
        <w:instrText xml:space="preserve"> HYPERLINK \l "d0e338" \h </w:instrText>
      </w:r>
      <w:r>
        <w:fldChar w:fldCharType="separate"/>
      </w:r>
      <w:r>
        <w:rPr>
          <w:color w:val="000000"/>
        </w:rPr>
        <w:t>1. Knowledge Narrative</w:t>
      </w:r>
      <w:r>
        <w:rPr>
          <w:color w:val="000000"/>
        </w:rPr>
        <w:fldChar w:fldCharType="end"/>
      </w:r>
      <w:r>
        <w:rPr>
          <w:color w:val="000000"/>
        </w:rPr>
        <w:tab/>
      </w:r>
      <w:hyperlink w:anchor="d0e338">
        <w:r>
          <w:fldChar w:fldCharType="begin"/>
        </w:r>
        <w:r>
          <w:rPr>
            <w:color w:val="000000"/>
          </w:rPr>
          <w:instrText>PAGEREF d0e338</w:instrText>
        </w:r>
        <w:r>
          <w:fldChar w:fldCharType="separate"/>
        </w:r>
        <w:r w:rsidR="009A5092">
          <w:rPr>
            <w:noProof/>
            <w:color w:val="000000"/>
          </w:rPr>
          <w:t>2</w:t>
        </w:r>
        <w:r>
          <w:fldChar w:fldCharType="end"/>
        </w:r>
      </w:hyperlink>
    </w:p>
    <w:bookmarkEnd w:id="4"/>
    <w:p w:rsidR="002920E7" w:rsidRDefault="007A2A9B">
      <w:pPr>
        <w:tabs>
          <w:tab w:val="right" w:leader="dot" w:pos="8120"/>
        </w:tabs>
        <w:spacing w:after="0" w:line="240" w:lineRule="auto"/>
        <w:ind w:left="480" w:right="480"/>
      </w:pPr>
      <w:r>
        <w:fldChar w:fldCharType="begin"/>
      </w:r>
      <w:r>
        <w:instrText xml:space="preserve"> HYPERLINK \l "d0e343" \h </w:instrText>
      </w:r>
      <w:r>
        <w:fldChar w:fldCharType="separate"/>
      </w:r>
      <w:r>
        <w:rPr>
          <w:color w:val="000000"/>
        </w:rPr>
        <w:t>2. Medications</w:t>
      </w:r>
      <w:r>
        <w:rPr>
          <w:color w:val="000000"/>
        </w:rPr>
        <w:fldChar w:fldCharType="end"/>
      </w:r>
      <w:r>
        <w:rPr>
          <w:color w:val="000000"/>
        </w:rPr>
        <w:tab/>
      </w:r>
      <w:hyperlink w:anchor="d0e343">
        <w:r>
          <w:fldChar w:fldCharType="begin"/>
        </w:r>
        <w:r>
          <w:rPr>
            <w:color w:val="000000"/>
          </w:rPr>
          <w:instrText>PAGEREF d0e343</w:instrText>
        </w:r>
        <w:r>
          <w:fldChar w:fldCharType="separate"/>
        </w:r>
        <w:r w:rsidR="009A5092">
          <w:rPr>
            <w:noProof/>
            <w:color w:val="000000"/>
          </w:rPr>
          <w:t>2</w:t>
        </w:r>
        <w:r>
          <w:fldChar w:fldCharType="end"/>
        </w:r>
      </w:hyperlink>
    </w:p>
    <w:p w:rsidR="002920E7" w:rsidRDefault="001B4661">
      <w:pPr>
        <w:tabs>
          <w:tab w:val="right" w:leader="dot" w:pos="8120"/>
        </w:tabs>
        <w:spacing w:after="0" w:line="240" w:lineRule="auto"/>
        <w:ind w:left="480" w:right="480"/>
      </w:pPr>
      <w:hyperlink w:anchor="d0e361">
        <w:r w:rsidR="007A2A9B">
          <w:rPr>
            <w:color w:val="000000"/>
          </w:rPr>
          <w:t>3. Consults and Referrals</w:t>
        </w:r>
      </w:hyperlink>
      <w:r w:rsidR="007A2A9B">
        <w:rPr>
          <w:color w:val="000000"/>
        </w:rPr>
        <w:tab/>
      </w:r>
      <w:hyperlink w:anchor="d0e361">
        <w:r w:rsidR="007A2A9B">
          <w:fldChar w:fldCharType="begin"/>
        </w:r>
        <w:r w:rsidR="007A2A9B">
          <w:rPr>
            <w:color w:val="000000"/>
          </w:rPr>
          <w:instrText>PAGEREF d0e361</w:instrText>
        </w:r>
        <w:r w:rsidR="007A2A9B">
          <w:fldChar w:fldCharType="separate"/>
        </w:r>
        <w:r w:rsidR="009A5092">
          <w:rPr>
            <w:noProof/>
            <w:color w:val="000000"/>
          </w:rPr>
          <w:t>2</w:t>
        </w:r>
        <w:r w:rsidR="007A2A9B">
          <w:fldChar w:fldCharType="end"/>
        </w:r>
      </w:hyperlink>
    </w:p>
    <w:p w:rsidR="002920E7" w:rsidRDefault="001B4661">
      <w:pPr>
        <w:tabs>
          <w:tab w:val="right" w:leader="dot" w:pos="8120"/>
        </w:tabs>
        <w:spacing w:after="0" w:line="240" w:lineRule="auto"/>
        <w:ind w:left="480" w:right="480"/>
      </w:pPr>
      <w:hyperlink w:anchor="d0e376">
        <w:r w:rsidR="007A2A9B">
          <w:rPr>
            <w:color w:val="000000"/>
          </w:rPr>
          <w:t>4. Patient and Caregiver Education</w:t>
        </w:r>
      </w:hyperlink>
      <w:r w:rsidR="007A2A9B">
        <w:rPr>
          <w:color w:val="000000"/>
        </w:rPr>
        <w:tab/>
      </w:r>
      <w:hyperlink w:anchor="d0e376">
        <w:r w:rsidR="007A2A9B">
          <w:fldChar w:fldCharType="begin"/>
        </w:r>
        <w:r w:rsidR="007A2A9B">
          <w:rPr>
            <w:color w:val="000000"/>
          </w:rPr>
          <w:instrText>PAGEREF d0e376</w:instrText>
        </w:r>
        <w:r w:rsidR="007A2A9B">
          <w:fldChar w:fldCharType="separate"/>
        </w:r>
        <w:r w:rsidR="009A5092">
          <w:rPr>
            <w:noProof/>
            <w:color w:val="000000"/>
          </w:rPr>
          <w:t>2</w:t>
        </w:r>
        <w:r w:rsidR="007A2A9B">
          <w:fldChar w:fldCharType="end"/>
        </w:r>
      </w:hyperlink>
    </w:p>
    <w:p w:rsidR="002920E7" w:rsidRDefault="001B4661">
      <w:pPr>
        <w:tabs>
          <w:tab w:val="right" w:leader="dot" w:pos="8120"/>
        </w:tabs>
        <w:spacing w:after="0" w:line="240" w:lineRule="auto"/>
        <w:ind w:right="480"/>
      </w:pPr>
      <w:hyperlink w:anchor="d0e411">
        <w:r w:rsidR="007A2A9B">
          <w:rPr>
            <w:color w:val="000000"/>
          </w:rPr>
          <w:t>Bibliography/Evidence</w:t>
        </w:r>
      </w:hyperlink>
      <w:r w:rsidR="007A2A9B">
        <w:rPr>
          <w:color w:val="000000"/>
        </w:rPr>
        <w:tab/>
      </w:r>
      <w:hyperlink w:anchor="d0e411">
        <w:r w:rsidR="007A2A9B">
          <w:fldChar w:fldCharType="begin"/>
        </w:r>
        <w:r w:rsidR="007A2A9B">
          <w:rPr>
            <w:color w:val="000000"/>
          </w:rPr>
          <w:instrText>PAGEREF d0e411</w:instrText>
        </w:r>
        <w:r w:rsidR="007A2A9B">
          <w:fldChar w:fldCharType="separate"/>
        </w:r>
        <w:r w:rsidR="009A5092">
          <w:rPr>
            <w:noProof/>
            <w:color w:val="000000"/>
          </w:rPr>
          <w:t>4</w:t>
        </w:r>
        <w:r w:rsidR="007A2A9B">
          <w:fldChar w:fldCharType="end"/>
        </w:r>
      </w:hyperlink>
    </w:p>
    <w:p w:rsidR="002920E7" w:rsidRDefault="001B4661">
      <w:pPr>
        <w:tabs>
          <w:tab w:val="right" w:leader="dot" w:pos="8120"/>
        </w:tabs>
        <w:spacing w:after="0" w:line="240" w:lineRule="auto"/>
        <w:ind w:right="480"/>
      </w:pPr>
      <w:hyperlink w:anchor="d0e507">
        <w:r w:rsidR="007A2A9B">
          <w:rPr>
            <w:color w:val="000000"/>
          </w:rPr>
          <w:t>A. Acronyms/Abbreviations</w:t>
        </w:r>
      </w:hyperlink>
      <w:r w:rsidR="007A2A9B">
        <w:rPr>
          <w:color w:val="000000"/>
        </w:rPr>
        <w:tab/>
      </w:r>
      <w:hyperlink w:anchor="d0e507">
        <w:r w:rsidR="007A2A9B">
          <w:fldChar w:fldCharType="begin"/>
        </w:r>
        <w:r w:rsidR="007A2A9B">
          <w:rPr>
            <w:color w:val="000000"/>
          </w:rPr>
          <w:instrText>PAGEREF d0e507</w:instrText>
        </w:r>
        <w:r w:rsidR="007A2A9B">
          <w:fldChar w:fldCharType="separate"/>
        </w:r>
        <w:r w:rsidR="009A5092">
          <w:rPr>
            <w:noProof/>
            <w:color w:val="000000"/>
          </w:rPr>
          <w:t>5</w:t>
        </w:r>
        <w:r w:rsidR="007A2A9B">
          <w:fldChar w:fldCharType="end"/>
        </w:r>
      </w:hyperlink>
    </w:p>
    <w:p w:rsidR="002920E7" w:rsidRDefault="002920E7">
      <w:pPr>
        <w:sectPr w:rsidR="002920E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pgNumType w:fmt="lowerRoman"/>
          <w:cols w:space="720"/>
          <w:titlePg/>
        </w:sectPr>
      </w:pPr>
    </w:p>
    <w:p w:rsidR="002920E7" w:rsidRDefault="007A2A9B">
      <w:pPr>
        <w:spacing w:before="518" w:after="0" w:line="240" w:lineRule="auto"/>
      </w:pPr>
      <w:bookmarkStart w:id="5" w:name="lot___table___d0e3"/>
      <w:r>
        <w:rPr>
          <w:rFonts w:ascii="Arial" w:hAnsi="Arial"/>
          <w:b/>
          <w:color w:val="000000"/>
          <w:sz w:val="35"/>
        </w:rPr>
        <w:t>List of Tables</w:t>
      </w:r>
    </w:p>
    <w:bookmarkEnd w:id="5"/>
    <w:p w:rsidR="002920E7" w:rsidRDefault="007A2A9B">
      <w:pPr>
        <w:tabs>
          <w:tab w:val="right" w:leader="dot" w:pos="8120"/>
        </w:tabs>
        <w:spacing w:before="173" w:after="0" w:line="240" w:lineRule="auto"/>
        <w:ind w:right="480"/>
      </w:pPr>
      <w:r>
        <w:fldChar w:fldCharType="begin"/>
      </w:r>
      <w:r>
        <w:instrText xml:space="preserve"> HYPERLINK \l "d0e43" \h </w:instrText>
      </w:r>
      <w:r>
        <w:fldChar w:fldCharType="separate"/>
      </w:r>
      <w:r>
        <w:rPr>
          <w:color w:val="000000"/>
        </w:rPr>
        <w:t>1. Relevant KNART Information</w:t>
      </w:r>
      <w:r>
        <w:rPr>
          <w:color w:val="000000"/>
        </w:rPr>
        <w:fldChar w:fldCharType="end"/>
      </w:r>
      <w:r>
        <w:rPr>
          <w:color w:val="000000"/>
        </w:rPr>
        <w:tab/>
      </w:r>
      <w:hyperlink w:anchor="d0e43">
        <w:r>
          <w:fldChar w:fldCharType="begin"/>
        </w:r>
        <w:r>
          <w:rPr>
            <w:color w:val="000000"/>
          </w:rPr>
          <w:instrText>PAGEREF d0e43</w:instrText>
        </w:r>
        <w:r>
          <w:fldChar w:fldCharType="separate"/>
        </w:r>
        <w:r w:rsidR="009A5092">
          <w:rPr>
            <w:noProof/>
            <w:color w:val="000000"/>
          </w:rPr>
          <w:t>ii</w:t>
        </w:r>
        <w:r>
          <w:fldChar w:fldCharType="end"/>
        </w:r>
      </w:hyperlink>
    </w:p>
    <w:p w:rsidR="002920E7" w:rsidRDefault="001B4661">
      <w:pPr>
        <w:tabs>
          <w:tab w:val="right" w:leader="dot" w:pos="8120"/>
        </w:tabs>
        <w:spacing w:after="0" w:line="240" w:lineRule="auto"/>
        <w:ind w:right="480"/>
      </w:pPr>
      <w:hyperlink w:anchor="d0e285">
        <w:r w:rsidR="007A2A9B">
          <w:rPr>
            <w:color w:val="000000"/>
          </w:rPr>
          <w:t>1.1. Clinical Context Domains</w:t>
        </w:r>
      </w:hyperlink>
      <w:r w:rsidR="007A2A9B">
        <w:rPr>
          <w:color w:val="000000"/>
        </w:rPr>
        <w:tab/>
      </w:r>
      <w:hyperlink w:anchor="d0e285">
        <w:r w:rsidR="007A2A9B">
          <w:fldChar w:fldCharType="begin"/>
        </w:r>
        <w:r w:rsidR="007A2A9B">
          <w:rPr>
            <w:color w:val="000000"/>
          </w:rPr>
          <w:instrText>PAGEREF d0e285</w:instrText>
        </w:r>
        <w:r w:rsidR="007A2A9B">
          <w:fldChar w:fldCharType="separate"/>
        </w:r>
        <w:r w:rsidR="009A5092">
          <w:rPr>
            <w:noProof/>
            <w:color w:val="000000"/>
          </w:rPr>
          <w:t>1</w:t>
        </w:r>
        <w:r w:rsidR="007A2A9B">
          <w:fldChar w:fldCharType="end"/>
        </w:r>
      </w:hyperlink>
    </w:p>
    <w:p w:rsidR="002920E7" w:rsidRDefault="002920E7">
      <w:pPr>
        <w:sectPr w:rsidR="002920E7">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pgNumType w:fmt="lowerRoman"/>
          <w:cols w:space="720"/>
          <w:titlePg/>
        </w:sectPr>
      </w:pPr>
    </w:p>
    <w:p w:rsidR="002920E7" w:rsidRDefault="007A2A9B">
      <w:pPr>
        <w:keepNext/>
        <w:spacing w:before="200" w:after="0" w:line="240" w:lineRule="auto"/>
      </w:pPr>
      <w:bookmarkStart w:id="6" w:name="d0e109"/>
      <w:r>
        <w:rPr>
          <w:rFonts w:ascii="Arial" w:hAnsi="Arial"/>
          <w:b/>
          <w:color w:val="000000"/>
          <w:sz w:val="50"/>
        </w:rPr>
        <w:t>VA Subject Matter Expert (SME) Panel</w:t>
      </w:r>
    </w:p>
    <w:bookmarkEnd w:id="6"/>
    <w:p w:rsidR="002920E7" w:rsidRDefault="002920E7">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2920E7">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2920E7" w:rsidRDefault="007A2A9B">
            <w:pPr>
              <w:keepNext/>
              <w:spacing w:after="0" w:line="240" w:lineRule="auto"/>
            </w:pPr>
            <w:bookmarkStart w:id="7" w:name="va_SME_List"/>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2920E7" w:rsidRDefault="007A2A9B">
            <w:pPr>
              <w:spacing w:after="0" w:line="240" w:lineRule="auto"/>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2920E7" w:rsidRDefault="007A2A9B">
            <w:pPr>
              <w:spacing w:after="0" w:line="240" w:lineRule="auto"/>
            </w:pPr>
            <w:r>
              <w:rPr>
                <w:b/>
                <w:color w:val="000000"/>
              </w:rPr>
              <w:t>Project Role</w:t>
            </w:r>
          </w:p>
        </w:tc>
      </w:tr>
      <w:bookmarkEnd w:id="7"/>
      <w:tr w:rsidR="002920E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Angela Denietolis, MD</w:t>
            </w:r>
          </w:p>
        </w:tc>
        <w:tc>
          <w:tcPr>
            <w:tcW w:w="2978"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James A. Haley Veterans Hospital Tampa VAMC, Tampa, FL</w:t>
            </w:r>
          </w:p>
        </w:tc>
        <w:tc>
          <w:tcPr>
            <w:tcW w:w="3069"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SME, Primary</w:t>
            </w:r>
          </w:p>
        </w:tc>
      </w:tr>
      <w:tr w:rsidR="002920E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Pat Dumas</w:t>
            </w:r>
          </w:p>
        </w:tc>
        <w:tc>
          <w:tcPr>
            <w:tcW w:w="2978"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Clinical Program Director, Washington, DC</w:t>
            </w:r>
          </w:p>
        </w:tc>
        <w:tc>
          <w:tcPr>
            <w:tcW w:w="3069"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SME, Secondary</w:t>
            </w:r>
          </w:p>
        </w:tc>
      </w:tr>
      <w:tr w:rsidR="002920E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Manish Merchant, MD</w:t>
            </w:r>
          </w:p>
        </w:tc>
        <w:tc>
          <w:tcPr>
            <w:tcW w:w="2978"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Chief of Primary Care, Health Informaticist, Albany VAMC, Albany, NY</w:t>
            </w:r>
          </w:p>
        </w:tc>
        <w:tc>
          <w:tcPr>
            <w:tcW w:w="3069"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SME</w:t>
            </w:r>
          </w:p>
        </w:tc>
      </w:tr>
      <w:tr w:rsidR="002920E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Adrian D'Amico, MD</w:t>
            </w:r>
          </w:p>
        </w:tc>
        <w:tc>
          <w:tcPr>
            <w:tcW w:w="2978"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Pittsburgh VAMC, VA Pittsburgh Healthcare System, Pittsburgh, PA</w:t>
            </w:r>
          </w:p>
        </w:tc>
        <w:tc>
          <w:tcPr>
            <w:tcW w:w="3069"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SME</w:t>
            </w:r>
          </w:p>
        </w:tc>
      </w:tr>
      <w:tr w:rsidR="002920E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Joshua Geiger, MD</w:t>
            </w:r>
          </w:p>
        </w:tc>
        <w:tc>
          <w:tcPr>
            <w:tcW w:w="2978"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Health System Specialist, Gainesville VAMC, Gainesville, FL</w:t>
            </w:r>
          </w:p>
        </w:tc>
        <w:tc>
          <w:tcPr>
            <w:tcW w:w="3069"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SME</w:t>
            </w:r>
          </w:p>
        </w:tc>
      </w:tr>
      <w:tr w:rsidR="002920E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Chad Kessler, MD</w:t>
            </w:r>
          </w:p>
        </w:tc>
        <w:tc>
          <w:tcPr>
            <w:tcW w:w="2978"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Durham VAMC, Durham, NC</w:t>
            </w:r>
          </w:p>
        </w:tc>
        <w:tc>
          <w:tcPr>
            <w:tcW w:w="3069"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SME</w:t>
            </w:r>
          </w:p>
        </w:tc>
      </w:tr>
    </w:tbl>
    <w:p w:rsidR="002920E7" w:rsidRDefault="002920E7">
      <w:pPr>
        <w:sectPr w:rsidR="002920E7">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20" w:footer="720" w:gutter="0"/>
          <w:pgNumType w:fmt="lowerRoman"/>
          <w:cols w:space="720"/>
          <w:titlePg/>
        </w:sectPr>
      </w:pPr>
    </w:p>
    <w:p w:rsidR="002920E7" w:rsidRDefault="007A2A9B">
      <w:pPr>
        <w:keepNext/>
        <w:spacing w:before="200" w:after="0" w:line="240" w:lineRule="auto"/>
      </w:pPr>
      <w:bookmarkStart w:id="8" w:name="d0e165"/>
      <w:r>
        <w:rPr>
          <w:rFonts w:ascii="Arial" w:hAnsi="Arial"/>
          <w:b/>
          <w:color w:val="000000"/>
          <w:sz w:val="50"/>
        </w:rPr>
        <w:t>Introduction</w:t>
      </w:r>
    </w:p>
    <w:bookmarkEnd w:id="8"/>
    <w:p w:rsidR="002920E7" w:rsidRDefault="007A2A9B">
      <w:pPr>
        <w:spacing w:before="200" w:after="0" w:line="240" w:lineRule="auto"/>
      </w:pPr>
      <w:r>
        <w:rPr>
          <w:color w:val="000000"/>
        </w:rPr>
        <w:t xml:space="preserve">The VA is committed to improving the ability of clinicians to provide care for patients while increasing quality, safety, and efficiency. Recognizing the importance of standardizing clinical knowledge in support of this goal, VA is implementing the HL7 Knowledge Artifact Specification for a wide range of VA clinical use cases. Knowledge Artifacts, referred to as </w:t>
      </w:r>
      <w:hyperlink w:anchor="d17e243">
        <w:r>
          <w:rPr>
            <w:i/>
            <w:color w:val="000000"/>
          </w:rPr>
          <w:t>KNARTs</w:t>
        </w:r>
      </w:hyperlink>
      <w:r>
        <w:rPr>
          <w:color w:val="000000"/>
        </w:rPr>
        <w:t>, enable the structuring and encoding of clinical knowledge so the knowledge can be integrated with electronic health records to enable clinical decision support.</w:t>
      </w:r>
    </w:p>
    <w:p w:rsidR="002920E7" w:rsidRDefault="007A2A9B">
      <w:pPr>
        <w:spacing w:before="200" w:after="0" w:line="240" w:lineRule="auto"/>
      </w:pPr>
      <w:r>
        <w:rPr>
          <w:color w:val="000000"/>
        </w:rPr>
        <w:t>The purpose of this Clinical Content White Paper (</w:t>
      </w:r>
      <w:r>
        <w:rPr>
          <w:i/>
          <w:color w:val="000000"/>
        </w:rPr>
        <w:t>CCWP</w:t>
      </w:r>
      <w:r>
        <w:rPr>
          <w:color w:val="000000"/>
        </w:rPr>
        <w:t xml:space="preserve">) is to capture the clinical context and intent of KNART use cases in sufficient detail to provide the </w:t>
      </w:r>
      <w:hyperlink w:anchor="d17e237">
        <w:r>
          <w:rPr>
            <w:i/>
            <w:color w:val="000000"/>
          </w:rPr>
          <w:t>KNART</w:t>
        </w:r>
      </w:hyperlink>
      <w:r>
        <w:rPr>
          <w:color w:val="000000"/>
        </w:rPr>
        <w:t xml:space="preserve">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rsidR="002920E7" w:rsidRDefault="007A2A9B">
      <w:pPr>
        <w:spacing w:before="200" w:after="0" w:line="240" w:lineRule="auto"/>
      </w:pPr>
      <w:r>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rsidR="002920E7" w:rsidRDefault="002920E7">
      <w:pPr>
        <w:sectPr w:rsidR="002920E7">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20" w:footer="720" w:gutter="0"/>
          <w:pgNumType w:fmt="lowerRoman"/>
          <w:cols w:space="720"/>
          <w:titlePg/>
        </w:sectPr>
      </w:pPr>
    </w:p>
    <w:p w:rsidR="002920E7" w:rsidRDefault="007A2A9B">
      <w:pPr>
        <w:keepNext/>
        <w:spacing w:before="200" w:after="0" w:line="240" w:lineRule="auto"/>
      </w:pPr>
      <w:bookmarkStart w:id="9" w:name="d0e186"/>
      <w:r>
        <w:rPr>
          <w:rFonts w:ascii="Arial" w:hAnsi="Arial"/>
          <w:b/>
          <w:color w:val="000000"/>
          <w:sz w:val="50"/>
        </w:rPr>
        <w:t>Conventions Used</w:t>
      </w:r>
    </w:p>
    <w:bookmarkEnd w:id="9"/>
    <w:p w:rsidR="002920E7" w:rsidRDefault="007A2A9B">
      <w:pPr>
        <w:spacing w:before="200" w:after="0" w:line="240" w:lineRule="auto"/>
      </w:pPr>
      <w:r>
        <w:rPr>
          <w:color w:val="000000"/>
        </w:rPr>
        <w:t>Conventions used within the knowledge artifact descriptions include:</w:t>
      </w:r>
    </w:p>
    <w:p w:rsidR="002920E7" w:rsidRDefault="007A2A9B">
      <w:pPr>
        <w:tabs>
          <w:tab w:val="left" w:pos="200"/>
        </w:tabs>
        <w:spacing w:before="200" w:after="0" w:line="240" w:lineRule="auto"/>
        <w:ind w:left="200"/>
      </w:pPr>
      <w:bookmarkStart w:id="10" w:name="d0e192"/>
      <w:bookmarkStart w:id="11" w:name="d0e191"/>
      <w:r>
        <w:rPr>
          <w:i/>
          <w:color w:val="000000"/>
        </w:rPr>
        <w:t>&lt;obtain&gt;</w:t>
      </w:r>
      <w:r>
        <w:rPr>
          <w:color w:val="000000"/>
        </w:rPr>
        <w:t xml:space="preserve"> : Indicates a prompt to obtain the information listed</w:t>
      </w:r>
    </w:p>
    <w:p w:rsidR="002920E7" w:rsidRDefault="007A2A9B">
      <w:pPr>
        <w:numPr>
          <w:ilvl w:val="0"/>
          <w:numId w:val="1"/>
        </w:numPr>
        <w:tabs>
          <w:tab w:val="left" w:pos="400"/>
        </w:tabs>
        <w:spacing w:before="200" w:after="0" w:line="240" w:lineRule="auto"/>
        <w:ind w:left="400" w:hanging="200"/>
      </w:pPr>
      <w:bookmarkStart w:id="12" w:name="d0e198"/>
      <w:bookmarkStart w:id="13" w:name="d0e197"/>
      <w:bookmarkEnd w:id="10"/>
      <w:bookmarkEnd w:id="11"/>
      <w:r>
        <w:rPr>
          <w:color w:val="000000"/>
        </w:rPr>
        <w:t>If possible, the requested information should be obtained from the underlying system(s). Otherwise, prompting the user for information may be required</w:t>
      </w:r>
      <w:r w:rsidR="00086781">
        <w:rPr>
          <w:color w:val="000000"/>
        </w:rPr>
        <w:t>.</w:t>
      </w:r>
    </w:p>
    <w:p w:rsidR="002920E7" w:rsidRDefault="007A2A9B">
      <w:pPr>
        <w:numPr>
          <w:ilvl w:val="0"/>
          <w:numId w:val="1"/>
        </w:numPr>
        <w:tabs>
          <w:tab w:val="left" w:pos="400"/>
        </w:tabs>
        <w:spacing w:before="200" w:after="0" w:line="240" w:lineRule="auto"/>
        <w:ind w:left="400" w:hanging="200"/>
      </w:pPr>
      <w:bookmarkStart w:id="14" w:name="d0e201"/>
      <w:bookmarkEnd w:id="12"/>
      <w:bookmarkEnd w:id="13"/>
      <w:r>
        <w:rPr>
          <w:color w:val="000000"/>
        </w:rPr>
        <w:t>The technical and clinical notes associated with a section should be consulted for specific constraints on the information (e.g., time-frame, patient interview, etc.)</w:t>
      </w:r>
      <w:r w:rsidR="00086781">
        <w:rPr>
          <w:color w:val="000000"/>
        </w:rPr>
        <w:t>.</w:t>
      </w:r>
    </w:p>
    <w:p w:rsidR="002920E7" w:rsidRDefault="007A2A9B">
      <w:pPr>
        <w:numPr>
          <w:ilvl w:val="0"/>
          <w:numId w:val="1"/>
        </w:numPr>
        <w:tabs>
          <w:tab w:val="left" w:pos="400"/>
        </w:tabs>
        <w:spacing w:before="200" w:after="0" w:line="240" w:lineRule="auto"/>
        <w:ind w:left="400" w:hanging="200"/>
      </w:pPr>
      <w:bookmarkStart w:id="15" w:name="d0e204"/>
      <w:bookmarkEnd w:id="14"/>
      <w:r>
        <w:rPr>
          <w:color w:val="000000"/>
        </w:rPr>
        <w:t>Unless otherwise noted, &lt;obtain&gt; indicates to obtain the most recent observation. It is recognized that this default time-frame value may be altered by future implementations</w:t>
      </w:r>
      <w:r w:rsidR="00086781">
        <w:rPr>
          <w:color w:val="000000"/>
        </w:rPr>
        <w:t>.</w:t>
      </w:r>
    </w:p>
    <w:p w:rsidR="002920E7" w:rsidRDefault="007A2A9B">
      <w:pPr>
        <w:tabs>
          <w:tab w:val="left" w:pos="200"/>
        </w:tabs>
        <w:spacing w:before="200" w:after="0" w:line="240" w:lineRule="auto"/>
        <w:ind w:left="200"/>
      </w:pPr>
      <w:bookmarkStart w:id="16" w:name="d0e207"/>
      <w:bookmarkEnd w:id="15"/>
      <w:r>
        <w:rPr>
          <w:i/>
          <w:color w:val="000000"/>
        </w:rPr>
        <w:t>[...]</w:t>
      </w:r>
      <w:r>
        <w:rPr>
          <w:color w:val="000000"/>
        </w:rPr>
        <w:t>: Square brackets enclose explanatory text that indicates some action on the part of the user, or general guidance to the clinical or technical teams. Examples include, but are not limited to:</w:t>
      </w:r>
    </w:p>
    <w:p w:rsidR="002920E7" w:rsidRDefault="007A2A9B">
      <w:pPr>
        <w:tabs>
          <w:tab w:val="left" w:pos="400"/>
        </w:tabs>
        <w:spacing w:before="200" w:after="0" w:line="240" w:lineRule="auto"/>
        <w:ind w:left="400"/>
      </w:pPr>
      <w:bookmarkStart w:id="17" w:name="d0e213"/>
      <w:bookmarkStart w:id="18" w:name="d0e212"/>
      <w:bookmarkEnd w:id="16"/>
      <w:r>
        <w:rPr>
          <w:i/>
          <w:color w:val="000000"/>
        </w:rPr>
        <w:t>[Begin ...]</w:t>
      </w:r>
      <w:r>
        <w:rPr>
          <w:color w:val="000000"/>
        </w:rPr>
        <w:t xml:space="preserve"> , </w:t>
      </w:r>
      <w:r>
        <w:rPr>
          <w:i/>
          <w:color w:val="000000"/>
        </w:rPr>
        <w:t>[End ...]</w:t>
      </w:r>
      <w:r>
        <w:rPr>
          <w:color w:val="000000"/>
        </w:rPr>
        <w:t xml:space="preserve"> : Indicates the start and end of specific areas to clearly delineate them for technical purposes.</w:t>
      </w:r>
    </w:p>
    <w:p w:rsidR="002920E7" w:rsidRDefault="007A2A9B">
      <w:pPr>
        <w:tabs>
          <w:tab w:val="left" w:pos="400"/>
        </w:tabs>
        <w:spacing w:before="200" w:after="0" w:line="240" w:lineRule="auto"/>
        <w:ind w:left="400"/>
      </w:pPr>
      <w:bookmarkStart w:id="19" w:name="d0e221"/>
      <w:bookmarkEnd w:id="17"/>
      <w:bookmarkEnd w:id="18"/>
      <w:r>
        <w:rPr>
          <w:i/>
          <w:color w:val="000000"/>
        </w:rPr>
        <w:t>[Activate ...]</w:t>
      </w:r>
      <w:r>
        <w:rPr>
          <w:color w:val="000000"/>
        </w:rPr>
        <w:t xml:space="preserve"> : Initiates another knowledge artifact or knowledge artifact section.</w:t>
      </w:r>
    </w:p>
    <w:p w:rsidR="002920E7" w:rsidRDefault="007A2A9B">
      <w:pPr>
        <w:tabs>
          <w:tab w:val="left" w:pos="400"/>
        </w:tabs>
        <w:spacing w:before="200" w:after="0" w:line="240" w:lineRule="auto"/>
        <w:ind w:left="400"/>
      </w:pPr>
      <w:bookmarkStart w:id="20" w:name="d0e226"/>
      <w:bookmarkEnd w:id="19"/>
      <w:r>
        <w:rPr>
          <w:i/>
          <w:color w:val="000000"/>
        </w:rPr>
        <w:t>[Section Prompt: ...]</w:t>
      </w:r>
      <w:r>
        <w:rPr>
          <w:color w:val="000000"/>
        </w:rPr>
        <w:t xml:space="preserve"> : If this section is applicable, then the following prompt should be displayed to the user.</w:t>
      </w:r>
    </w:p>
    <w:p w:rsidR="002920E7" w:rsidRDefault="007A2A9B">
      <w:pPr>
        <w:tabs>
          <w:tab w:val="left" w:pos="400"/>
        </w:tabs>
        <w:spacing w:before="200" w:after="0" w:line="240" w:lineRule="auto"/>
        <w:ind w:left="400"/>
      </w:pPr>
      <w:bookmarkStart w:id="21" w:name="d0e231"/>
      <w:bookmarkEnd w:id="20"/>
      <w:r>
        <w:rPr>
          <w:i/>
          <w:color w:val="000000"/>
        </w:rPr>
        <w:t>[Section Selection Behavior: ...]</w:t>
      </w:r>
      <w:r>
        <w:rPr>
          <w:color w:val="000000"/>
        </w:rPr>
        <w:t xml:space="preserve"> : Indicates technical constraints or considerations for the selection of items within the section.</w:t>
      </w:r>
    </w:p>
    <w:p w:rsidR="002920E7" w:rsidRDefault="007A2A9B">
      <w:pPr>
        <w:tabs>
          <w:tab w:val="left" w:pos="400"/>
        </w:tabs>
        <w:spacing w:before="200" w:after="0" w:line="240" w:lineRule="auto"/>
        <w:ind w:left="400"/>
      </w:pPr>
      <w:bookmarkStart w:id="22" w:name="d0e236"/>
      <w:bookmarkEnd w:id="21"/>
      <w:r>
        <w:rPr>
          <w:i/>
          <w:color w:val="000000"/>
        </w:rPr>
        <w:t>[Attach: ...]</w:t>
      </w:r>
      <w:r>
        <w:rPr>
          <w:color w:val="000000"/>
        </w:rPr>
        <w:t xml:space="preserve"> : Indicates that the specified item should be attached to the documentation template if available.</w:t>
      </w:r>
    </w:p>
    <w:p w:rsidR="002920E7" w:rsidRDefault="007A2A9B">
      <w:pPr>
        <w:tabs>
          <w:tab w:val="left" w:pos="400"/>
        </w:tabs>
        <w:spacing w:before="200" w:after="0" w:line="240" w:lineRule="auto"/>
        <w:ind w:left="400"/>
      </w:pPr>
      <w:bookmarkStart w:id="23" w:name="d0e241"/>
      <w:bookmarkEnd w:id="22"/>
      <w:r>
        <w:rPr>
          <w:i/>
          <w:color w:val="000000"/>
        </w:rPr>
        <w:t>[Link: ...]</w:t>
      </w:r>
      <w:r>
        <w:rPr>
          <w:color w:val="000000"/>
        </w:rPr>
        <w:t xml:space="preserve"> : Indicates that rather than attaching an item, a link should be included in the documentation template.</w:t>
      </w:r>
    </w:p>
    <w:p w:rsidR="002920E7" w:rsidRDefault="007A2A9B">
      <w:pPr>
        <w:tabs>
          <w:tab w:val="left" w:pos="400"/>
        </w:tabs>
        <w:spacing w:before="200" w:after="0" w:line="240" w:lineRule="auto"/>
        <w:ind w:left="400"/>
      </w:pPr>
      <w:bookmarkStart w:id="24" w:name="d0e246"/>
      <w:bookmarkEnd w:id="23"/>
      <w:r>
        <w:rPr>
          <w:i/>
          <w:color w:val="000000"/>
        </w:rPr>
        <w:t>[Clinical Comment: ...]</w:t>
      </w:r>
      <w:r>
        <w:rPr>
          <w:color w:val="000000"/>
        </w:rPr>
        <w:t xml:space="preserve"> : Indicates clinical rationale or guidance.</w:t>
      </w:r>
    </w:p>
    <w:p w:rsidR="002920E7" w:rsidRDefault="007A2A9B">
      <w:pPr>
        <w:tabs>
          <w:tab w:val="left" w:pos="400"/>
        </w:tabs>
        <w:spacing w:before="200" w:after="0" w:line="240" w:lineRule="auto"/>
        <w:ind w:left="400"/>
      </w:pPr>
      <w:bookmarkStart w:id="25" w:name="d0e251"/>
      <w:bookmarkEnd w:id="24"/>
      <w:r>
        <w:rPr>
          <w:i/>
          <w:color w:val="000000"/>
        </w:rPr>
        <w:t>[Technical Note: ...]</w:t>
      </w:r>
      <w:r>
        <w:rPr>
          <w:color w:val="000000"/>
        </w:rPr>
        <w:t xml:space="preserve"> : Indicates technical considerations or notes.</w:t>
      </w:r>
    </w:p>
    <w:p w:rsidR="002920E7" w:rsidRDefault="007A2A9B">
      <w:pPr>
        <w:tabs>
          <w:tab w:val="left" w:pos="400"/>
        </w:tabs>
        <w:spacing w:before="200" w:after="0" w:line="240" w:lineRule="auto"/>
        <w:ind w:left="400"/>
      </w:pPr>
      <w:bookmarkStart w:id="26" w:name="d0e256"/>
      <w:bookmarkEnd w:id="25"/>
      <w:r>
        <w:rPr>
          <w:i/>
          <w:color w:val="000000"/>
        </w:rPr>
        <w:t>[If ...]</w:t>
      </w:r>
      <w:r>
        <w:rPr>
          <w:color w:val="000000"/>
        </w:rPr>
        <w:t xml:space="preserve"> : Indicates the beginning of a conditional section.</w:t>
      </w:r>
    </w:p>
    <w:p w:rsidR="002920E7" w:rsidRDefault="007A2A9B">
      <w:pPr>
        <w:tabs>
          <w:tab w:val="left" w:pos="400"/>
        </w:tabs>
        <w:spacing w:before="200" w:after="0" w:line="240" w:lineRule="auto"/>
        <w:ind w:left="400"/>
      </w:pPr>
      <w:bookmarkStart w:id="27" w:name="d0e261"/>
      <w:bookmarkEnd w:id="26"/>
      <w:r>
        <w:rPr>
          <w:i/>
          <w:color w:val="000000"/>
        </w:rPr>
        <w:t>[Else, ...]</w:t>
      </w:r>
      <w:r>
        <w:rPr>
          <w:color w:val="000000"/>
        </w:rPr>
        <w:t xml:space="preserve"> : Indicates the beginning of the alternative branch of a conditional section.</w:t>
      </w:r>
    </w:p>
    <w:p w:rsidR="002920E7" w:rsidRDefault="007A2A9B">
      <w:pPr>
        <w:tabs>
          <w:tab w:val="left" w:pos="400"/>
        </w:tabs>
        <w:spacing w:before="200" w:after="0" w:line="240" w:lineRule="auto"/>
        <w:ind w:left="400"/>
      </w:pPr>
      <w:bookmarkStart w:id="28" w:name="d0e266"/>
      <w:bookmarkEnd w:id="27"/>
      <w:r>
        <w:rPr>
          <w:i/>
          <w:color w:val="000000"/>
        </w:rPr>
        <w:t>[End if ...]</w:t>
      </w:r>
      <w:r>
        <w:rPr>
          <w:color w:val="000000"/>
        </w:rPr>
        <w:t xml:space="preserve"> : Indicates the end of a conditional section.</w:t>
      </w:r>
    </w:p>
    <w:p w:rsidR="002920E7" w:rsidRDefault="007A2A9B">
      <w:pPr>
        <w:tabs>
          <w:tab w:val="left" w:pos="200"/>
        </w:tabs>
        <w:spacing w:before="200" w:after="0" w:line="240" w:lineRule="auto"/>
        <w:ind w:left="200"/>
      </w:pPr>
      <w:bookmarkStart w:id="29" w:name="d0e271"/>
      <w:bookmarkEnd w:id="28"/>
      <w:r>
        <w:rPr>
          <w:color w:val="000000"/>
        </w:rPr>
        <w:t>[☐]</w:t>
      </w:r>
      <w:r>
        <w:rPr>
          <w:i/>
          <w:color w:val="000000"/>
        </w:rPr>
        <w:t xml:space="preserve"> [Check boxes]</w:t>
      </w:r>
      <w:r>
        <w:rPr>
          <w:color w:val="000000"/>
        </w:rPr>
        <w:t xml:space="preserve"> : Indicates items that should be selected based upon the section selection behavior.</w:t>
      </w:r>
    </w:p>
    <w:bookmarkEnd w:id="29"/>
    <w:p w:rsidR="002920E7" w:rsidRDefault="002920E7">
      <w:pPr>
        <w:sectPr w:rsidR="002920E7">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20" w:footer="720" w:gutter="0"/>
          <w:pgNumType w:fmt="lowerRoman"/>
          <w:cols w:space="720"/>
          <w:titlePg/>
        </w:sectPr>
      </w:pPr>
    </w:p>
    <w:p w:rsidR="002920E7" w:rsidRDefault="007A2A9B">
      <w:pPr>
        <w:keepNext/>
        <w:spacing w:before="200" w:after="0" w:line="240" w:lineRule="auto"/>
      </w:pPr>
      <w:bookmarkStart w:id="30" w:name="d0e277"/>
      <w:r>
        <w:rPr>
          <w:rFonts w:ascii="Arial" w:hAnsi="Arial"/>
          <w:b/>
          <w:color w:val="000000"/>
          <w:sz w:val="50"/>
        </w:rPr>
        <w:t>Chapter 1. Anaphylaxis Treatment Protocol</w:t>
      </w:r>
    </w:p>
    <w:p w:rsidR="002920E7" w:rsidRDefault="007A2A9B">
      <w:pPr>
        <w:spacing w:before="200" w:after="0" w:line="240" w:lineRule="auto"/>
      </w:pPr>
      <w:bookmarkStart w:id="31" w:name="d0e280"/>
      <w:bookmarkEnd w:id="30"/>
      <w:r>
        <w:rPr>
          <w:rFonts w:ascii="Arial" w:hAnsi="Arial"/>
          <w:b/>
          <w:color w:val="000000"/>
          <w:sz w:val="35"/>
        </w:rPr>
        <w:t>1. Clinical Context</w:t>
      </w:r>
    </w:p>
    <w:bookmarkEnd w:id="31"/>
    <w:p w:rsidR="002920E7" w:rsidRDefault="007A2A9B">
      <w:pPr>
        <w:spacing w:before="200" w:after="0" w:line="240" w:lineRule="auto"/>
      </w:pPr>
      <w:r>
        <w:rPr>
          <w:color w:val="000000"/>
        </w:rPr>
        <w:t>Anaphylaxis is a moderately common and immediately life-threatening condition. Prompt access to guideline-endorsed treatments is essential for successful resuscitation, and appropriate patient education is a critical part of follow-up to reduce the risk of future anaphylactic events. Disseminating best practices regarding anaphylaxis across the VA has the potential to enhance patient safety and improve patient outcomes.</w:t>
      </w:r>
    </w:p>
    <w:p w:rsidR="002920E7" w:rsidRDefault="007A2A9B">
      <w:pPr>
        <w:keepNext/>
        <w:spacing w:before="240" w:after="0" w:line="240" w:lineRule="auto"/>
      </w:pPr>
      <w:bookmarkStart w:id="32" w:name="d0e285"/>
      <w:r>
        <w:rPr>
          <w:b/>
          <w:color w:val="000000"/>
          <w:sz w:val="24"/>
        </w:rPr>
        <w:t>Table 1.1. Clinical Context Domains</w:t>
      </w:r>
    </w:p>
    <w:bookmarkEnd w:id="32"/>
    <w:p w:rsidR="002920E7" w:rsidRDefault="002920E7">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2920E7">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Provider to include Emergency Medicine</w:t>
            </w:r>
          </w:p>
        </w:tc>
      </w:tr>
      <w:tr w:rsidR="002920E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Adult patient</w:t>
            </w:r>
          </w:p>
        </w:tc>
      </w:tr>
      <w:tr w:rsidR="002920E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Routine</w:t>
            </w:r>
          </w:p>
        </w:tc>
      </w:tr>
      <w:tr w:rsidR="002920E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Emergency Medicine</w:t>
            </w:r>
          </w:p>
        </w:tc>
      </w:tr>
      <w:tr w:rsidR="002920E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Outpatient</w:t>
            </w:r>
          </w:p>
        </w:tc>
      </w:tr>
    </w:tbl>
    <w:p w:rsidR="002920E7" w:rsidRDefault="007A2A9B">
      <w:pPr>
        <w:spacing w:before="200" w:after="0" w:line="240" w:lineRule="auto"/>
      </w:pPr>
      <w:bookmarkStart w:id="33" w:name="d0e315"/>
      <w:r>
        <w:rPr>
          <w:rFonts w:ascii="Arial" w:hAnsi="Arial"/>
          <w:b/>
          <w:color w:val="000000"/>
          <w:sz w:val="35"/>
        </w:rPr>
        <w:t>2. Knowledge Artifacts</w:t>
      </w:r>
    </w:p>
    <w:bookmarkEnd w:id="33"/>
    <w:p w:rsidR="002920E7" w:rsidRDefault="007A2A9B">
      <w:pPr>
        <w:spacing w:before="200" w:after="0" w:line="240" w:lineRule="auto"/>
      </w:pPr>
      <w:r>
        <w:rPr>
          <w:color w:val="000000"/>
        </w:rPr>
        <w:t>This section describes the knowledge artifact that is intended to facilitate initiation of appropriate orders for follow-up after an anaphylactic event. The order set include</w:t>
      </w:r>
      <w:r w:rsidR="00086781">
        <w:rPr>
          <w:color w:val="000000"/>
        </w:rPr>
        <w:t>s</w:t>
      </w:r>
      <w:r>
        <w:rPr>
          <w:color w:val="000000"/>
        </w:rPr>
        <w:t xml:space="preserve"> appropriate follow-up of a stable adult patient with a recent diagnosis of anaphylaxis, including allergy consult, epinephrine auto-injector (Epi-Pen), and epinephrine auto-injector training device.</w:t>
      </w:r>
    </w:p>
    <w:p w:rsidR="002920E7" w:rsidRDefault="007A2A9B">
      <w:pPr>
        <w:spacing w:before="200" w:after="0" w:line="240" w:lineRule="auto"/>
      </w:pPr>
      <w:r>
        <w:rPr>
          <w:color w:val="000000"/>
        </w:rPr>
        <w:t>The knowledge artifact defines this clinical use case and is described in detail in the following section is:</w:t>
      </w:r>
    </w:p>
    <w:p w:rsidR="002920E7" w:rsidRDefault="007A2A9B">
      <w:pPr>
        <w:numPr>
          <w:ilvl w:val="0"/>
          <w:numId w:val="3"/>
        </w:numPr>
        <w:tabs>
          <w:tab w:val="left" w:pos="200"/>
        </w:tabs>
        <w:spacing w:before="200" w:after="0" w:line="240" w:lineRule="auto"/>
        <w:ind w:left="200" w:hanging="200"/>
      </w:pPr>
      <w:bookmarkStart w:id="34" w:name="d0e323"/>
      <w:bookmarkStart w:id="35" w:name="d0e322"/>
      <w:r>
        <w:rPr>
          <w:color w:val="000000"/>
        </w:rPr>
        <w:t>Order Set</w:t>
      </w:r>
    </w:p>
    <w:p w:rsidR="002920E7" w:rsidRDefault="007A2A9B">
      <w:pPr>
        <w:numPr>
          <w:ilvl w:val="0"/>
          <w:numId w:val="2"/>
        </w:numPr>
        <w:tabs>
          <w:tab w:val="left" w:pos="400"/>
        </w:tabs>
        <w:spacing w:before="200" w:after="0" w:line="240" w:lineRule="auto"/>
        <w:ind w:left="400" w:hanging="200"/>
      </w:pPr>
      <w:bookmarkStart w:id="36" w:name="d0e327"/>
      <w:bookmarkStart w:id="37" w:name="d0e326"/>
      <w:bookmarkEnd w:id="34"/>
      <w:bookmarkEnd w:id="35"/>
      <w:r>
        <w:rPr>
          <w:color w:val="000000"/>
        </w:rPr>
        <w:t>Orderable items</w:t>
      </w:r>
    </w:p>
    <w:p w:rsidR="002920E7" w:rsidRDefault="007A2A9B">
      <w:pPr>
        <w:numPr>
          <w:ilvl w:val="0"/>
          <w:numId w:val="2"/>
        </w:numPr>
        <w:tabs>
          <w:tab w:val="left" w:pos="400"/>
        </w:tabs>
        <w:spacing w:before="200" w:after="0" w:line="240" w:lineRule="auto"/>
        <w:ind w:left="400" w:hanging="200"/>
      </w:pPr>
      <w:bookmarkStart w:id="38" w:name="d0e330"/>
      <w:bookmarkEnd w:id="36"/>
      <w:bookmarkEnd w:id="37"/>
      <w:r>
        <w:rPr>
          <w:color w:val="000000"/>
        </w:rPr>
        <w:t>Includes logic for appropriate display of the order set</w:t>
      </w:r>
    </w:p>
    <w:bookmarkEnd w:id="38"/>
    <w:p w:rsidR="002920E7" w:rsidRDefault="002920E7">
      <w:pPr>
        <w:sectPr w:rsidR="002920E7">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20" w:footer="720" w:gutter="0"/>
          <w:pgNumType w:start="1"/>
          <w:cols w:space="720"/>
          <w:titlePg/>
        </w:sectPr>
      </w:pPr>
    </w:p>
    <w:p w:rsidR="002920E7" w:rsidRDefault="007A2A9B">
      <w:pPr>
        <w:keepNext/>
        <w:spacing w:before="200" w:after="0" w:line="240" w:lineRule="auto"/>
      </w:pPr>
      <w:bookmarkStart w:id="39" w:name="d0e333"/>
      <w:r>
        <w:rPr>
          <w:rFonts w:ascii="Arial" w:hAnsi="Arial"/>
          <w:b/>
          <w:color w:val="000000"/>
          <w:sz w:val="50"/>
        </w:rPr>
        <w:t>Chapter 2. Order Set</w:t>
      </w:r>
    </w:p>
    <w:bookmarkEnd w:id="39"/>
    <w:p w:rsidR="002920E7" w:rsidRDefault="007A2A9B">
      <w:pPr>
        <w:spacing w:before="200" w:after="0" w:line="240" w:lineRule="auto"/>
      </w:pPr>
      <w:r>
        <w:rPr>
          <w:color w:val="000000"/>
        </w:rPr>
        <w:t>[Begin Order Set.]</w:t>
      </w:r>
    </w:p>
    <w:p w:rsidR="002920E7" w:rsidRDefault="007A2A9B">
      <w:pPr>
        <w:spacing w:before="200" w:after="0" w:line="240" w:lineRule="auto"/>
      </w:pPr>
      <w:bookmarkStart w:id="40" w:name="d0e338"/>
      <w:r>
        <w:rPr>
          <w:rFonts w:ascii="Arial" w:hAnsi="Arial"/>
          <w:b/>
          <w:color w:val="000000"/>
          <w:sz w:val="35"/>
        </w:rPr>
        <w:t>1. Knowledge Narrative</w:t>
      </w:r>
    </w:p>
    <w:bookmarkEnd w:id="40"/>
    <w:p w:rsidR="002920E7" w:rsidRDefault="007A2A9B">
      <w:pPr>
        <w:spacing w:before="200" w:after="0" w:line="240" w:lineRule="auto"/>
      </w:pPr>
      <w:r>
        <w:rPr>
          <w:color w:val="000000"/>
        </w:rPr>
        <w:t>[See Clinical Context in Chapter 1.]</w:t>
      </w:r>
    </w:p>
    <w:p w:rsidR="002920E7" w:rsidRDefault="007A2A9B">
      <w:pPr>
        <w:spacing w:before="200" w:after="0" w:line="240" w:lineRule="auto"/>
      </w:pPr>
      <w:bookmarkStart w:id="41" w:name="d0e343"/>
      <w:r>
        <w:rPr>
          <w:rFonts w:ascii="Arial" w:hAnsi="Arial"/>
          <w:b/>
          <w:color w:val="000000"/>
          <w:sz w:val="35"/>
        </w:rPr>
        <w:t>2. Medications</w:t>
      </w:r>
    </w:p>
    <w:bookmarkEnd w:id="41"/>
    <w:p w:rsidR="002920E7" w:rsidRDefault="007A2A9B">
      <w:pPr>
        <w:spacing w:before="200" w:after="0" w:line="240" w:lineRule="auto"/>
      </w:pPr>
      <w:r>
        <w:rPr>
          <w:color w:val="000000"/>
        </w:rPr>
        <w:t>[Begin Medications.]</w:t>
      </w:r>
    </w:p>
    <w:p w:rsidR="002920E7" w:rsidRDefault="007A2A9B">
      <w:pPr>
        <w:spacing w:before="200" w:after="0" w:line="240" w:lineRule="auto"/>
      </w:pPr>
      <w:r>
        <w:rPr>
          <w:color w:val="000000"/>
        </w:rPr>
        <w:t>[Clinical Comment: This section is applicable to stable adult patients with a recent diagnosis of anaphylaxis.]</w:t>
      </w:r>
    </w:p>
    <w:p w:rsidR="002920E7" w:rsidRPr="007D27B9" w:rsidRDefault="007A2A9B">
      <w:pPr>
        <w:spacing w:before="200" w:after="0" w:line="240" w:lineRule="auto"/>
      </w:pPr>
      <w:r>
        <w:rPr>
          <w:color w:val="000000"/>
        </w:rPr>
        <w:t xml:space="preserve">[Section Selection Behavior: Select </w:t>
      </w:r>
      <w:r w:rsidRPr="007D27B9">
        <w:rPr>
          <w:color w:val="000000"/>
        </w:rPr>
        <w:t>only one. Optional.]</w:t>
      </w:r>
    </w:p>
    <w:p w:rsidR="002920E7" w:rsidRPr="007D27B9" w:rsidRDefault="007A2A9B">
      <w:pPr>
        <w:numPr>
          <w:ilvl w:val="0"/>
          <w:numId w:val="4"/>
        </w:numPr>
        <w:tabs>
          <w:tab w:val="left" w:pos="200"/>
        </w:tabs>
        <w:spacing w:before="200" w:after="0" w:line="240" w:lineRule="auto"/>
        <w:ind w:left="200" w:hanging="200"/>
      </w:pPr>
      <w:bookmarkStart w:id="42" w:name="d0e353"/>
      <w:bookmarkStart w:id="43" w:name="d0e352"/>
      <w:r w:rsidRPr="007D27B9">
        <w:rPr>
          <w:color w:val="000000"/>
        </w:rPr>
        <w:t>☐ epinephrine auto-injector 0.3 mg solution intramuscular 1 time inject into anterolateral thigh as needed; repeat once if needed; seek medical care immediately upon use. Quantity 2 auto-injectors with 2 refills (routine)</w:t>
      </w:r>
    </w:p>
    <w:p w:rsidR="002920E7" w:rsidRPr="007D27B9" w:rsidRDefault="007A2A9B">
      <w:pPr>
        <w:numPr>
          <w:ilvl w:val="0"/>
          <w:numId w:val="4"/>
        </w:numPr>
        <w:tabs>
          <w:tab w:val="left" w:pos="200"/>
        </w:tabs>
        <w:spacing w:before="200" w:after="0" w:line="240" w:lineRule="auto"/>
        <w:ind w:left="200" w:hanging="200"/>
      </w:pPr>
      <w:bookmarkStart w:id="44" w:name="d0e356"/>
      <w:bookmarkEnd w:id="42"/>
      <w:bookmarkEnd w:id="43"/>
      <w:r w:rsidRPr="007D27B9">
        <w:rPr>
          <w:color w:val="000000"/>
        </w:rPr>
        <w:t>☐ epinephrine auto-injector 0.3 mg solution subcutaneous 1 time inject into anterolateral thigh as needed; repeat once if needed; seek medical care immediately upon use. Quantity 2 auto-injectors with 2 refills (routine)</w:t>
      </w:r>
    </w:p>
    <w:bookmarkEnd w:id="44"/>
    <w:p w:rsidR="002920E7" w:rsidRDefault="007A2A9B">
      <w:pPr>
        <w:spacing w:before="200" w:after="0" w:line="240" w:lineRule="auto"/>
      </w:pPr>
      <w:r w:rsidRPr="007D27B9">
        <w:rPr>
          <w:color w:val="000000"/>
        </w:rPr>
        <w:t>[End Medications.]</w:t>
      </w:r>
    </w:p>
    <w:p w:rsidR="002920E7" w:rsidRDefault="007A2A9B">
      <w:pPr>
        <w:spacing w:before="200" w:after="0" w:line="240" w:lineRule="auto"/>
      </w:pPr>
      <w:bookmarkStart w:id="45" w:name="d0e361"/>
      <w:r>
        <w:rPr>
          <w:rFonts w:ascii="Arial" w:hAnsi="Arial"/>
          <w:b/>
          <w:color w:val="000000"/>
          <w:sz w:val="35"/>
        </w:rPr>
        <w:t>3. Consults and Referrals</w:t>
      </w:r>
    </w:p>
    <w:bookmarkEnd w:id="45"/>
    <w:p w:rsidR="002920E7" w:rsidRDefault="007A2A9B">
      <w:pPr>
        <w:spacing w:before="200" w:after="0" w:line="240" w:lineRule="auto"/>
      </w:pPr>
      <w:r>
        <w:rPr>
          <w:color w:val="000000"/>
        </w:rPr>
        <w:t>[Begin Consults and Referrals.]</w:t>
      </w:r>
    </w:p>
    <w:p w:rsidR="002920E7" w:rsidRDefault="007A2A9B">
      <w:pPr>
        <w:spacing w:before="200" w:after="0" w:line="240" w:lineRule="auto"/>
      </w:pPr>
      <w:r>
        <w:rPr>
          <w:color w:val="000000"/>
        </w:rPr>
        <w:t>[Clinical Comment: This section is applicable to stable adult patients with a recent diagnosis of anaphylaxis.]</w:t>
      </w:r>
    </w:p>
    <w:p w:rsidR="002920E7" w:rsidRDefault="007A2A9B">
      <w:pPr>
        <w:spacing w:before="200" w:after="0" w:line="240" w:lineRule="auto"/>
      </w:pPr>
      <w:r>
        <w:rPr>
          <w:color w:val="000000"/>
        </w:rPr>
        <w:t>[Section Selection Behavior: Select any or none. Optional.]</w:t>
      </w:r>
    </w:p>
    <w:p w:rsidR="002920E7" w:rsidRDefault="007A2A9B">
      <w:pPr>
        <w:numPr>
          <w:ilvl w:val="0"/>
          <w:numId w:val="5"/>
        </w:numPr>
        <w:tabs>
          <w:tab w:val="left" w:pos="200"/>
        </w:tabs>
        <w:spacing w:before="200" w:after="0" w:line="240" w:lineRule="auto"/>
        <w:ind w:left="200" w:hanging="200"/>
      </w:pPr>
      <w:bookmarkStart w:id="46" w:name="d0e371"/>
      <w:bookmarkStart w:id="47" w:name="d0e370"/>
      <w:r>
        <w:rPr>
          <w:color w:val="000000"/>
        </w:rPr>
        <w:t>☐ consult Allergy and Immunology Service to evaluate patient following episode of anaphylaxis (routine)</w:t>
      </w:r>
    </w:p>
    <w:bookmarkEnd w:id="46"/>
    <w:bookmarkEnd w:id="47"/>
    <w:p w:rsidR="002920E7" w:rsidRDefault="007A2A9B">
      <w:pPr>
        <w:spacing w:before="200" w:after="0" w:line="240" w:lineRule="auto"/>
      </w:pPr>
      <w:r>
        <w:rPr>
          <w:color w:val="000000"/>
        </w:rPr>
        <w:t>[End Consults and Referrals.]</w:t>
      </w:r>
    </w:p>
    <w:p w:rsidR="002920E7" w:rsidRDefault="007A2A9B">
      <w:pPr>
        <w:spacing w:before="200" w:after="0" w:line="240" w:lineRule="auto"/>
      </w:pPr>
      <w:bookmarkStart w:id="48" w:name="d0e376"/>
      <w:r>
        <w:rPr>
          <w:rFonts w:ascii="Arial" w:hAnsi="Arial"/>
          <w:b/>
          <w:color w:val="000000"/>
          <w:sz w:val="35"/>
        </w:rPr>
        <w:t>4. Patient and Caregiver Education</w:t>
      </w:r>
    </w:p>
    <w:bookmarkEnd w:id="48"/>
    <w:p w:rsidR="002920E7" w:rsidRDefault="007A2A9B">
      <w:pPr>
        <w:spacing w:before="200" w:after="0" w:line="240" w:lineRule="auto"/>
      </w:pPr>
      <w:r>
        <w:rPr>
          <w:color w:val="000000"/>
        </w:rPr>
        <w:t>[Begin Patient and Caregiver Education.]</w:t>
      </w:r>
    </w:p>
    <w:p w:rsidR="002920E7" w:rsidRDefault="007A2A9B">
      <w:pPr>
        <w:spacing w:before="200" w:after="0" w:line="240" w:lineRule="auto"/>
      </w:pPr>
      <w:r>
        <w:rPr>
          <w:color w:val="000000"/>
        </w:rPr>
        <w:t>[Clinical Comment: This section is applicable to stable adult patients with a recent diagnosis of anaphylaxis.]</w:t>
      </w:r>
    </w:p>
    <w:p w:rsidR="002920E7" w:rsidRDefault="007A2A9B">
      <w:pPr>
        <w:spacing w:before="200" w:after="0" w:line="240" w:lineRule="auto"/>
      </w:pPr>
      <w:r>
        <w:rPr>
          <w:color w:val="000000"/>
        </w:rPr>
        <w:t>[Section Selection Behavior: Select any or none. Optional.]</w:t>
      </w:r>
    </w:p>
    <w:p w:rsidR="002920E7" w:rsidRDefault="007A2A9B">
      <w:pPr>
        <w:numPr>
          <w:ilvl w:val="0"/>
          <w:numId w:val="6"/>
        </w:numPr>
        <w:tabs>
          <w:tab w:val="left" w:pos="200"/>
        </w:tabs>
        <w:spacing w:before="200" w:after="0" w:line="240" w:lineRule="auto"/>
        <w:ind w:left="200" w:hanging="200"/>
      </w:pPr>
      <w:bookmarkStart w:id="49" w:name="d0e386"/>
      <w:bookmarkStart w:id="50" w:name="d0e385"/>
      <w:r>
        <w:rPr>
          <w:color w:val="000000"/>
        </w:rPr>
        <w:t>☐ Use of epinephrine autoinjector education (routine)</w:t>
      </w:r>
    </w:p>
    <w:p w:rsidR="002920E7" w:rsidRPr="007D27B9" w:rsidRDefault="007A2A9B">
      <w:pPr>
        <w:numPr>
          <w:ilvl w:val="0"/>
          <w:numId w:val="6"/>
        </w:numPr>
        <w:tabs>
          <w:tab w:val="left" w:pos="200"/>
        </w:tabs>
        <w:spacing w:before="200" w:after="0" w:line="240" w:lineRule="auto"/>
        <w:ind w:left="200" w:hanging="200"/>
      </w:pPr>
      <w:bookmarkStart w:id="51" w:name="d0e389"/>
      <w:bookmarkEnd w:id="49"/>
      <w:bookmarkEnd w:id="50"/>
      <w:r>
        <w:rPr>
          <w:color w:val="000000"/>
        </w:rPr>
        <w:t>☐ Anaphylaxis action plan education (</w:t>
      </w:r>
      <w:r w:rsidRPr="007D27B9">
        <w:rPr>
          <w:color w:val="000000"/>
        </w:rPr>
        <w:t>routine)</w:t>
      </w:r>
    </w:p>
    <w:p w:rsidR="002920E7" w:rsidRPr="007D27B9" w:rsidRDefault="007A2A9B">
      <w:pPr>
        <w:numPr>
          <w:ilvl w:val="0"/>
          <w:numId w:val="6"/>
        </w:numPr>
        <w:tabs>
          <w:tab w:val="left" w:pos="200"/>
        </w:tabs>
        <w:spacing w:before="200" w:after="0" w:line="240" w:lineRule="auto"/>
        <w:ind w:left="200" w:hanging="200"/>
      </w:pPr>
      <w:bookmarkStart w:id="52" w:name="d0e392"/>
      <w:bookmarkEnd w:id="51"/>
      <w:r w:rsidRPr="007D27B9">
        <w:rPr>
          <w:color w:val="000000"/>
        </w:rPr>
        <w:t>☐ Medications that can interfere with anaphylaxis treatment education (routine)</w:t>
      </w:r>
    </w:p>
    <w:p w:rsidR="002920E7" w:rsidRPr="007D27B9" w:rsidRDefault="007A2A9B">
      <w:pPr>
        <w:numPr>
          <w:ilvl w:val="0"/>
          <w:numId w:val="6"/>
        </w:numPr>
        <w:tabs>
          <w:tab w:val="left" w:pos="200"/>
        </w:tabs>
        <w:spacing w:before="200" w:after="0" w:line="240" w:lineRule="auto"/>
        <w:ind w:left="200" w:hanging="200"/>
      </w:pPr>
      <w:bookmarkStart w:id="53" w:name="d0e395"/>
      <w:bookmarkEnd w:id="52"/>
      <w:r w:rsidRPr="007D27B9">
        <w:rPr>
          <w:color w:val="000000"/>
        </w:rPr>
        <w:t xml:space="preserve">☐ Avoidance of potential </w:t>
      </w:r>
      <w:r w:rsidR="002E49B4" w:rsidRPr="007D27B9">
        <w:rPr>
          <w:color w:val="000000"/>
        </w:rPr>
        <w:t xml:space="preserve">anaphylaxis </w:t>
      </w:r>
      <w:r w:rsidRPr="007D27B9">
        <w:rPr>
          <w:color w:val="000000"/>
        </w:rPr>
        <w:t>triggers education (routine)</w:t>
      </w:r>
    </w:p>
    <w:p w:rsidR="002920E7" w:rsidRPr="007D27B9" w:rsidRDefault="007A2A9B">
      <w:pPr>
        <w:numPr>
          <w:ilvl w:val="0"/>
          <w:numId w:val="6"/>
        </w:numPr>
        <w:tabs>
          <w:tab w:val="left" w:pos="200"/>
        </w:tabs>
        <w:spacing w:before="200" w:after="0" w:line="240" w:lineRule="auto"/>
        <w:ind w:left="200" w:hanging="200"/>
      </w:pPr>
      <w:bookmarkStart w:id="54" w:name="d0e398"/>
      <w:bookmarkEnd w:id="53"/>
      <w:r w:rsidRPr="007D27B9">
        <w:rPr>
          <w:color w:val="000000"/>
        </w:rPr>
        <w:t>☐ Medical identification jewelry education (routine)</w:t>
      </w:r>
    </w:p>
    <w:p w:rsidR="002920E7" w:rsidRDefault="007A2A9B">
      <w:pPr>
        <w:numPr>
          <w:ilvl w:val="0"/>
          <w:numId w:val="6"/>
        </w:numPr>
        <w:tabs>
          <w:tab w:val="left" w:pos="200"/>
        </w:tabs>
        <w:spacing w:before="200" w:after="0" w:line="240" w:lineRule="auto"/>
        <w:ind w:left="200" w:hanging="200"/>
      </w:pPr>
      <w:bookmarkStart w:id="55" w:name="d0e401"/>
      <w:bookmarkEnd w:id="54"/>
      <w:r>
        <w:rPr>
          <w:color w:val="000000"/>
        </w:rPr>
        <w:t>☐ Medication cross-reactivity education (routine)</w:t>
      </w:r>
    </w:p>
    <w:p w:rsidR="002920E7" w:rsidRDefault="007A2A9B">
      <w:pPr>
        <w:numPr>
          <w:ilvl w:val="0"/>
          <w:numId w:val="6"/>
        </w:numPr>
        <w:tabs>
          <w:tab w:val="left" w:pos="200"/>
        </w:tabs>
        <w:spacing w:before="200" w:after="0" w:line="240" w:lineRule="auto"/>
        <w:ind w:left="200" w:hanging="200"/>
      </w:pPr>
      <w:bookmarkStart w:id="56" w:name="d0e404"/>
      <w:bookmarkEnd w:id="55"/>
      <w:r>
        <w:rPr>
          <w:color w:val="000000"/>
        </w:rPr>
        <w:t>☐ Food cross-reactivity education (routine)</w:t>
      </w:r>
    </w:p>
    <w:bookmarkEnd w:id="56"/>
    <w:p w:rsidR="002920E7" w:rsidRDefault="007A2A9B">
      <w:pPr>
        <w:spacing w:before="200" w:after="0" w:line="240" w:lineRule="auto"/>
      </w:pPr>
      <w:r>
        <w:rPr>
          <w:color w:val="000000"/>
        </w:rPr>
        <w:t>[End Patient and Caregiver Education.]</w:t>
      </w:r>
    </w:p>
    <w:p w:rsidR="002920E7" w:rsidRDefault="007A2A9B">
      <w:pPr>
        <w:spacing w:before="200" w:after="0" w:line="240" w:lineRule="auto"/>
      </w:pPr>
      <w:r>
        <w:rPr>
          <w:color w:val="000000"/>
        </w:rPr>
        <w:t>[End Order Set.]</w:t>
      </w:r>
    </w:p>
    <w:p w:rsidR="002920E7" w:rsidRDefault="002920E7">
      <w:pPr>
        <w:sectPr w:rsidR="002920E7">
          <w:headerReference w:type="even" r:id="rId51"/>
          <w:headerReference w:type="default" r:id="rId52"/>
          <w:footerReference w:type="even" r:id="rId53"/>
          <w:footerReference w:type="default" r:id="rId54"/>
          <w:headerReference w:type="first" r:id="rId55"/>
          <w:footerReference w:type="first" r:id="rId56"/>
          <w:pgSz w:w="11906" w:h="16838"/>
          <w:pgMar w:top="1440" w:right="1440" w:bottom="1440" w:left="1440" w:header="720" w:footer="720" w:gutter="0"/>
          <w:cols w:space="720"/>
          <w:titlePg/>
        </w:sectPr>
      </w:pPr>
    </w:p>
    <w:p w:rsidR="002920E7" w:rsidRDefault="007A2A9B">
      <w:pPr>
        <w:keepNext/>
        <w:spacing w:before="200" w:after="0" w:line="240" w:lineRule="auto"/>
      </w:pPr>
      <w:bookmarkStart w:id="57" w:name="d0e411"/>
      <w:r>
        <w:rPr>
          <w:rFonts w:ascii="Arial" w:hAnsi="Arial"/>
          <w:b/>
          <w:color w:val="000000"/>
          <w:sz w:val="50"/>
        </w:rPr>
        <w:t>Bibliography/Evidence</w:t>
      </w:r>
    </w:p>
    <w:p w:rsidR="002920E7" w:rsidRDefault="007A2A9B">
      <w:pPr>
        <w:spacing w:before="200" w:after="0" w:line="240" w:lineRule="auto"/>
        <w:ind w:left="720" w:hanging="720"/>
      </w:pPr>
      <w:bookmarkStart w:id="58" w:name="d0e414"/>
      <w:bookmarkEnd w:id="57"/>
      <w:r>
        <w:rPr>
          <w:color w:val="000000"/>
        </w:rPr>
        <w:t xml:space="preserve">U.S. National Library of Medicine. </w:t>
      </w:r>
      <w:r>
        <w:rPr>
          <w:i/>
          <w:color w:val="000000"/>
        </w:rPr>
        <w:t>EPIPEN- epinephrine injection; EPIPEN JR- epinephrine injection [Mylan Specialty L.P.]. DailyMed website</w:t>
      </w:r>
      <w:r>
        <w:rPr>
          <w:color w:val="000000"/>
        </w:rPr>
        <w:t xml:space="preserve">. Updated February 2017. </w:t>
      </w:r>
      <w:hyperlink r:id="rId57">
        <w:r>
          <w:rPr>
            <w:color w:val="000000"/>
          </w:rPr>
          <w:t>https://dailymed.nlm.nih.gov/dailymed/drugInfo.cfm?setid=7560c201-9246-487c-a13b-6295db04274a</w:t>
        </w:r>
      </w:hyperlink>
      <w:r>
        <w:rPr>
          <w:color w:val="000000"/>
        </w:rPr>
        <w:t>.</w:t>
      </w:r>
    </w:p>
    <w:p w:rsidR="002920E7" w:rsidRDefault="007A2A9B">
      <w:pPr>
        <w:spacing w:before="200" w:after="0" w:line="240" w:lineRule="auto"/>
        <w:ind w:left="720" w:hanging="720"/>
      </w:pPr>
      <w:bookmarkStart w:id="59" w:name="d0e424"/>
      <w:bookmarkEnd w:id="58"/>
      <w:r>
        <w:rPr>
          <w:color w:val="000000"/>
        </w:rPr>
        <w:t xml:space="preserve">[Lieberman, 2015] P Lieberman, RA Nicklas, C Randolph, and et al. “Anaphylaxis--a practice parameter update 2015”. </w:t>
      </w:r>
      <w:r>
        <w:rPr>
          <w:i/>
          <w:color w:val="000000"/>
        </w:rPr>
        <w:t>Ann Allergy Asthma Immunol</w:t>
      </w:r>
      <w:r>
        <w:rPr>
          <w:color w:val="000000"/>
        </w:rPr>
        <w:t>. 2015. 115. 5. 341-384.</w:t>
      </w:r>
    </w:p>
    <w:p w:rsidR="002920E7" w:rsidRDefault="007A2A9B" w:rsidP="000B2258">
      <w:pPr>
        <w:spacing w:before="200" w:after="0" w:line="240" w:lineRule="auto"/>
        <w:ind w:left="720" w:hanging="720"/>
        <w:sectPr w:rsidR="002920E7">
          <w:headerReference w:type="even" r:id="rId58"/>
          <w:headerReference w:type="default" r:id="rId59"/>
          <w:footerReference w:type="even" r:id="rId60"/>
          <w:footerReference w:type="default" r:id="rId61"/>
          <w:headerReference w:type="first" r:id="rId62"/>
          <w:footerReference w:type="first" r:id="rId63"/>
          <w:pgSz w:w="11906" w:h="16838"/>
          <w:pgMar w:top="1440" w:right="1440" w:bottom="1440" w:left="1440" w:header="720" w:footer="720" w:gutter="0"/>
          <w:cols w:space="720"/>
          <w:titlePg/>
        </w:sectPr>
      </w:pPr>
      <w:bookmarkStart w:id="60" w:name="d0e461"/>
      <w:bookmarkEnd w:id="59"/>
      <w:r>
        <w:rPr>
          <w:color w:val="000000"/>
        </w:rPr>
        <w:t xml:space="preserve">[Campbell, 2014] RL Campbell, JT Li, RA Nicklas, AT Sadosty, Members of the Joint Task Force, and Practice Parameter Workgroup. “Emergency department diagnosis and treatment of anaphylaxis: a practice parameter”. </w:t>
      </w:r>
      <w:r>
        <w:rPr>
          <w:i/>
          <w:color w:val="000000"/>
        </w:rPr>
        <w:t>Ann Allergy Asthma Immunol</w:t>
      </w:r>
      <w:r>
        <w:rPr>
          <w:color w:val="000000"/>
        </w:rPr>
        <w:t>. 2014. 113. 6. 599-608.</w:t>
      </w:r>
      <w:bookmarkEnd w:id="60"/>
    </w:p>
    <w:p w:rsidR="002920E7" w:rsidRDefault="007A2A9B">
      <w:pPr>
        <w:keepNext/>
        <w:spacing w:before="200" w:after="0" w:line="240" w:lineRule="auto"/>
      </w:pPr>
      <w:bookmarkStart w:id="61" w:name="d0e507"/>
      <w:r>
        <w:rPr>
          <w:rFonts w:ascii="Arial" w:hAnsi="Arial"/>
          <w:b/>
          <w:color w:val="000000"/>
          <w:sz w:val="50"/>
        </w:rPr>
        <w:t>Appendix A. Acronyms/Abbreviations</w:t>
      </w:r>
    </w:p>
    <w:bookmarkEnd w:id="61"/>
    <w:p w:rsidR="002920E7" w:rsidRDefault="002920E7">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2920E7">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bookmarkStart w:id="62" w:name="d0e510"/>
            <w:r>
              <w:rPr>
                <w:color w:val="000000"/>
              </w:rPr>
              <w:t>Acronyms</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Description</w:t>
            </w:r>
          </w:p>
        </w:tc>
      </w:tr>
      <w:bookmarkEnd w:id="62"/>
      <w:tr w:rsidR="002920E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CDS</w:t>
            </w:r>
          </w:p>
        </w:tc>
        <w:tc>
          <w:tcPr>
            <w:tcW w:w="4513"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Clinical Decision Support</w:t>
            </w:r>
          </w:p>
        </w:tc>
      </w:tr>
      <w:tr w:rsidR="002920E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HL7</w:t>
            </w:r>
          </w:p>
        </w:tc>
        <w:tc>
          <w:tcPr>
            <w:tcW w:w="4513"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Health Level 7</w:t>
            </w:r>
          </w:p>
        </w:tc>
      </w:tr>
      <w:tr w:rsidR="002920E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KBS</w:t>
            </w:r>
          </w:p>
        </w:tc>
        <w:tc>
          <w:tcPr>
            <w:tcW w:w="4513"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Knowledge Based Systems</w:t>
            </w:r>
          </w:p>
        </w:tc>
      </w:tr>
      <w:tr w:rsidR="002920E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KNART</w:t>
            </w:r>
          </w:p>
        </w:tc>
        <w:tc>
          <w:tcPr>
            <w:tcW w:w="4513"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Knowledge Artifact</w:t>
            </w:r>
          </w:p>
        </w:tc>
      </w:tr>
      <w:tr w:rsidR="002920E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OIIG</w:t>
            </w:r>
          </w:p>
        </w:tc>
        <w:tc>
          <w:tcPr>
            <w:tcW w:w="4513"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Office of Informatics and Information Governance</w:t>
            </w:r>
          </w:p>
        </w:tc>
      </w:tr>
      <w:tr w:rsidR="002920E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SME</w:t>
            </w:r>
          </w:p>
        </w:tc>
        <w:tc>
          <w:tcPr>
            <w:tcW w:w="4513"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Subject Matter Expert</w:t>
            </w:r>
          </w:p>
        </w:tc>
      </w:tr>
      <w:tr w:rsidR="002920E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TO</w:t>
            </w:r>
          </w:p>
        </w:tc>
        <w:tc>
          <w:tcPr>
            <w:tcW w:w="4513"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Task Order</w:t>
            </w:r>
          </w:p>
        </w:tc>
      </w:tr>
      <w:tr w:rsidR="002920E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VA</w:t>
            </w:r>
          </w:p>
        </w:tc>
        <w:tc>
          <w:tcPr>
            <w:tcW w:w="4513" w:type="dxa"/>
            <w:tcBorders>
              <w:bottom w:val="single" w:sz="4" w:space="0" w:color="000000"/>
              <w:right w:val="single" w:sz="4" w:space="0" w:color="000000"/>
            </w:tcBorders>
            <w:tcMar>
              <w:top w:w="40" w:type="dxa"/>
              <w:left w:w="40" w:type="dxa"/>
              <w:bottom w:w="40" w:type="dxa"/>
              <w:right w:w="40" w:type="dxa"/>
            </w:tcMar>
          </w:tcPr>
          <w:p w:rsidR="002920E7" w:rsidRDefault="007A2A9B">
            <w:pPr>
              <w:spacing w:after="0" w:line="240" w:lineRule="auto"/>
            </w:pPr>
            <w:r>
              <w:rPr>
                <w:color w:val="000000"/>
              </w:rPr>
              <w:t>Department of Veteran Affairs</w:t>
            </w:r>
          </w:p>
        </w:tc>
      </w:tr>
    </w:tbl>
    <w:p w:rsidR="007A2A9B" w:rsidRDefault="007A2A9B"/>
    <w:sectPr w:rsidR="007A2A9B">
      <w:headerReference w:type="even" r:id="rId64"/>
      <w:headerReference w:type="default" r:id="rId65"/>
      <w:footerReference w:type="even" r:id="rId66"/>
      <w:footerReference w:type="default" r:id="rId67"/>
      <w:headerReference w:type="first" r:id="rId68"/>
      <w:footerReference w:type="first" r:id="rId69"/>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661" w:rsidRDefault="001B4661">
      <w:pPr>
        <w:spacing w:after="0" w:line="240" w:lineRule="auto"/>
      </w:pPr>
      <w:r>
        <w:separator/>
      </w:r>
    </w:p>
  </w:endnote>
  <w:endnote w:type="continuationSeparator" w:id="0">
    <w:p w:rsidR="001B4661" w:rsidRDefault="001B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2920E7">
          <w:pPr>
            <w:spacing w:after="0" w:line="240" w:lineRule="auto"/>
          </w:pPr>
        </w:p>
      </w:tc>
    </w:tr>
  </w:tbl>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2920E7">
          <w:pPr>
            <w:spacing w:after="0" w:line="240" w:lineRule="auto"/>
          </w:pPr>
        </w:p>
      </w:tc>
    </w:tr>
  </w:tbl>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1AD" w:rsidRDefault="007A2A9B">
    <w:r>
      <w:cr/>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top w:val="single" w:sz="4" w:space="0" w:color="000000"/>
          </w:tcBorders>
          <w:vAlign w:val="bottom"/>
        </w:tcPr>
        <w:p w:rsidR="002920E7" w:rsidRDefault="002920E7">
          <w:pPr>
            <w:spacing w:after="0" w:line="240" w:lineRule="auto"/>
          </w:pPr>
        </w:p>
      </w:tc>
      <w:tc>
        <w:tcPr>
          <w:tcW w:w="3009" w:type="dxa"/>
          <w:tcBorders>
            <w:top w:val="single" w:sz="4" w:space="0" w:color="000000"/>
          </w:tcBorders>
          <w:vAlign w:val="bottom"/>
        </w:tcPr>
        <w:p w:rsidR="002920E7" w:rsidRDefault="007A2A9B">
          <w:pPr>
            <w:spacing w:after="0" w:line="240" w:lineRule="auto"/>
            <w:jc w:val="center"/>
          </w:pPr>
          <w:r>
            <w:rPr>
              <w:color w:val="000000"/>
            </w:rPr>
            <w:pgNum/>
          </w:r>
        </w:p>
      </w:tc>
      <w:tc>
        <w:tcPr>
          <w:tcW w:w="3009" w:type="dxa"/>
          <w:tcBorders>
            <w:top w:val="single" w:sz="4" w:space="0" w:color="000000"/>
          </w:tcBorders>
          <w:vAlign w:val="bottom"/>
        </w:tcPr>
        <w:p w:rsidR="002920E7" w:rsidRDefault="002920E7">
          <w:pPr>
            <w:spacing w:after="0" w:line="240" w:lineRule="auto"/>
          </w:pP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661" w:rsidRDefault="001B4661">
      <w:pPr>
        <w:spacing w:after="0" w:line="240" w:lineRule="auto"/>
      </w:pPr>
      <w:r>
        <w:separator/>
      </w:r>
    </w:p>
  </w:footnote>
  <w:footnote w:type="continuationSeparator" w:id="0">
    <w:p w:rsidR="001B4661" w:rsidRDefault="001B46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r>
  </w:tbl>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VA Subject Matter Expert (SME) Panel</w:t>
          </w:r>
        </w:p>
      </w:tc>
      <w:tc>
        <w:tcPr>
          <w:tcW w:w="3009" w:type="dxa"/>
          <w:tcBorders>
            <w:bottom w:val="single" w:sz="4" w:space="0" w:color="000000"/>
          </w:tcBorders>
        </w:tcPr>
        <w:p w:rsidR="002920E7" w:rsidRDefault="002920E7">
          <w:pPr>
            <w:spacing w:after="0" w:line="240" w:lineRule="auto"/>
          </w:pPr>
        </w:p>
      </w:tc>
    </w:tr>
  </w:tbl>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VA Subject Matter Expert (SME) Panel</w:t>
          </w:r>
        </w:p>
      </w:tc>
      <w:tc>
        <w:tcPr>
          <w:tcW w:w="3009" w:type="dxa"/>
          <w:tcBorders>
            <w:bottom w:val="single" w:sz="4" w:space="0" w:color="000000"/>
          </w:tcBorders>
        </w:tcPr>
        <w:p w:rsidR="002920E7" w:rsidRDefault="002920E7">
          <w:pPr>
            <w:spacing w:after="0" w:line="240" w:lineRule="auto"/>
          </w:pPr>
        </w:p>
      </w:tc>
    </w:tr>
  </w:tbl>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r>
  </w:tbl>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Introduction</w:t>
          </w:r>
        </w:p>
      </w:tc>
      <w:tc>
        <w:tcPr>
          <w:tcW w:w="3009" w:type="dxa"/>
          <w:tcBorders>
            <w:bottom w:val="single" w:sz="4" w:space="0" w:color="000000"/>
          </w:tcBorders>
        </w:tcPr>
        <w:p w:rsidR="002920E7" w:rsidRDefault="002920E7">
          <w:pPr>
            <w:spacing w:after="0" w:line="240" w:lineRule="auto"/>
          </w:pPr>
        </w:p>
      </w:tc>
    </w:tr>
  </w:tbl>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Introduction</w:t>
          </w:r>
        </w:p>
      </w:tc>
      <w:tc>
        <w:tcPr>
          <w:tcW w:w="3009" w:type="dxa"/>
          <w:tcBorders>
            <w:bottom w:val="single" w:sz="4" w:space="0" w:color="000000"/>
          </w:tcBorders>
        </w:tcPr>
        <w:p w:rsidR="002920E7" w:rsidRDefault="002920E7">
          <w:pPr>
            <w:spacing w:after="0" w:line="240" w:lineRule="auto"/>
          </w:pPr>
        </w:p>
      </w:tc>
    </w:tr>
  </w:tbl>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r>
  </w:tbl>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Conventions Used</w:t>
          </w:r>
        </w:p>
      </w:tc>
      <w:tc>
        <w:tcPr>
          <w:tcW w:w="3009" w:type="dxa"/>
          <w:tcBorders>
            <w:bottom w:val="single" w:sz="4" w:space="0" w:color="000000"/>
          </w:tcBorders>
        </w:tcPr>
        <w:p w:rsidR="002920E7" w:rsidRDefault="002920E7">
          <w:pPr>
            <w:spacing w:after="0" w:line="240" w:lineRule="auto"/>
          </w:pPr>
        </w:p>
      </w:tc>
    </w:tr>
  </w:tbl>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Conventions Used</w:t>
          </w:r>
        </w:p>
      </w:tc>
      <w:tc>
        <w:tcPr>
          <w:tcW w:w="3009" w:type="dxa"/>
          <w:tcBorders>
            <w:bottom w:val="single" w:sz="4" w:space="0" w:color="000000"/>
          </w:tcBorders>
        </w:tcPr>
        <w:p w:rsidR="002920E7" w:rsidRDefault="002920E7">
          <w:pPr>
            <w:spacing w:after="0" w:line="240" w:lineRule="auto"/>
          </w:pPr>
        </w:p>
      </w:tc>
    </w:tr>
  </w:tbl>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r>
  </w:tbl>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Anaphylaxis Treatment Protocol</w:t>
          </w:r>
        </w:p>
      </w:tc>
      <w:tc>
        <w:tcPr>
          <w:tcW w:w="3009" w:type="dxa"/>
          <w:tcBorders>
            <w:bottom w:val="single" w:sz="4" w:space="0" w:color="000000"/>
          </w:tcBorders>
        </w:tcPr>
        <w:p w:rsidR="002920E7" w:rsidRDefault="002920E7">
          <w:pPr>
            <w:spacing w:after="0" w:line="240" w:lineRule="auto"/>
          </w:pP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r>
  </w:tbl>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Anaphylaxis Treatment Protocol</w:t>
          </w:r>
        </w:p>
      </w:tc>
      <w:tc>
        <w:tcPr>
          <w:tcW w:w="3009" w:type="dxa"/>
          <w:tcBorders>
            <w:bottom w:val="single" w:sz="4" w:space="0" w:color="000000"/>
          </w:tcBorders>
        </w:tcPr>
        <w:p w:rsidR="002920E7" w:rsidRDefault="002920E7">
          <w:pPr>
            <w:spacing w:after="0" w:line="240" w:lineRule="auto"/>
          </w:pPr>
        </w:p>
      </w:tc>
    </w:tr>
  </w:tbl>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r>
  </w:tbl>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Order Set</w:t>
          </w:r>
        </w:p>
      </w:tc>
      <w:tc>
        <w:tcPr>
          <w:tcW w:w="3009" w:type="dxa"/>
          <w:tcBorders>
            <w:bottom w:val="single" w:sz="4" w:space="0" w:color="000000"/>
          </w:tcBorders>
        </w:tcPr>
        <w:p w:rsidR="002920E7" w:rsidRDefault="002920E7">
          <w:pPr>
            <w:spacing w:after="0" w:line="240" w:lineRule="auto"/>
          </w:pPr>
        </w:p>
      </w:tc>
    </w:tr>
  </w:tbl>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Order Set</w:t>
          </w:r>
        </w:p>
      </w:tc>
      <w:tc>
        <w:tcPr>
          <w:tcW w:w="3009" w:type="dxa"/>
          <w:tcBorders>
            <w:bottom w:val="single" w:sz="4" w:space="0" w:color="000000"/>
          </w:tcBorders>
        </w:tcPr>
        <w:p w:rsidR="002920E7" w:rsidRDefault="002920E7">
          <w:pPr>
            <w:spacing w:after="0" w:line="240" w:lineRule="auto"/>
          </w:pPr>
        </w:p>
      </w:tc>
    </w:tr>
  </w:tbl>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r>
  </w:tbl>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Bibliography/Evidence</w:t>
          </w:r>
        </w:p>
      </w:tc>
      <w:tc>
        <w:tcPr>
          <w:tcW w:w="3009" w:type="dxa"/>
          <w:tcBorders>
            <w:bottom w:val="single" w:sz="4" w:space="0" w:color="000000"/>
          </w:tcBorders>
        </w:tcPr>
        <w:p w:rsidR="002920E7" w:rsidRDefault="002920E7">
          <w:pPr>
            <w:spacing w:after="0" w:line="240" w:lineRule="auto"/>
          </w:pPr>
        </w:p>
      </w:tc>
    </w:tr>
  </w:tbl>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Bibliography/Evidence</w:t>
          </w:r>
        </w:p>
      </w:tc>
      <w:tc>
        <w:tcPr>
          <w:tcW w:w="3009" w:type="dxa"/>
          <w:tcBorders>
            <w:bottom w:val="single" w:sz="4" w:space="0" w:color="000000"/>
          </w:tcBorders>
        </w:tcPr>
        <w:p w:rsidR="002920E7" w:rsidRDefault="002920E7">
          <w:pPr>
            <w:spacing w:after="0" w:line="240" w:lineRule="auto"/>
          </w:pPr>
        </w:p>
      </w:tc>
    </w:tr>
  </w:tbl>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r>
  </w:tbl>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Acronyms/Abbreviations</w:t>
          </w:r>
        </w:p>
      </w:tc>
      <w:tc>
        <w:tcPr>
          <w:tcW w:w="3009" w:type="dxa"/>
          <w:tcBorders>
            <w:bottom w:val="single" w:sz="4" w:space="0" w:color="000000"/>
          </w:tcBorders>
        </w:tcPr>
        <w:p w:rsidR="002920E7" w:rsidRDefault="002920E7">
          <w:pPr>
            <w:spacing w:after="0" w:line="240" w:lineRule="auto"/>
          </w:pPr>
        </w:p>
      </w:tc>
    </w:tr>
  </w:tbl>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Acronyms/Abbreviations</w:t>
          </w:r>
        </w:p>
      </w:tc>
      <w:tc>
        <w:tcPr>
          <w:tcW w:w="3009" w:type="dxa"/>
          <w:tcBorders>
            <w:bottom w:val="single" w:sz="4" w:space="0" w:color="000000"/>
          </w:tcBorders>
        </w:tcPr>
        <w:p w:rsidR="002920E7" w:rsidRDefault="002920E7">
          <w:pPr>
            <w:spacing w:after="0" w:line="240" w:lineRule="auto"/>
          </w:pP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1AD" w:rsidRDefault="007A2A9B">
    <w:r>
      <w:cr/>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2920E7" w:rsidRDefault="002920E7">
          <w:pPr>
            <w:spacing w:after="0" w:line="240" w:lineRule="auto"/>
          </w:pP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2920E7" w:rsidRDefault="002920E7">
          <w:pPr>
            <w:spacing w:after="0" w:line="240" w:lineRule="auto"/>
          </w:pPr>
        </w:p>
      </w:tc>
    </w:tr>
  </w:tbl>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r>
  </w:tbl>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2920E7" w:rsidRDefault="002920E7">
          <w:pPr>
            <w:spacing w:after="0" w:line="240" w:lineRule="auto"/>
          </w:pPr>
        </w:p>
      </w:tc>
    </w:tr>
  </w:tbl>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7A2A9B">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2920E7" w:rsidRDefault="002920E7">
          <w:pPr>
            <w:spacing w:after="0" w:line="240" w:lineRule="auto"/>
          </w:pPr>
        </w:p>
      </w:tc>
    </w:tr>
  </w:tbl>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2920E7">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c>
        <w:tcPr>
          <w:tcW w:w="3009" w:type="dxa"/>
          <w:tcBorders>
            <w:bottom w:val="single" w:sz="4" w:space="0" w:color="000000"/>
          </w:tcBorders>
        </w:tcPr>
        <w:p w:rsidR="002920E7" w:rsidRDefault="002920E7">
          <w:pPr>
            <w:spacing w:after="0" w:line="240" w:lineRule="auto"/>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9"/>
    <w:multiLevelType w:val="singleLevel"/>
    <w:tmpl w:val="0B24E3F8"/>
    <w:lvl w:ilvl="0">
      <w:start w:val="1"/>
      <w:numFmt w:val="bullet"/>
      <w:lvlText w:val="•"/>
      <w:lvlJc w:val="left"/>
      <w:rPr>
        <w:rFonts w:ascii="Times New Roman" w:hAnsi="Times New Roman"/>
        <w:color w:val="000000"/>
        <w:sz w:val="20"/>
      </w:rPr>
    </w:lvl>
  </w:abstractNum>
  <w:abstractNum w:abstractNumId="1">
    <w:nsid w:val="FFFFFFFA"/>
    <w:multiLevelType w:val="singleLevel"/>
    <w:tmpl w:val="1166DD9A"/>
    <w:lvl w:ilvl="0">
      <w:start w:val="1"/>
      <w:numFmt w:val="bullet"/>
      <w:lvlText w:val="•"/>
      <w:lvlJc w:val="left"/>
      <w:rPr>
        <w:rFonts w:ascii="Times New Roman" w:hAnsi="Times New Roman"/>
        <w:color w:val="000000"/>
        <w:sz w:val="20"/>
      </w:rPr>
    </w:lvl>
  </w:abstractNum>
  <w:abstractNum w:abstractNumId="2">
    <w:nsid w:val="FFFFFFFB"/>
    <w:multiLevelType w:val="singleLevel"/>
    <w:tmpl w:val="D078092A"/>
    <w:lvl w:ilvl="0">
      <w:start w:val="1"/>
      <w:numFmt w:val="bullet"/>
      <w:lvlText w:val="•"/>
      <w:lvlJc w:val="left"/>
      <w:rPr>
        <w:rFonts w:ascii="Times New Roman" w:hAnsi="Times New Roman"/>
        <w:color w:val="000000"/>
        <w:sz w:val="20"/>
      </w:rPr>
    </w:lvl>
  </w:abstractNum>
  <w:abstractNum w:abstractNumId="3">
    <w:nsid w:val="FFFFFFFC"/>
    <w:multiLevelType w:val="singleLevel"/>
    <w:tmpl w:val="E16ED376"/>
    <w:lvl w:ilvl="0">
      <w:start w:val="1"/>
      <w:numFmt w:val="bullet"/>
      <w:lvlText w:val="•"/>
      <w:lvlJc w:val="left"/>
      <w:rPr>
        <w:rFonts w:ascii="Times New Roman" w:hAnsi="Times New Roman"/>
        <w:color w:val="000000"/>
        <w:sz w:val="20"/>
      </w:rPr>
    </w:lvl>
  </w:abstractNum>
  <w:abstractNum w:abstractNumId="4">
    <w:nsid w:val="FFFFFFFD"/>
    <w:multiLevelType w:val="singleLevel"/>
    <w:tmpl w:val="2F042DF2"/>
    <w:lvl w:ilvl="0">
      <w:start w:val="1"/>
      <w:numFmt w:val="bullet"/>
      <w:lvlText w:val="•"/>
      <w:lvlJc w:val="left"/>
      <w:rPr>
        <w:rFonts w:ascii="Times New Roman" w:hAnsi="Times New Roman"/>
        <w:color w:val="000000"/>
        <w:sz w:val="20"/>
      </w:rPr>
    </w:lvl>
  </w:abstractNum>
  <w:abstractNum w:abstractNumId="5">
    <w:nsid w:val="FFFFFFFE"/>
    <w:multiLevelType w:val="singleLevel"/>
    <w:tmpl w:val="1BA4A87C"/>
    <w:lvl w:ilvl="0">
      <w:start w:val="1"/>
      <w:numFmt w:val="bullet"/>
      <w:lvlText w:val="•"/>
      <w:lvlJc w:val="left"/>
      <w:rPr>
        <w:rFonts w:ascii="Times New Roman" w:hAnsi="Times New Roman"/>
        <w:color w:val="000000"/>
        <w:sz w:val="20"/>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mirrorMargins/>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0E7"/>
    <w:rsid w:val="0002252C"/>
    <w:rsid w:val="000541AD"/>
    <w:rsid w:val="00086781"/>
    <w:rsid w:val="00086B6A"/>
    <w:rsid w:val="000B2258"/>
    <w:rsid w:val="001A5BD8"/>
    <w:rsid w:val="001B4661"/>
    <w:rsid w:val="00263F62"/>
    <w:rsid w:val="002920E7"/>
    <w:rsid w:val="00295496"/>
    <w:rsid w:val="002E49B4"/>
    <w:rsid w:val="003141C8"/>
    <w:rsid w:val="005367C7"/>
    <w:rsid w:val="006E1451"/>
    <w:rsid w:val="007A2A9B"/>
    <w:rsid w:val="007D27B9"/>
    <w:rsid w:val="007D6118"/>
    <w:rsid w:val="00994A99"/>
    <w:rsid w:val="009A5092"/>
    <w:rsid w:val="009D0166"/>
    <w:rsid w:val="00A20369"/>
    <w:rsid w:val="00AF4C86"/>
    <w:rsid w:val="00B11D2C"/>
    <w:rsid w:val="00B773EC"/>
    <w:rsid w:val="00BD7DEB"/>
    <w:rsid w:val="00C05B07"/>
    <w:rsid w:val="00CC7AFB"/>
    <w:rsid w:val="00D072D7"/>
    <w:rsid w:val="00F00CE0"/>
    <w:rsid w:val="00F8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D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2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2D7"/>
    <w:rPr>
      <w:rFonts w:ascii="Segoe UI" w:hAnsi="Segoe UI" w:cs="Segoe UI"/>
      <w:sz w:val="18"/>
      <w:szCs w:val="18"/>
    </w:rPr>
  </w:style>
  <w:style w:type="character" w:styleId="CommentReference">
    <w:name w:val="annotation reference"/>
    <w:basedOn w:val="DefaultParagraphFont"/>
    <w:uiPriority w:val="99"/>
    <w:semiHidden/>
    <w:unhideWhenUsed/>
    <w:rsid w:val="00D072D7"/>
    <w:rPr>
      <w:sz w:val="16"/>
      <w:szCs w:val="16"/>
    </w:rPr>
  </w:style>
  <w:style w:type="paragraph" w:styleId="CommentText">
    <w:name w:val="annotation text"/>
    <w:basedOn w:val="Normal"/>
    <w:link w:val="CommentTextChar"/>
    <w:uiPriority w:val="99"/>
    <w:semiHidden/>
    <w:unhideWhenUsed/>
    <w:rsid w:val="00D072D7"/>
    <w:pPr>
      <w:spacing w:line="240" w:lineRule="auto"/>
    </w:pPr>
  </w:style>
  <w:style w:type="character" w:customStyle="1" w:styleId="CommentTextChar">
    <w:name w:val="Comment Text Char"/>
    <w:basedOn w:val="DefaultParagraphFont"/>
    <w:link w:val="CommentText"/>
    <w:uiPriority w:val="99"/>
    <w:semiHidden/>
    <w:rsid w:val="00D072D7"/>
  </w:style>
  <w:style w:type="paragraph" w:styleId="CommentSubject">
    <w:name w:val="annotation subject"/>
    <w:basedOn w:val="CommentText"/>
    <w:next w:val="CommentText"/>
    <w:link w:val="CommentSubjectChar"/>
    <w:uiPriority w:val="99"/>
    <w:semiHidden/>
    <w:unhideWhenUsed/>
    <w:rsid w:val="00D072D7"/>
    <w:rPr>
      <w:b/>
      <w:bCs/>
    </w:rPr>
  </w:style>
  <w:style w:type="character" w:customStyle="1" w:styleId="CommentSubjectChar">
    <w:name w:val="Comment Subject Char"/>
    <w:basedOn w:val="CommentTextChar"/>
    <w:link w:val="CommentSubject"/>
    <w:uiPriority w:val="99"/>
    <w:semiHidden/>
    <w:rsid w:val="00D072D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2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2D7"/>
    <w:rPr>
      <w:rFonts w:ascii="Segoe UI" w:hAnsi="Segoe UI" w:cs="Segoe UI"/>
      <w:sz w:val="18"/>
      <w:szCs w:val="18"/>
    </w:rPr>
  </w:style>
  <w:style w:type="character" w:styleId="CommentReference">
    <w:name w:val="annotation reference"/>
    <w:basedOn w:val="DefaultParagraphFont"/>
    <w:uiPriority w:val="99"/>
    <w:semiHidden/>
    <w:unhideWhenUsed/>
    <w:rsid w:val="00D072D7"/>
    <w:rPr>
      <w:sz w:val="16"/>
      <w:szCs w:val="16"/>
    </w:rPr>
  </w:style>
  <w:style w:type="paragraph" w:styleId="CommentText">
    <w:name w:val="annotation text"/>
    <w:basedOn w:val="Normal"/>
    <w:link w:val="CommentTextChar"/>
    <w:uiPriority w:val="99"/>
    <w:semiHidden/>
    <w:unhideWhenUsed/>
    <w:rsid w:val="00D072D7"/>
    <w:pPr>
      <w:spacing w:line="240" w:lineRule="auto"/>
    </w:pPr>
  </w:style>
  <w:style w:type="character" w:customStyle="1" w:styleId="CommentTextChar">
    <w:name w:val="Comment Text Char"/>
    <w:basedOn w:val="DefaultParagraphFont"/>
    <w:link w:val="CommentText"/>
    <w:uiPriority w:val="99"/>
    <w:semiHidden/>
    <w:rsid w:val="00D072D7"/>
  </w:style>
  <w:style w:type="paragraph" w:styleId="CommentSubject">
    <w:name w:val="annotation subject"/>
    <w:basedOn w:val="CommentText"/>
    <w:next w:val="CommentText"/>
    <w:link w:val="CommentSubjectChar"/>
    <w:uiPriority w:val="99"/>
    <w:semiHidden/>
    <w:unhideWhenUsed/>
    <w:rsid w:val="00D072D7"/>
    <w:rPr>
      <w:b/>
      <w:bCs/>
    </w:rPr>
  </w:style>
  <w:style w:type="character" w:customStyle="1" w:styleId="CommentSubjectChar">
    <w:name w:val="Comment Subject Char"/>
    <w:basedOn w:val="CommentTextChar"/>
    <w:link w:val="CommentSubject"/>
    <w:uiPriority w:val="99"/>
    <w:semiHidden/>
    <w:rsid w:val="00D07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70541">
      <w:bodyDiv w:val="1"/>
      <w:marLeft w:val="0"/>
      <w:marRight w:val="0"/>
      <w:marTop w:val="0"/>
      <w:marBottom w:val="0"/>
      <w:divBdr>
        <w:top w:val="none" w:sz="0" w:space="0" w:color="auto"/>
        <w:left w:val="none" w:sz="0" w:space="0" w:color="auto"/>
        <w:bottom w:val="none" w:sz="0" w:space="0" w:color="auto"/>
        <w:right w:val="none" w:sz="0" w:space="0" w:color="auto"/>
      </w:divBdr>
    </w:div>
    <w:div w:id="1020547725">
      <w:bodyDiv w:val="1"/>
      <w:marLeft w:val="0"/>
      <w:marRight w:val="0"/>
      <w:marTop w:val="0"/>
      <w:marBottom w:val="0"/>
      <w:divBdr>
        <w:top w:val="none" w:sz="0" w:space="0" w:color="auto"/>
        <w:left w:val="none" w:sz="0" w:space="0" w:color="auto"/>
        <w:bottom w:val="none" w:sz="0" w:space="0" w:color="auto"/>
        <w:right w:val="none" w:sz="0" w:space="0" w:color="auto"/>
      </w:divBdr>
    </w:div>
    <w:div w:id="1421297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7.xml"/><Relationship Id="rId47" Type="http://schemas.openxmlformats.org/officeDocument/2006/relationships/footer" Target="footer19.xml"/><Relationship Id="rId50" Type="http://schemas.openxmlformats.org/officeDocument/2006/relationships/footer" Target="footer21.xml"/><Relationship Id="rId55" Type="http://schemas.openxmlformats.org/officeDocument/2006/relationships/header" Target="header24.xml"/><Relationship Id="rId63" Type="http://schemas.openxmlformats.org/officeDocument/2006/relationships/footer" Target="footer27.xml"/><Relationship Id="rId68" Type="http://schemas.openxmlformats.org/officeDocument/2006/relationships/header" Target="header30.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header" Target="header19.xml"/><Relationship Id="rId53" Type="http://schemas.openxmlformats.org/officeDocument/2006/relationships/footer" Target="footer22.xml"/><Relationship Id="rId58" Type="http://schemas.openxmlformats.org/officeDocument/2006/relationships/header" Target="header25.xml"/><Relationship Id="rId66" Type="http://schemas.openxmlformats.org/officeDocument/2006/relationships/footer" Target="footer2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yperlink" Target="https://dailymed.nlm.nih.gov/dailymed/drugInfo.cfm?setid=7560c201-9246-487c-a13b-6295db04274a" TargetMode="External"/><Relationship Id="rId61" Type="http://schemas.openxmlformats.org/officeDocument/2006/relationships/footer" Target="footer26.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eader" Target="header23.xml"/><Relationship Id="rId60" Type="http://schemas.openxmlformats.org/officeDocument/2006/relationships/footer" Target="footer25.xml"/><Relationship Id="rId65"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8.xml"/><Relationship Id="rId48" Type="http://schemas.openxmlformats.org/officeDocument/2006/relationships/footer" Target="footer20.xml"/><Relationship Id="rId56" Type="http://schemas.openxmlformats.org/officeDocument/2006/relationships/footer" Target="footer24.xml"/><Relationship Id="rId64" Type="http://schemas.openxmlformats.org/officeDocument/2006/relationships/header" Target="header28.xml"/><Relationship Id="rId69" Type="http://schemas.openxmlformats.org/officeDocument/2006/relationships/footer" Target="footer30.xml"/><Relationship Id="rId8" Type="http://schemas.openxmlformats.org/officeDocument/2006/relationships/image" Target="media/image1.jpg"/><Relationship Id="rId51" Type="http://schemas.openxmlformats.org/officeDocument/2006/relationships/header" Target="header22.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59" Type="http://schemas.openxmlformats.org/officeDocument/2006/relationships/header" Target="header26.xml"/><Relationship Id="rId67" Type="http://schemas.openxmlformats.org/officeDocument/2006/relationships/footer" Target="footer29.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header" Target="header27.xm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Primary Care: Anaphylaxis Treatment Protocol Clinical Content White Paper</vt:lpstr>
    </vt:vector>
  </TitlesOfParts>
  <Company>Veteran Affairs</Company>
  <LinksUpToDate>false</LinksUpToDate>
  <CharactersWithSpaces>10633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Care: Anaphylaxis Treatment Protocol Clinical Content White Paper</dc:title>
  <dc:creator>Juanitam</dc:creator>
  <cp:lastModifiedBy>vacomathisj</cp:lastModifiedBy>
  <cp:revision>2</cp:revision>
  <cp:lastPrinted>2018-05-01T14:25:00Z</cp:lastPrinted>
  <dcterms:created xsi:type="dcterms:W3CDTF">2018-05-01T14:25:00Z</dcterms:created>
  <dcterms:modified xsi:type="dcterms:W3CDTF">2018-05-01T14:25:00Z</dcterms:modified>
</cp:coreProperties>
</file>