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93BF3" w14:textId="1C009F96" w:rsidR="00A74F78" w:rsidRDefault="00C43016" w:rsidP="00A74F78">
      <w:pPr>
        <w:spacing w:before="100" w:beforeAutospacing="1" w:after="100" w:afterAutospacing="1"/>
        <w:rPr>
          <w:rFonts w:asciiTheme="minorHAnsi" w:eastAsia="MS Mincho" w:hAnsiTheme="minorHAnsi" w:cstheme="minorBidi"/>
          <w:b/>
          <w:kern w:val="28"/>
          <w:sz w:val="36"/>
          <w:szCs w:val="36"/>
        </w:rPr>
      </w:pPr>
      <w:r>
        <w:rPr>
          <w:rFonts w:asciiTheme="minorHAnsi" w:eastAsia="MS Mincho" w:hAnsiTheme="minorHAnsi" w:cstheme="minorBidi"/>
          <w:b/>
          <w:sz w:val="36"/>
          <w:szCs w:val="36"/>
        </w:rPr>
        <w:t xml:space="preserve">Regulatory Science Tool: </w:t>
      </w:r>
      <w:r w:rsidR="00A74F78">
        <w:rPr>
          <w:rFonts w:asciiTheme="minorHAnsi" w:eastAsia="MS Mincho" w:hAnsiTheme="minorHAnsi" w:cstheme="minorBidi"/>
          <w:b/>
          <w:sz w:val="36"/>
          <w:szCs w:val="36"/>
        </w:rPr>
        <w:t>Hemolysis</w:t>
      </w:r>
      <w:r w:rsidR="00A74F78" w:rsidRPr="00E0331E">
        <w:rPr>
          <w:rFonts w:asciiTheme="minorHAnsi" w:eastAsia="MS Mincho" w:hAnsiTheme="minorHAnsi" w:cstheme="minorBidi"/>
          <w:b/>
          <w:sz w:val="36"/>
          <w:szCs w:val="36"/>
        </w:rPr>
        <w:t xml:space="preserve"> dataset for validating computational fluid dynamic (CFD) simulation through generalized </w:t>
      </w:r>
      <w:r w:rsidR="00A74F78">
        <w:rPr>
          <w:rFonts w:asciiTheme="minorHAnsi" w:eastAsia="MS Mincho" w:hAnsiTheme="minorHAnsi" w:cstheme="minorBidi"/>
          <w:b/>
          <w:sz w:val="36"/>
          <w:szCs w:val="36"/>
        </w:rPr>
        <w:t>cardiovascular medical</w:t>
      </w:r>
      <w:r w:rsidR="00A74F78" w:rsidRPr="00E0331E">
        <w:rPr>
          <w:rFonts w:asciiTheme="minorHAnsi" w:eastAsia="MS Mincho" w:hAnsiTheme="minorHAnsi" w:cstheme="minorBidi"/>
          <w:b/>
          <w:sz w:val="36"/>
          <w:szCs w:val="36"/>
        </w:rPr>
        <w:t xml:space="preserve"> </w:t>
      </w:r>
      <w:proofErr w:type="gramStart"/>
      <w:r w:rsidR="00A74F78" w:rsidRPr="00E0331E">
        <w:rPr>
          <w:rFonts w:asciiTheme="minorHAnsi" w:eastAsia="MS Mincho" w:hAnsiTheme="minorHAnsi" w:cstheme="minorBidi"/>
          <w:b/>
          <w:sz w:val="36"/>
          <w:szCs w:val="36"/>
        </w:rPr>
        <w:t xml:space="preserve">device </w:t>
      </w:r>
      <w:r w:rsidR="00A74F78">
        <w:rPr>
          <w:rFonts w:asciiTheme="minorHAnsi" w:eastAsia="MS Mincho" w:hAnsiTheme="minorHAnsi" w:cstheme="minorBidi"/>
          <w:b/>
          <w:sz w:val="36"/>
          <w:szCs w:val="36"/>
        </w:rPr>
        <w:t xml:space="preserve"> geometries</w:t>
      </w:r>
      <w:proofErr w:type="gramEnd"/>
      <w:r w:rsidR="00A74F78">
        <w:rPr>
          <w:rFonts w:asciiTheme="minorHAnsi" w:eastAsia="MS Mincho" w:hAnsiTheme="minorHAnsi" w:cstheme="minorBidi"/>
          <w:b/>
          <w:sz w:val="36"/>
          <w:szCs w:val="36"/>
        </w:rPr>
        <w:t xml:space="preserve"> </w:t>
      </w:r>
    </w:p>
    <w:p w14:paraId="6FEF7215" w14:textId="77777777" w:rsidR="00A74F78" w:rsidRDefault="00A74F78" w:rsidP="001C7CA3">
      <w:pPr>
        <w:spacing w:before="100" w:beforeAutospacing="1" w:after="100" w:afterAutospacing="1"/>
        <w:rPr>
          <w:rFonts w:cstheme="minorHAnsi"/>
          <w:szCs w:val="20"/>
        </w:rPr>
      </w:pPr>
    </w:p>
    <w:p w14:paraId="096001FF" w14:textId="2CE44F82" w:rsidR="00A74F78" w:rsidRDefault="00D06667" w:rsidP="00DF0F5A">
      <w:pPr>
        <w:pStyle w:val="Heading1"/>
      </w:pPr>
      <w:r>
        <w:t>Introduction</w:t>
      </w:r>
    </w:p>
    <w:p w14:paraId="4B47FDFA" w14:textId="77777777" w:rsidR="008260DD" w:rsidRPr="008260DD" w:rsidRDefault="008260DD" w:rsidP="008260DD">
      <w:pPr>
        <w:spacing w:before="100" w:beforeAutospacing="1" w:after="100" w:afterAutospacing="1"/>
        <w:rPr>
          <w:rFonts w:cstheme="minorHAnsi"/>
          <w:szCs w:val="20"/>
        </w:rPr>
      </w:pPr>
      <w:r w:rsidRPr="008260DD">
        <w:rPr>
          <w:rFonts w:cstheme="minorHAnsi"/>
          <w:szCs w:val="20"/>
        </w:rPr>
        <w:t xml:space="preserve">The tool provides validation hemolysis data obtained from inter-laboratory bench experiments within generic and simplified </w:t>
      </w:r>
      <w:proofErr w:type="spellStart"/>
      <w:r w:rsidRPr="008260DD">
        <w:rPr>
          <w:rFonts w:cstheme="minorHAnsi"/>
          <w:szCs w:val="20"/>
        </w:rPr>
        <w:t>i</w:t>
      </w:r>
      <w:proofErr w:type="spellEnd"/>
      <w:r w:rsidRPr="008260DD">
        <w:rPr>
          <w:rFonts w:cstheme="minorHAnsi"/>
          <w:szCs w:val="20"/>
        </w:rPr>
        <w:t xml:space="preserve">) nozzle and ii) blood pump geometries that are common in cardiovascular devices. </w:t>
      </w:r>
    </w:p>
    <w:p w14:paraId="7CD9B5B2" w14:textId="23E744E7" w:rsidR="00D06667" w:rsidRDefault="008260DD" w:rsidP="008260DD">
      <w:pPr>
        <w:spacing w:before="100" w:beforeAutospacing="1" w:after="100" w:afterAutospacing="1"/>
        <w:rPr>
          <w:rFonts w:cstheme="minorHAnsi"/>
          <w:szCs w:val="20"/>
        </w:rPr>
      </w:pPr>
      <w:r w:rsidRPr="008260DD">
        <w:rPr>
          <w:rFonts w:cstheme="minorHAnsi"/>
          <w:szCs w:val="20"/>
        </w:rPr>
        <w:t>Modelers can use the validation data to perform early-stage validation of their computational fluid dynamics (CFD) model of hemolysis before performing any device-specific verification, validation, and credibility assessment.</w:t>
      </w:r>
    </w:p>
    <w:p w14:paraId="4A5C5931" w14:textId="5A6EBE5F" w:rsidR="00846CC2" w:rsidRDefault="00846CC2" w:rsidP="0052615A">
      <w:pPr>
        <w:pStyle w:val="Heading1"/>
      </w:pPr>
      <w:r>
        <w:t>Idealized device</w:t>
      </w:r>
      <w:r w:rsidR="008F207B">
        <w:t xml:space="preserve"> </w:t>
      </w:r>
      <w:r>
        <w:t>geometries</w:t>
      </w:r>
      <w:r w:rsidR="008F207B">
        <w:t xml:space="preserve"> </w:t>
      </w:r>
    </w:p>
    <w:p w14:paraId="3D4C5853" w14:textId="5C340858" w:rsidR="00724EF6" w:rsidRDefault="00706832" w:rsidP="00706832">
      <w:pPr>
        <w:spacing w:before="100" w:beforeAutospacing="1" w:after="100" w:afterAutospacing="1"/>
        <w:rPr>
          <w:rFonts w:cstheme="minorHAnsi"/>
          <w:szCs w:val="20"/>
        </w:rPr>
      </w:pPr>
      <w:r w:rsidRPr="00706832">
        <w:rPr>
          <w:rFonts w:cstheme="minorHAnsi"/>
          <w:szCs w:val="20"/>
        </w:rPr>
        <w:t>The two models were designed to provide flow characteristics which are representative of those in medical devices (e.g.,</w:t>
      </w:r>
      <w:r>
        <w:rPr>
          <w:rFonts w:cstheme="minorHAnsi"/>
          <w:szCs w:val="20"/>
        </w:rPr>
        <w:t xml:space="preserve"> </w:t>
      </w:r>
      <w:r w:rsidRPr="00706832">
        <w:rPr>
          <w:rFonts w:cstheme="minorHAnsi"/>
          <w:szCs w:val="20"/>
        </w:rPr>
        <w:t>laminar, transitional, and turbulent flows; gradual and sudden</w:t>
      </w:r>
      <w:r>
        <w:rPr>
          <w:rFonts w:cstheme="minorHAnsi"/>
          <w:szCs w:val="20"/>
        </w:rPr>
        <w:t xml:space="preserve"> </w:t>
      </w:r>
      <w:r w:rsidRPr="00706832">
        <w:rPr>
          <w:rFonts w:cstheme="minorHAnsi"/>
          <w:szCs w:val="20"/>
        </w:rPr>
        <w:t>changes in flow areas; flows around rotating components).</w:t>
      </w:r>
      <w:r w:rsidR="003A5242">
        <w:rPr>
          <w:rFonts w:cstheme="minorHAnsi"/>
          <w:szCs w:val="20"/>
        </w:rPr>
        <w:t xml:space="preserve"> </w:t>
      </w:r>
      <w:r w:rsidR="003A5242" w:rsidRPr="003A5242">
        <w:rPr>
          <w:rFonts w:cstheme="minorHAnsi"/>
          <w:szCs w:val="20"/>
        </w:rPr>
        <w:t>For the first study, a bidirectional nozzle model was created in which the flow diameter changed either suddenly or gradually</w:t>
      </w:r>
      <w:r w:rsidR="00A327B4">
        <w:rPr>
          <w:rFonts w:cstheme="minorHAnsi"/>
          <w:szCs w:val="20"/>
        </w:rPr>
        <w:t>.</w:t>
      </w:r>
    </w:p>
    <w:p w14:paraId="5A833A8C" w14:textId="6C309DD6" w:rsidR="00724EF6" w:rsidRDefault="00814AE2" w:rsidP="00A23C4E">
      <w:pPr>
        <w:spacing w:before="100" w:beforeAutospacing="1" w:after="100" w:afterAutospacing="1"/>
        <w:jc w:val="center"/>
        <w:rPr>
          <w:rFonts w:cstheme="minorHAnsi"/>
          <w:szCs w:val="20"/>
        </w:rPr>
      </w:pPr>
      <w:r>
        <w:rPr>
          <w:rFonts w:cstheme="minorHAnsi"/>
          <w:noProof/>
          <w:szCs w:val="20"/>
        </w:rPr>
        <w:drawing>
          <wp:inline distT="0" distB="0" distL="0" distR="0" wp14:anchorId="574CF9C3" wp14:editId="4E249338">
            <wp:extent cx="4464113" cy="129012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946" cy="1294994"/>
                    </a:xfrm>
                    <a:prstGeom prst="rect">
                      <a:avLst/>
                    </a:prstGeom>
                    <a:noFill/>
                  </pic:spPr>
                </pic:pic>
              </a:graphicData>
            </a:graphic>
          </wp:inline>
        </w:drawing>
      </w:r>
    </w:p>
    <w:p w14:paraId="2E20665A" w14:textId="585AAB2F" w:rsidR="00A23C4E" w:rsidRPr="00A23C4E" w:rsidRDefault="00A23C4E" w:rsidP="00A23C4E">
      <w:pPr>
        <w:shd w:val="clear" w:color="auto" w:fill="FFFFFF"/>
        <w:spacing w:after="0" w:line="240" w:lineRule="auto"/>
        <w:jc w:val="center"/>
        <w:rPr>
          <w:rFonts w:asciiTheme="minorHAnsi" w:hAnsiTheme="minorHAnsi" w:cstheme="minorHAnsi"/>
          <w:b/>
          <w:bCs/>
          <w:color w:val="353535"/>
        </w:rPr>
      </w:pPr>
      <w:r w:rsidRPr="00030FDE">
        <w:rPr>
          <w:rFonts w:asciiTheme="minorHAnsi" w:hAnsiTheme="minorHAnsi" w:cstheme="minorHAnsi"/>
          <w:b/>
          <w:bCs/>
          <w:color w:val="353535"/>
        </w:rPr>
        <w:t xml:space="preserve">Figure 1: </w:t>
      </w:r>
      <w:r w:rsidRPr="00A23C4E">
        <w:rPr>
          <w:rFonts w:asciiTheme="minorHAnsi" w:hAnsiTheme="minorHAnsi" w:cstheme="minorHAnsi"/>
          <w:b/>
          <w:bCs/>
          <w:color w:val="353535"/>
        </w:rPr>
        <w:t>FDA benchmark nozzle model with internal diameters and nozzle throat length identified.</w:t>
      </w:r>
    </w:p>
    <w:p w14:paraId="28BD0F6A" w14:textId="77777777" w:rsidR="00A23C4E" w:rsidRDefault="00A23C4E" w:rsidP="00706832">
      <w:pPr>
        <w:spacing w:before="100" w:beforeAutospacing="1" w:after="100" w:afterAutospacing="1"/>
        <w:rPr>
          <w:rFonts w:cstheme="minorHAnsi"/>
          <w:szCs w:val="20"/>
        </w:rPr>
      </w:pPr>
    </w:p>
    <w:p w14:paraId="5EEE29A8" w14:textId="6341D069" w:rsidR="00C96147" w:rsidRDefault="009A01B0" w:rsidP="00706832">
      <w:pPr>
        <w:spacing w:before="100" w:beforeAutospacing="1" w:after="100" w:afterAutospacing="1"/>
        <w:rPr>
          <w:rFonts w:cstheme="minorHAnsi"/>
          <w:szCs w:val="20"/>
        </w:rPr>
      </w:pPr>
      <w:r w:rsidRPr="009A01B0">
        <w:rPr>
          <w:rFonts w:cstheme="minorHAnsi"/>
          <w:szCs w:val="20"/>
        </w:rPr>
        <w:t xml:space="preserve">The second benchmark model was a centrifugal blood pump designed to have simple geometrical features and to operate over a wide range of flow and pressure conditions (Figure 2). The acrylic rotor (5.2 cm in diameter) had four filleted blades (3 mm tall and 3 mm wide) orthogonally positioned on a 4 mm thick rotor base, attached to a </w:t>
      </w:r>
      <w:proofErr w:type="gramStart"/>
      <w:r w:rsidRPr="009A01B0">
        <w:rPr>
          <w:rFonts w:cstheme="minorHAnsi"/>
          <w:szCs w:val="20"/>
        </w:rPr>
        <w:t>stainless steel</w:t>
      </w:r>
      <w:proofErr w:type="gramEnd"/>
      <w:r w:rsidRPr="009A01B0">
        <w:rPr>
          <w:rFonts w:cstheme="minorHAnsi"/>
          <w:szCs w:val="20"/>
        </w:rPr>
        <w:t xml:space="preserve"> shaft (3.2 mm in diameter). The shaft was sealed against blood leakage by using two spring-loaded, polymer-filled PTFE seals (Bal Seal Engineering, </w:t>
      </w:r>
      <w:r w:rsidRPr="009A01B0">
        <w:rPr>
          <w:rFonts w:cstheme="minorHAnsi"/>
          <w:szCs w:val="20"/>
        </w:rPr>
        <w:lastRenderedPageBreak/>
        <w:t>Foothill Ranch, CA) and grease (</w:t>
      </w:r>
      <w:proofErr w:type="spellStart"/>
      <w:r w:rsidRPr="009A01B0">
        <w:rPr>
          <w:rFonts w:cstheme="minorHAnsi"/>
          <w:szCs w:val="20"/>
        </w:rPr>
        <w:t>Molykote</w:t>
      </w:r>
      <w:proofErr w:type="spellEnd"/>
      <w:r w:rsidRPr="009A01B0">
        <w:rPr>
          <w:rFonts w:cstheme="minorHAnsi"/>
          <w:szCs w:val="20"/>
        </w:rPr>
        <w:t xml:space="preserve"> 111, Dow Corning, Midland, MI) recessed within the rear housing.</w:t>
      </w:r>
    </w:p>
    <w:p w14:paraId="10E37EA9" w14:textId="77777777" w:rsidR="00C96147" w:rsidRDefault="00C96147" w:rsidP="00706832">
      <w:pPr>
        <w:spacing w:before="100" w:beforeAutospacing="1" w:after="100" w:afterAutospacing="1"/>
        <w:rPr>
          <w:rFonts w:cstheme="minorHAnsi"/>
          <w:szCs w:val="20"/>
        </w:rPr>
      </w:pPr>
    </w:p>
    <w:p w14:paraId="582CBA29" w14:textId="3989574F" w:rsidR="00C96147" w:rsidRDefault="00C96147" w:rsidP="003561D3">
      <w:pPr>
        <w:spacing w:before="100" w:beforeAutospacing="1" w:after="100" w:afterAutospacing="1"/>
        <w:jc w:val="center"/>
        <w:rPr>
          <w:rFonts w:cstheme="minorHAnsi"/>
          <w:szCs w:val="20"/>
        </w:rPr>
      </w:pPr>
      <w:r>
        <w:rPr>
          <w:noProof/>
        </w:rPr>
        <w:drawing>
          <wp:inline distT="0" distB="0" distL="0" distR="0" wp14:anchorId="7F72D93C" wp14:editId="4697BBD2">
            <wp:extent cx="3394493" cy="2932055"/>
            <wp:effectExtent l="0" t="0" r="0" b="1905"/>
            <wp:docPr id="2" name="Picture 2" desc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5500" cy="2941563"/>
                    </a:xfrm>
                    <a:prstGeom prst="rect">
                      <a:avLst/>
                    </a:prstGeom>
                    <a:noFill/>
                    <a:ln>
                      <a:noFill/>
                    </a:ln>
                  </pic:spPr>
                </pic:pic>
              </a:graphicData>
            </a:graphic>
          </wp:inline>
        </w:drawing>
      </w:r>
    </w:p>
    <w:p w14:paraId="7756FC2C" w14:textId="7C26FF4E" w:rsidR="003561D3" w:rsidRDefault="003561D3" w:rsidP="00227BBC">
      <w:pPr>
        <w:jc w:val="center"/>
      </w:pPr>
      <w:r>
        <w:rPr>
          <w:rStyle w:val="Strong"/>
        </w:rPr>
        <w:t>Figure2: A</w:t>
      </w:r>
      <w:r>
        <w:t>: Assembly drawing for FDA benchmark pump model. </w:t>
      </w:r>
      <w:r>
        <w:rPr>
          <w:rStyle w:val="Strong"/>
        </w:rPr>
        <w:t>B</w:t>
      </w:r>
      <w:r>
        <w:t>: Enlargement of rotor showing dimensions of rounded blade edges. </w:t>
      </w:r>
      <w:r>
        <w:rPr>
          <w:rStyle w:val="Strong"/>
        </w:rPr>
        <w:t>C</w:t>
      </w:r>
      <w:r>
        <w:t>: Computer model of pump.</w:t>
      </w:r>
    </w:p>
    <w:p w14:paraId="70808751" w14:textId="4B9E7F39" w:rsidR="004B2C7C" w:rsidRDefault="004B2C7C" w:rsidP="00706832">
      <w:pPr>
        <w:spacing w:before="100" w:beforeAutospacing="1" w:after="100" w:afterAutospacing="1"/>
        <w:rPr>
          <w:rFonts w:cstheme="minorHAnsi"/>
          <w:szCs w:val="20"/>
        </w:rPr>
      </w:pPr>
      <w:r>
        <w:rPr>
          <w:rFonts w:cstheme="minorHAnsi"/>
          <w:szCs w:val="20"/>
        </w:rPr>
        <w:t xml:space="preserve">Details of the Nozzle geometry and CAD files can be obtained </w:t>
      </w:r>
      <w:hyperlink r:id="rId7" w:history="1">
        <w:r w:rsidRPr="00301220">
          <w:rPr>
            <w:rStyle w:val="Hyperlink"/>
            <w:rFonts w:cstheme="minorHAnsi"/>
            <w:szCs w:val="20"/>
          </w:rPr>
          <w:t>here</w:t>
        </w:r>
      </w:hyperlink>
    </w:p>
    <w:p w14:paraId="4E376590" w14:textId="0FA9647B" w:rsidR="00A23C4E" w:rsidRDefault="00AB3C90" w:rsidP="00706832">
      <w:pPr>
        <w:spacing w:before="100" w:beforeAutospacing="1" w:after="100" w:afterAutospacing="1"/>
        <w:rPr>
          <w:rFonts w:cstheme="minorHAnsi"/>
          <w:szCs w:val="20"/>
        </w:rPr>
      </w:pPr>
      <w:r>
        <w:rPr>
          <w:rFonts w:cstheme="minorHAnsi"/>
          <w:szCs w:val="20"/>
        </w:rPr>
        <w:t xml:space="preserve">Details of the </w:t>
      </w:r>
      <w:r w:rsidR="004B2C7C">
        <w:rPr>
          <w:rFonts w:cstheme="minorHAnsi"/>
          <w:szCs w:val="20"/>
        </w:rPr>
        <w:t xml:space="preserve">pump geometry, CAD files, and flow conditions can be obtained </w:t>
      </w:r>
      <w:hyperlink r:id="rId8" w:history="1">
        <w:r w:rsidR="004B2C7C" w:rsidRPr="004B2C7C">
          <w:rPr>
            <w:rStyle w:val="Hyperlink"/>
            <w:rFonts w:cstheme="minorHAnsi"/>
            <w:szCs w:val="20"/>
          </w:rPr>
          <w:t>here</w:t>
        </w:r>
      </w:hyperlink>
      <w:r w:rsidR="004B2C7C">
        <w:rPr>
          <w:rFonts w:cstheme="minorHAnsi"/>
          <w:szCs w:val="20"/>
        </w:rPr>
        <w:t xml:space="preserve"> </w:t>
      </w:r>
    </w:p>
    <w:p w14:paraId="22D736F7" w14:textId="4FC69259" w:rsidR="00B813D7" w:rsidRDefault="002C236D" w:rsidP="002C236D">
      <w:pPr>
        <w:pStyle w:val="Heading1"/>
      </w:pPr>
      <w:r>
        <w:t>Flow conditions</w:t>
      </w:r>
    </w:p>
    <w:p w14:paraId="75CFEE39" w14:textId="6181EB73" w:rsidR="000063BC" w:rsidRDefault="000063BC" w:rsidP="000063BC">
      <w:pPr>
        <w:pStyle w:val="NormalWeb"/>
        <w:shd w:val="clear" w:color="auto" w:fill="FFFFFF"/>
        <w:spacing w:before="200" w:beforeAutospacing="0" w:after="200" w:afterAutospacing="0"/>
        <w:rPr>
          <w:rFonts w:ascii="Cambria" w:hAnsi="Cambria"/>
          <w:color w:val="333333"/>
        </w:rPr>
      </w:pPr>
      <w:r>
        <w:rPr>
          <w:rFonts w:ascii="Cambria" w:hAnsi="Cambria"/>
          <w:color w:val="333333"/>
        </w:rPr>
        <w:t xml:space="preserve">Flow parameters in the nozzle model for the three </w:t>
      </w:r>
      <w:r w:rsidR="00B03A81">
        <w:rPr>
          <w:rFonts w:ascii="Cambria" w:hAnsi="Cambria"/>
          <w:color w:val="333333"/>
        </w:rPr>
        <w:t xml:space="preserve">hemolysis </w:t>
      </w:r>
      <w:r>
        <w:rPr>
          <w:rFonts w:ascii="Cambria" w:hAnsi="Cambria"/>
          <w:color w:val="333333"/>
        </w:rPr>
        <w:t>test conditions</w:t>
      </w:r>
      <w:r w:rsidR="00B03A81">
        <w:rPr>
          <w:rFonts w:ascii="Cambria" w:hAnsi="Cambria"/>
          <w:color w:val="333333"/>
        </w:rPr>
        <w:t xml:space="preserve"> are provided </w:t>
      </w:r>
      <w:proofErr w:type="gramStart"/>
      <w:r w:rsidR="00B03A81">
        <w:rPr>
          <w:rFonts w:ascii="Cambria" w:hAnsi="Cambria"/>
          <w:color w:val="333333"/>
        </w:rPr>
        <w:t>below</w:t>
      </w:r>
      <w:proofErr w:type="gramEnd"/>
    </w:p>
    <w:p w14:paraId="7DF0A7C6" w14:textId="77777777" w:rsidR="00FB7C1A" w:rsidRDefault="00FB7C1A" w:rsidP="000063BC">
      <w:pPr>
        <w:pStyle w:val="NormalWeb"/>
        <w:shd w:val="clear" w:color="auto" w:fill="FFFFFF"/>
        <w:spacing w:before="200" w:beforeAutospacing="0" w:after="200" w:afterAutospacing="0"/>
        <w:rPr>
          <w:rFonts w:ascii="Cambria" w:hAnsi="Cambria"/>
          <w:color w:val="333333"/>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34"/>
        <w:gridCol w:w="36"/>
        <w:gridCol w:w="2442"/>
        <w:gridCol w:w="2000"/>
        <w:gridCol w:w="2442"/>
      </w:tblGrid>
      <w:tr w:rsidR="00B03A81" w14:paraId="11C29259" w14:textId="77777777" w:rsidTr="00B03A81">
        <w:trPr>
          <w:tblHeader/>
        </w:trPr>
        <w:tc>
          <w:tcPr>
            <w:tcW w:w="0" w:type="auto"/>
            <w:tcBorders>
              <w:top w:val="single" w:sz="2" w:space="0" w:color="888888"/>
              <w:left w:val="single" w:sz="2" w:space="0" w:color="888888"/>
              <w:bottom w:val="single" w:sz="2" w:space="0" w:color="888888"/>
              <w:right w:val="single" w:sz="6" w:space="0" w:color="888888"/>
            </w:tcBorders>
            <w:tcMar>
              <w:top w:w="48" w:type="dxa"/>
              <w:left w:w="96" w:type="dxa"/>
              <w:bottom w:w="48" w:type="dxa"/>
              <w:right w:w="96" w:type="dxa"/>
            </w:tcMar>
            <w:hideMark/>
          </w:tcPr>
          <w:p w14:paraId="44F2F3CC" w14:textId="77777777" w:rsidR="00B03A81" w:rsidRDefault="00B03A81">
            <w:pPr>
              <w:rPr>
                <w:rFonts w:ascii="Cambria" w:hAnsi="Cambria"/>
                <w:color w:val="333333"/>
              </w:rPr>
            </w:pPr>
          </w:p>
        </w:tc>
        <w:tc>
          <w:tcPr>
            <w:tcW w:w="0" w:type="auto"/>
            <w:tcBorders>
              <w:top w:val="single" w:sz="2" w:space="0" w:color="888888"/>
              <w:left w:val="single" w:sz="6" w:space="0" w:color="888888"/>
              <w:bottom w:val="single" w:sz="2" w:space="0" w:color="888888"/>
              <w:right w:val="single" w:sz="6" w:space="0" w:color="888888"/>
            </w:tcBorders>
          </w:tcPr>
          <w:p w14:paraId="6EB02601" w14:textId="77777777" w:rsidR="00B03A81" w:rsidRDefault="00B03A81">
            <w:pPr>
              <w:spacing w:before="480"/>
              <w:rPr>
                <w:b/>
                <w:bCs/>
                <w:sz w:val="21"/>
                <w:szCs w:val="21"/>
              </w:rPr>
            </w:pPr>
          </w:p>
        </w:tc>
        <w:tc>
          <w:tcPr>
            <w:tcW w:w="0" w:type="auto"/>
            <w:tcBorders>
              <w:top w:val="single" w:sz="2" w:space="0" w:color="888888"/>
              <w:left w:val="single" w:sz="6" w:space="0" w:color="888888"/>
              <w:bottom w:val="single" w:sz="2" w:space="0" w:color="888888"/>
              <w:right w:val="single" w:sz="6" w:space="0" w:color="888888"/>
            </w:tcBorders>
            <w:tcMar>
              <w:top w:w="48" w:type="dxa"/>
              <w:left w:w="96" w:type="dxa"/>
              <w:bottom w:w="48" w:type="dxa"/>
              <w:right w:w="96" w:type="dxa"/>
            </w:tcMar>
            <w:hideMark/>
          </w:tcPr>
          <w:p w14:paraId="377FB2F3" w14:textId="795C8D92" w:rsidR="00B03A81" w:rsidRDefault="00B03A81">
            <w:pPr>
              <w:spacing w:before="480"/>
              <w:rPr>
                <w:b/>
                <w:bCs/>
                <w:sz w:val="21"/>
                <w:szCs w:val="21"/>
              </w:rPr>
            </w:pPr>
            <w:r>
              <w:rPr>
                <w:b/>
                <w:bCs/>
                <w:sz w:val="21"/>
                <w:szCs w:val="21"/>
              </w:rPr>
              <w:t>Sudden-Contraction Inlet 5 L/min (</w:t>
            </w:r>
            <w:r>
              <w:rPr>
                <w:rStyle w:val="Emphasis"/>
                <w:b/>
                <w:bCs/>
                <w:sz w:val="21"/>
                <w:szCs w:val="21"/>
              </w:rPr>
              <w:t>n</w:t>
            </w:r>
            <w:r>
              <w:rPr>
                <w:b/>
                <w:bCs/>
                <w:sz w:val="21"/>
                <w:szCs w:val="21"/>
              </w:rPr>
              <w:t> = </w:t>
            </w:r>
            <w:r>
              <w:rPr>
                <w:rStyle w:val="Emphasis"/>
                <w:b/>
                <w:bCs/>
                <w:sz w:val="21"/>
                <w:szCs w:val="21"/>
              </w:rPr>
              <w:t>26</w:t>
            </w:r>
            <w:r>
              <w:rPr>
                <w:b/>
                <w:bCs/>
                <w:sz w:val="21"/>
                <w:szCs w:val="21"/>
              </w:rPr>
              <w:t>)</w:t>
            </w:r>
          </w:p>
        </w:tc>
        <w:tc>
          <w:tcPr>
            <w:tcW w:w="0" w:type="auto"/>
            <w:tcBorders>
              <w:top w:val="single" w:sz="2" w:space="0" w:color="888888"/>
              <w:left w:val="single" w:sz="6" w:space="0" w:color="888888"/>
              <w:bottom w:val="single" w:sz="2" w:space="0" w:color="888888"/>
              <w:right w:val="single" w:sz="6" w:space="0" w:color="888888"/>
            </w:tcBorders>
            <w:tcMar>
              <w:top w:w="48" w:type="dxa"/>
              <w:left w:w="96" w:type="dxa"/>
              <w:bottom w:w="48" w:type="dxa"/>
              <w:right w:w="96" w:type="dxa"/>
            </w:tcMar>
            <w:hideMark/>
          </w:tcPr>
          <w:p w14:paraId="3900E5F3" w14:textId="77777777" w:rsidR="00B03A81" w:rsidRDefault="00B03A81">
            <w:pPr>
              <w:spacing w:before="480"/>
              <w:rPr>
                <w:b/>
                <w:bCs/>
                <w:sz w:val="21"/>
                <w:szCs w:val="21"/>
              </w:rPr>
            </w:pPr>
            <w:r>
              <w:rPr>
                <w:b/>
                <w:bCs/>
                <w:sz w:val="21"/>
                <w:szCs w:val="21"/>
              </w:rPr>
              <w:t>Gradual Cone Inlet 6 L/min (</w:t>
            </w:r>
            <w:r>
              <w:rPr>
                <w:rStyle w:val="Emphasis"/>
                <w:b/>
                <w:bCs/>
                <w:sz w:val="21"/>
                <w:szCs w:val="21"/>
              </w:rPr>
              <w:t>n</w:t>
            </w:r>
            <w:r>
              <w:rPr>
                <w:b/>
                <w:bCs/>
                <w:sz w:val="21"/>
                <w:szCs w:val="21"/>
              </w:rPr>
              <w:t> = </w:t>
            </w:r>
            <w:r>
              <w:rPr>
                <w:rStyle w:val="Emphasis"/>
                <w:b/>
                <w:bCs/>
                <w:sz w:val="21"/>
                <w:szCs w:val="21"/>
              </w:rPr>
              <w:t>26</w:t>
            </w:r>
            <w:r>
              <w:rPr>
                <w:b/>
                <w:bCs/>
                <w:sz w:val="21"/>
                <w:szCs w:val="21"/>
              </w:rPr>
              <w:t>)</w:t>
            </w:r>
          </w:p>
        </w:tc>
        <w:tc>
          <w:tcPr>
            <w:tcW w:w="0" w:type="auto"/>
            <w:tcBorders>
              <w:top w:val="single" w:sz="2" w:space="0" w:color="888888"/>
              <w:left w:val="single" w:sz="6" w:space="0" w:color="888888"/>
              <w:bottom w:val="single" w:sz="2" w:space="0" w:color="888888"/>
              <w:right w:val="single" w:sz="2" w:space="0" w:color="888888"/>
            </w:tcBorders>
            <w:tcMar>
              <w:top w:w="48" w:type="dxa"/>
              <w:left w:w="96" w:type="dxa"/>
              <w:bottom w:w="48" w:type="dxa"/>
              <w:right w:w="96" w:type="dxa"/>
            </w:tcMar>
            <w:hideMark/>
          </w:tcPr>
          <w:p w14:paraId="728274AA" w14:textId="77777777" w:rsidR="00B03A81" w:rsidRDefault="00B03A81">
            <w:pPr>
              <w:spacing w:before="480"/>
              <w:rPr>
                <w:b/>
                <w:bCs/>
                <w:sz w:val="21"/>
                <w:szCs w:val="21"/>
              </w:rPr>
            </w:pPr>
            <w:r>
              <w:rPr>
                <w:b/>
                <w:bCs/>
                <w:sz w:val="21"/>
                <w:szCs w:val="21"/>
              </w:rPr>
              <w:t>Sudden-Contraction Inlet 6 L/min (</w:t>
            </w:r>
            <w:r>
              <w:rPr>
                <w:rStyle w:val="Emphasis"/>
                <w:b/>
                <w:bCs/>
                <w:sz w:val="21"/>
                <w:szCs w:val="21"/>
              </w:rPr>
              <w:t>n</w:t>
            </w:r>
            <w:r>
              <w:rPr>
                <w:b/>
                <w:bCs/>
                <w:sz w:val="21"/>
                <w:szCs w:val="21"/>
              </w:rPr>
              <w:t> = </w:t>
            </w:r>
            <w:r>
              <w:rPr>
                <w:rStyle w:val="Emphasis"/>
                <w:b/>
                <w:bCs/>
                <w:sz w:val="21"/>
                <w:szCs w:val="21"/>
              </w:rPr>
              <w:t>36</w:t>
            </w:r>
            <w:r>
              <w:rPr>
                <w:b/>
                <w:bCs/>
                <w:sz w:val="21"/>
                <w:szCs w:val="21"/>
              </w:rPr>
              <w:t>)</w:t>
            </w:r>
          </w:p>
        </w:tc>
      </w:tr>
      <w:tr w:rsidR="00B03A81" w14:paraId="145F2B2F" w14:textId="77777777" w:rsidTr="00B03A81">
        <w:tc>
          <w:tcPr>
            <w:tcW w:w="0" w:type="auto"/>
            <w:tcBorders>
              <w:top w:val="single" w:sz="2" w:space="0" w:color="888888"/>
              <w:left w:val="single" w:sz="2" w:space="0" w:color="888888"/>
              <w:bottom w:val="single" w:sz="6" w:space="0" w:color="888888"/>
              <w:right w:val="single" w:sz="6" w:space="0" w:color="888888"/>
            </w:tcBorders>
            <w:tcMar>
              <w:top w:w="48" w:type="dxa"/>
              <w:left w:w="96" w:type="dxa"/>
              <w:bottom w:w="48" w:type="dxa"/>
              <w:right w:w="96" w:type="dxa"/>
            </w:tcMar>
            <w:hideMark/>
          </w:tcPr>
          <w:p w14:paraId="70752C15" w14:textId="77777777" w:rsidR="00B03A81" w:rsidRDefault="00B03A81">
            <w:pPr>
              <w:spacing w:before="480"/>
              <w:jc w:val="center"/>
              <w:rPr>
                <w:sz w:val="21"/>
                <w:szCs w:val="21"/>
              </w:rPr>
            </w:pPr>
            <w:r>
              <w:rPr>
                <w:sz w:val="21"/>
                <w:szCs w:val="21"/>
              </w:rPr>
              <w:t>Measured Flow Rate (L/min)</w:t>
            </w:r>
          </w:p>
        </w:tc>
        <w:tc>
          <w:tcPr>
            <w:tcW w:w="0" w:type="auto"/>
            <w:tcBorders>
              <w:top w:val="single" w:sz="2" w:space="0" w:color="888888"/>
              <w:left w:val="single" w:sz="6" w:space="0" w:color="888888"/>
              <w:bottom w:val="single" w:sz="6" w:space="0" w:color="888888"/>
              <w:right w:val="single" w:sz="6" w:space="0" w:color="888888"/>
            </w:tcBorders>
          </w:tcPr>
          <w:p w14:paraId="0E560C03" w14:textId="77777777" w:rsidR="00B03A81" w:rsidRDefault="00B03A81">
            <w:pPr>
              <w:spacing w:before="480"/>
              <w:jc w:val="center"/>
              <w:rPr>
                <w:sz w:val="21"/>
                <w:szCs w:val="21"/>
              </w:rPr>
            </w:pPr>
          </w:p>
        </w:tc>
        <w:tc>
          <w:tcPr>
            <w:tcW w:w="0" w:type="auto"/>
            <w:tcBorders>
              <w:top w:val="single" w:sz="2"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5A2913F8" w14:textId="23083E98" w:rsidR="00B03A81" w:rsidRDefault="00B03A81">
            <w:pPr>
              <w:spacing w:before="480"/>
              <w:jc w:val="center"/>
              <w:rPr>
                <w:sz w:val="21"/>
                <w:szCs w:val="21"/>
              </w:rPr>
            </w:pPr>
            <w:r>
              <w:rPr>
                <w:sz w:val="21"/>
                <w:szCs w:val="21"/>
              </w:rPr>
              <w:t>5.05 ± 0.12</w:t>
            </w:r>
          </w:p>
        </w:tc>
        <w:tc>
          <w:tcPr>
            <w:tcW w:w="0" w:type="auto"/>
            <w:tcBorders>
              <w:top w:val="single" w:sz="2"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74EFF21F" w14:textId="77777777" w:rsidR="00B03A81" w:rsidRDefault="00B03A81">
            <w:pPr>
              <w:spacing w:before="480"/>
              <w:jc w:val="center"/>
              <w:rPr>
                <w:sz w:val="21"/>
                <w:szCs w:val="21"/>
              </w:rPr>
            </w:pPr>
            <w:r>
              <w:rPr>
                <w:sz w:val="21"/>
                <w:szCs w:val="21"/>
              </w:rPr>
              <w:t>5.94 ± 0.14</w:t>
            </w:r>
          </w:p>
        </w:tc>
        <w:tc>
          <w:tcPr>
            <w:tcW w:w="0" w:type="auto"/>
            <w:tcBorders>
              <w:top w:val="single" w:sz="2" w:space="0" w:color="888888"/>
              <w:left w:val="single" w:sz="6" w:space="0" w:color="888888"/>
              <w:bottom w:val="single" w:sz="6" w:space="0" w:color="888888"/>
              <w:right w:val="single" w:sz="2" w:space="0" w:color="888888"/>
            </w:tcBorders>
            <w:tcMar>
              <w:top w:w="48" w:type="dxa"/>
              <w:left w:w="96" w:type="dxa"/>
              <w:bottom w:w="48" w:type="dxa"/>
              <w:right w:w="96" w:type="dxa"/>
            </w:tcMar>
            <w:hideMark/>
          </w:tcPr>
          <w:p w14:paraId="34289815" w14:textId="77777777" w:rsidR="00B03A81" w:rsidRDefault="00B03A81">
            <w:pPr>
              <w:spacing w:before="480"/>
              <w:jc w:val="center"/>
              <w:rPr>
                <w:sz w:val="21"/>
                <w:szCs w:val="21"/>
              </w:rPr>
            </w:pPr>
            <w:r>
              <w:rPr>
                <w:sz w:val="21"/>
                <w:szCs w:val="21"/>
              </w:rPr>
              <w:t>6.07 ± 0.08</w:t>
            </w:r>
          </w:p>
        </w:tc>
      </w:tr>
      <w:tr w:rsidR="00B03A81" w14:paraId="704B9271" w14:textId="77777777" w:rsidTr="00B03A81">
        <w:tc>
          <w:tcPr>
            <w:tcW w:w="0" w:type="auto"/>
            <w:tcBorders>
              <w:top w:val="single" w:sz="6" w:space="0" w:color="888888"/>
              <w:left w:val="single" w:sz="2" w:space="0" w:color="888888"/>
              <w:bottom w:val="single" w:sz="6" w:space="0" w:color="888888"/>
              <w:right w:val="single" w:sz="6" w:space="0" w:color="888888"/>
            </w:tcBorders>
            <w:tcMar>
              <w:top w:w="48" w:type="dxa"/>
              <w:left w:w="96" w:type="dxa"/>
              <w:bottom w:w="48" w:type="dxa"/>
              <w:right w:w="96" w:type="dxa"/>
            </w:tcMar>
            <w:hideMark/>
          </w:tcPr>
          <w:p w14:paraId="22085D7A" w14:textId="77777777" w:rsidR="00B03A81" w:rsidRDefault="00B03A81">
            <w:pPr>
              <w:spacing w:before="480"/>
              <w:jc w:val="center"/>
              <w:rPr>
                <w:sz w:val="21"/>
                <w:szCs w:val="21"/>
              </w:rPr>
            </w:pPr>
            <w:r>
              <w:rPr>
                <w:sz w:val="21"/>
                <w:szCs w:val="21"/>
              </w:rPr>
              <w:t>Pressure Drop Across Nozzle Model (mmHg)</w:t>
            </w:r>
          </w:p>
        </w:tc>
        <w:tc>
          <w:tcPr>
            <w:tcW w:w="0" w:type="auto"/>
            <w:tcBorders>
              <w:top w:val="single" w:sz="6" w:space="0" w:color="888888"/>
              <w:left w:val="single" w:sz="6" w:space="0" w:color="888888"/>
              <w:bottom w:val="single" w:sz="6" w:space="0" w:color="888888"/>
              <w:right w:val="single" w:sz="6" w:space="0" w:color="888888"/>
            </w:tcBorders>
          </w:tcPr>
          <w:p w14:paraId="76F186BC" w14:textId="77777777" w:rsidR="00B03A81" w:rsidRDefault="00B03A81">
            <w:pPr>
              <w:spacing w:before="480"/>
              <w:jc w:val="center"/>
              <w:rPr>
                <w:sz w:val="21"/>
                <w:szCs w:val="21"/>
              </w:rPr>
            </w:pP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35F6DC06" w14:textId="2B1F9DB2" w:rsidR="00B03A81" w:rsidRDefault="00B03A81">
            <w:pPr>
              <w:spacing w:before="480"/>
              <w:jc w:val="center"/>
              <w:rPr>
                <w:sz w:val="21"/>
                <w:szCs w:val="21"/>
              </w:rPr>
            </w:pPr>
            <w:r>
              <w:rPr>
                <w:sz w:val="21"/>
                <w:szCs w:val="21"/>
              </w:rPr>
              <w:t>217 ± 15</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5A63AFB0" w14:textId="77777777" w:rsidR="00B03A81" w:rsidRDefault="00B03A81">
            <w:pPr>
              <w:spacing w:before="480"/>
              <w:jc w:val="center"/>
              <w:rPr>
                <w:sz w:val="21"/>
                <w:szCs w:val="21"/>
              </w:rPr>
            </w:pPr>
            <w:r>
              <w:rPr>
                <w:sz w:val="21"/>
                <w:szCs w:val="21"/>
              </w:rPr>
              <w:t>309 ± 22</w:t>
            </w:r>
          </w:p>
        </w:tc>
        <w:tc>
          <w:tcPr>
            <w:tcW w:w="0" w:type="auto"/>
            <w:tcBorders>
              <w:top w:val="single" w:sz="6" w:space="0" w:color="888888"/>
              <w:left w:val="single" w:sz="6" w:space="0" w:color="888888"/>
              <w:bottom w:val="single" w:sz="6" w:space="0" w:color="888888"/>
              <w:right w:val="single" w:sz="2" w:space="0" w:color="888888"/>
            </w:tcBorders>
            <w:tcMar>
              <w:top w:w="48" w:type="dxa"/>
              <w:left w:w="96" w:type="dxa"/>
              <w:bottom w:w="48" w:type="dxa"/>
              <w:right w:w="96" w:type="dxa"/>
            </w:tcMar>
            <w:hideMark/>
          </w:tcPr>
          <w:p w14:paraId="3D57E727" w14:textId="77777777" w:rsidR="00B03A81" w:rsidRDefault="00B03A81">
            <w:pPr>
              <w:spacing w:before="480"/>
              <w:jc w:val="center"/>
              <w:rPr>
                <w:sz w:val="21"/>
                <w:szCs w:val="21"/>
              </w:rPr>
            </w:pPr>
            <w:r>
              <w:rPr>
                <w:sz w:val="21"/>
                <w:szCs w:val="21"/>
              </w:rPr>
              <w:t>297 ± 15</w:t>
            </w:r>
          </w:p>
        </w:tc>
      </w:tr>
      <w:tr w:rsidR="00B03A81" w14:paraId="36FF3E40" w14:textId="77777777" w:rsidTr="00B03A81">
        <w:tc>
          <w:tcPr>
            <w:tcW w:w="0" w:type="auto"/>
            <w:tcBorders>
              <w:top w:val="single" w:sz="6" w:space="0" w:color="888888"/>
              <w:left w:val="single" w:sz="2" w:space="0" w:color="888888"/>
              <w:bottom w:val="single" w:sz="6" w:space="0" w:color="888888"/>
              <w:right w:val="single" w:sz="6" w:space="0" w:color="888888"/>
            </w:tcBorders>
            <w:tcMar>
              <w:top w:w="48" w:type="dxa"/>
              <w:left w:w="96" w:type="dxa"/>
              <w:bottom w:w="48" w:type="dxa"/>
              <w:right w:w="96" w:type="dxa"/>
            </w:tcMar>
            <w:hideMark/>
          </w:tcPr>
          <w:p w14:paraId="1E3DD9A3" w14:textId="77777777" w:rsidR="00B03A81" w:rsidRDefault="00B03A81">
            <w:pPr>
              <w:spacing w:before="480"/>
              <w:jc w:val="center"/>
              <w:rPr>
                <w:sz w:val="21"/>
                <w:szCs w:val="21"/>
              </w:rPr>
            </w:pPr>
            <w:r>
              <w:rPr>
                <w:sz w:val="21"/>
                <w:szCs w:val="21"/>
              </w:rPr>
              <w:t>Pump Speed (rpm)</w:t>
            </w:r>
          </w:p>
        </w:tc>
        <w:tc>
          <w:tcPr>
            <w:tcW w:w="0" w:type="auto"/>
            <w:tcBorders>
              <w:top w:val="single" w:sz="6" w:space="0" w:color="888888"/>
              <w:left w:val="single" w:sz="6" w:space="0" w:color="888888"/>
              <w:bottom w:val="single" w:sz="6" w:space="0" w:color="888888"/>
              <w:right w:val="single" w:sz="6" w:space="0" w:color="888888"/>
            </w:tcBorders>
          </w:tcPr>
          <w:p w14:paraId="1BAB59BC" w14:textId="77777777" w:rsidR="00B03A81" w:rsidRDefault="00B03A81">
            <w:pPr>
              <w:spacing w:before="480"/>
              <w:jc w:val="center"/>
              <w:rPr>
                <w:sz w:val="21"/>
                <w:szCs w:val="21"/>
              </w:rPr>
            </w:pP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45D2FAEF" w14:textId="32770945" w:rsidR="00B03A81" w:rsidRDefault="00B03A81">
            <w:pPr>
              <w:spacing w:before="480"/>
              <w:jc w:val="center"/>
              <w:rPr>
                <w:sz w:val="21"/>
                <w:szCs w:val="21"/>
              </w:rPr>
            </w:pPr>
            <w:r>
              <w:rPr>
                <w:sz w:val="21"/>
                <w:szCs w:val="21"/>
              </w:rPr>
              <w:t>3420 ± 70</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49F18FEB" w14:textId="77777777" w:rsidR="00B03A81" w:rsidRDefault="00B03A81">
            <w:pPr>
              <w:spacing w:before="480"/>
              <w:jc w:val="center"/>
              <w:rPr>
                <w:sz w:val="21"/>
                <w:szCs w:val="21"/>
              </w:rPr>
            </w:pPr>
            <w:r>
              <w:rPr>
                <w:sz w:val="21"/>
                <w:szCs w:val="21"/>
              </w:rPr>
              <w:t>4020 ± 110</w:t>
            </w:r>
          </w:p>
        </w:tc>
        <w:tc>
          <w:tcPr>
            <w:tcW w:w="0" w:type="auto"/>
            <w:tcBorders>
              <w:top w:val="single" w:sz="6" w:space="0" w:color="888888"/>
              <w:left w:val="single" w:sz="6" w:space="0" w:color="888888"/>
              <w:bottom w:val="single" w:sz="6" w:space="0" w:color="888888"/>
              <w:right w:val="single" w:sz="2" w:space="0" w:color="888888"/>
            </w:tcBorders>
            <w:tcMar>
              <w:top w:w="48" w:type="dxa"/>
              <w:left w:w="96" w:type="dxa"/>
              <w:bottom w:w="48" w:type="dxa"/>
              <w:right w:w="96" w:type="dxa"/>
            </w:tcMar>
            <w:hideMark/>
          </w:tcPr>
          <w:p w14:paraId="532B1631" w14:textId="77777777" w:rsidR="00B03A81" w:rsidRDefault="00B03A81">
            <w:pPr>
              <w:spacing w:before="480"/>
              <w:jc w:val="center"/>
              <w:rPr>
                <w:sz w:val="21"/>
                <w:szCs w:val="21"/>
              </w:rPr>
            </w:pPr>
            <w:r>
              <w:rPr>
                <w:sz w:val="21"/>
                <w:szCs w:val="21"/>
              </w:rPr>
              <w:t>3970 ± 60</w:t>
            </w:r>
          </w:p>
        </w:tc>
      </w:tr>
      <w:tr w:rsidR="00B03A81" w14:paraId="59F47696" w14:textId="77777777" w:rsidTr="00B03A81">
        <w:tc>
          <w:tcPr>
            <w:tcW w:w="0" w:type="auto"/>
            <w:tcBorders>
              <w:top w:val="single" w:sz="6" w:space="0" w:color="888888"/>
              <w:left w:val="single" w:sz="2" w:space="0" w:color="888888"/>
              <w:bottom w:val="single" w:sz="6" w:space="0" w:color="888888"/>
              <w:right w:val="single" w:sz="6" w:space="0" w:color="888888"/>
            </w:tcBorders>
            <w:tcMar>
              <w:top w:w="48" w:type="dxa"/>
              <w:left w:w="96" w:type="dxa"/>
              <w:bottom w:w="48" w:type="dxa"/>
              <w:right w:w="96" w:type="dxa"/>
            </w:tcMar>
            <w:hideMark/>
          </w:tcPr>
          <w:p w14:paraId="7903FF07" w14:textId="77777777" w:rsidR="00B03A81" w:rsidRDefault="00B03A81">
            <w:pPr>
              <w:spacing w:before="480"/>
              <w:jc w:val="center"/>
              <w:rPr>
                <w:sz w:val="21"/>
                <w:szCs w:val="21"/>
              </w:rPr>
            </w:pPr>
            <w:r>
              <w:rPr>
                <w:sz w:val="21"/>
                <w:szCs w:val="21"/>
              </w:rPr>
              <w:t>Reynolds Number in Nozzle Throat</w:t>
            </w:r>
          </w:p>
        </w:tc>
        <w:tc>
          <w:tcPr>
            <w:tcW w:w="0" w:type="auto"/>
            <w:tcBorders>
              <w:top w:val="single" w:sz="6" w:space="0" w:color="888888"/>
              <w:left w:val="single" w:sz="6" w:space="0" w:color="888888"/>
              <w:bottom w:val="single" w:sz="6" w:space="0" w:color="888888"/>
              <w:right w:val="single" w:sz="6" w:space="0" w:color="888888"/>
            </w:tcBorders>
          </w:tcPr>
          <w:p w14:paraId="6883965C" w14:textId="77777777" w:rsidR="00B03A81" w:rsidRDefault="00B03A81">
            <w:pPr>
              <w:spacing w:before="480"/>
              <w:jc w:val="center"/>
              <w:rPr>
                <w:sz w:val="21"/>
                <w:szCs w:val="21"/>
              </w:rPr>
            </w:pP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295BB152" w14:textId="0AC5FCE5" w:rsidR="00B03A81" w:rsidRDefault="00B03A81">
            <w:pPr>
              <w:spacing w:before="480"/>
              <w:jc w:val="center"/>
              <w:rPr>
                <w:sz w:val="21"/>
                <w:szCs w:val="21"/>
              </w:rPr>
            </w:pPr>
            <w:r>
              <w:rPr>
                <w:sz w:val="21"/>
                <w:szCs w:val="21"/>
              </w:rPr>
              <w:t>6650 ± 570</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3DAE6158" w14:textId="77777777" w:rsidR="00B03A81" w:rsidRDefault="00B03A81">
            <w:pPr>
              <w:spacing w:before="480"/>
              <w:jc w:val="center"/>
              <w:rPr>
                <w:sz w:val="21"/>
                <w:szCs w:val="21"/>
              </w:rPr>
            </w:pPr>
            <w:r>
              <w:rPr>
                <w:sz w:val="21"/>
                <w:szCs w:val="21"/>
              </w:rPr>
              <w:t>7860 ± 640</w:t>
            </w:r>
          </w:p>
        </w:tc>
        <w:tc>
          <w:tcPr>
            <w:tcW w:w="0" w:type="auto"/>
            <w:tcBorders>
              <w:top w:val="single" w:sz="6" w:space="0" w:color="888888"/>
              <w:left w:val="single" w:sz="6" w:space="0" w:color="888888"/>
              <w:bottom w:val="single" w:sz="6" w:space="0" w:color="888888"/>
              <w:right w:val="single" w:sz="2" w:space="0" w:color="888888"/>
            </w:tcBorders>
            <w:tcMar>
              <w:top w:w="48" w:type="dxa"/>
              <w:left w:w="96" w:type="dxa"/>
              <w:bottom w:w="48" w:type="dxa"/>
              <w:right w:w="96" w:type="dxa"/>
            </w:tcMar>
            <w:hideMark/>
          </w:tcPr>
          <w:p w14:paraId="65D93C8A" w14:textId="77777777" w:rsidR="00B03A81" w:rsidRDefault="00B03A81">
            <w:pPr>
              <w:spacing w:before="480"/>
              <w:jc w:val="center"/>
              <w:rPr>
                <w:sz w:val="21"/>
                <w:szCs w:val="21"/>
              </w:rPr>
            </w:pPr>
            <w:r>
              <w:rPr>
                <w:sz w:val="21"/>
                <w:szCs w:val="21"/>
              </w:rPr>
              <w:t>8020 ± 670</w:t>
            </w:r>
          </w:p>
        </w:tc>
      </w:tr>
      <w:tr w:rsidR="00B03A81" w14:paraId="07034D4E" w14:textId="77777777" w:rsidTr="00B03A81">
        <w:tc>
          <w:tcPr>
            <w:tcW w:w="0" w:type="auto"/>
            <w:tcBorders>
              <w:top w:val="single" w:sz="6" w:space="0" w:color="888888"/>
              <w:left w:val="single" w:sz="2" w:space="0" w:color="888888"/>
              <w:bottom w:val="single" w:sz="2" w:space="0" w:color="888888"/>
              <w:right w:val="single" w:sz="6" w:space="0" w:color="888888"/>
            </w:tcBorders>
            <w:tcMar>
              <w:top w:w="48" w:type="dxa"/>
              <w:left w:w="96" w:type="dxa"/>
              <w:bottom w:w="48" w:type="dxa"/>
              <w:right w:w="96" w:type="dxa"/>
            </w:tcMar>
            <w:hideMark/>
          </w:tcPr>
          <w:p w14:paraId="12764D62" w14:textId="77777777" w:rsidR="00B03A81" w:rsidRDefault="00B03A81">
            <w:pPr>
              <w:spacing w:before="480"/>
              <w:jc w:val="center"/>
              <w:rPr>
                <w:sz w:val="21"/>
                <w:szCs w:val="21"/>
              </w:rPr>
            </w:pPr>
            <w:r>
              <w:rPr>
                <w:sz w:val="21"/>
                <w:szCs w:val="21"/>
              </w:rPr>
              <w:t>Reynolds Number in ½″ ID Tubing</w:t>
            </w:r>
          </w:p>
        </w:tc>
        <w:tc>
          <w:tcPr>
            <w:tcW w:w="0" w:type="auto"/>
            <w:tcBorders>
              <w:top w:val="single" w:sz="6" w:space="0" w:color="888888"/>
              <w:left w:val="single" w:sz="6" w:space="0" w:color="888888"/>
              <w:bottom w:val="single" w:sz="2" w:space="0" w:color="888888"/>
              <w:right w:val="single" w:sz="6" w:space="0" w:color="888888"/>
            </w:tcBorders>
          </w:tcPr>
          <w:p w14:paraId="4D922759" w14:textId="77777777" w:rsidR="00B03A81" w:rsidRDefault="00B03A81">
            <w:pPr>
              <w:spacing w:before="480"/>
              <w:jc w:val="center"/>
              <w:rPr>
                <w:sz w:val="21"/>
                <w:szCs w:val="21"/>
              </w:rPr>
            </w:pPr>
          </w:p>
        </w:tc>
        <w:tc>
          <w:tcPr>
            <w:tcW w:w="0" w:type="auto"/>
            <w:tcBorders>
              <w:top w:val="single" w:sz="6" w:space="0" w:color="888888"/>
              <w:left w:val="single" w:sz="6" w:space="0" w:color="888888"/>
              <w:bottom w:val="single" w:sz="2" w:space="0" w:color="888888"/>
              <w:right w:val="single" w:sz="6" w:space="0" w:color="888888"/>
            </w:tcBorders>
            <w:tcMar>
              <w:top w:w="48" w:type="dxa"/>
              <w:left w:w="96" w:type="dxa"/>
              <w:bottom w:w="48" w:type="dxa"/>
              <w:right w:w="96" w:type="dxa"/>
            </w:tcMar>
            <w:hideMark/>
          </w:tcPr>
          <w:p w14:paraId="5F8369DD" w14:textId="655D7659" w:rsidR="00B03A81" w:rsidRDefault="00B03A81">
            <w:pPr>
              <w:spacing w:before="480"/>
              <w:jc w:val="center"/>
              <w:rPr>
                <w:sz w:val="21"/>
                <w:szCs w:val="21"/>
              </w:rPr>
            </w:pPr>
            <w:r>
              <w:rPr>
                <w:sz w:val="21"/>
                <w:szCs w:val="21"/>
              </w:rPr>
              <w:t>2220± 190</w:t>
            </w:r>
          </w:p>
        </w:tc>
        <w:tc>
          <w:tcPr>
            <w:tcW w:w="0" w:type="auto"/>
            <w:tcBorders>
              <w:top w:val="single" w:sz="6" w:space="0" w:color="888888"/>
              <w:left w:val="single" w:sz="6" w:space="0" w:color="888888"/>
              <w:bottom w:val="single" w:sz="2" w:space="0" w:color="888888"/>
              <w:right w:val="single" w:sz="6" w:space="0" w:color="888888"/>
            </w:tcBorders>
            <w:tcMar>
              <w:top w:w="48" w:type="dxa"/>
              <w:left w:w="96" w:type="dxa"/>
              <w:bottom w:w="48" w:type="dxa"/>
              <w:right w:w="96" w:type="dxa"/>
            </w:tcMar>
            <w:hideMark/>
          </w:tcPr>
          <w:p w14:paraId="4F812524" w14:textId="77777777" w:rsidR="00B03A81" w:rsidRDefault="00B03A81">
            <w:pPr>
              <w:spacing w:before="480"/>
              <w:jc w:val="center"/>
              <w:rPr>
                <w:sz w:val="21"/>
                <w:szCs w:val="21"/>
              </w:rPr>
            </w:pPr>
            <w:r>
              <w:rPr>
                <w:sz w:val="21"/>
                <w:szCs w:val="21"/>
              </w:rPr>
              <w:t>2630± 210</w:t>
            </w:r>
          </w:p>
        </w:tc>
        <w:tc>
          <w:tcPr>
            <w:tcW w:w="0" w:type="auto"/>
            <w:tcBorders>
              <w:top w:val="single" w:sz="6" w:space="0" w:color="888888"/>
              <w:left w:val="single" w:sz="6" w:space="0" w:color="888888"/>
              <w:bottom w:val="single" w:sz="2" w:space="0" w:color="888888"/>
              <w:right w:val="single" w:sz="2" w:space="0" w:color="888888"/>
            </w:tcBorders>
            <w:tcMar>
              <w:top w:w="48" w:type="dxa"/>
              <w:left w:w="96" w:type="dxa"/>
              <w:bottom w:w="48" w:type="dxa"/>
              <w:right w:w="96" w:type="dxa"/>
            </w:tcMar>
            <w:hideMark/>
          </w:tcPr>
          <w:p w14:paraId="287AB876" w14:textId="77777777" w:rsidR="00B03A81" w:rsidRDefault="00B03A81">
            <w:pPr>
              <w:spacing w:before="480"/>
              <w:jc w:val="center"/>
              <w:rPr>
                <w:sz w:val="21"/>
                <w:szCs w:val="21"/>
              </w:rPr>
            </w:pPr>
            <w:r>
              <w:rPr>
                <w:sz w:val="21"/>
                <w:szCs w:val="21"/>
              </w:rPr>
              <w:t>2670± 220</w:t>
            </w:r>
          </w:p>
        </w:tc>
      </w:tr>
    </w:tbl>
    <w:p w14:paraId="24B952EC" w14:textId="1C8BBFAE" w:rsidR="000063BC" w:rsidRPr="00683532" w:rsidRDefault="000063BC" w:rsidP="00227BBC">
      <w:pPr>
        <w:pStyle w:val="NormalWeb"/>
        <w:shd w:val="clear" w:color="auto" w:fill="FFFFFF"/>
        <w:spacing w:before="400" w:beforeAutospacing="0" w:after="400" w:afterAutospacing="0"/>
        <w:jc w:val="center"/>
        <w:rPr>
          <w:rFonts w:asciiTheme="minorHAnsi" w:hAnsiTheme="minorHAnsi" w:cstheme="minorHAnsi"/>
          <w:color w:val="333333"/>
          <w:sz w:val="22"/>
          <w:szCs w:val="22"/>
        </w:rPr>
      </w:pPr>
      <w:r w:rsidRPr="00683532">
        <w:rPr>
          <w:rStyle w:val="Strong"/>
          <w:rFonts w:asciiTheme="minorHAnsi" w:eastAsiaTheme="majorEastAsia" w:hAnsiTheme="minorHAnsi" w:cstheme="minorHAnsi"/>
          <w:color w:val="333333"/>
          <w:sz w:val="22"/>
          <w:szCs w:val="22"/>
        </w:rPr>
        <w:t>Table 1: Nozzle flow conditions</w:t>
      </w:r>
      <w:r w:rsidR="00B03A81" w:rsidRPr="00683532">
        <w:rPr>
          <w:rStyle w:val="Strong"/>
          <w:rFonts w:asciiTheme="minorHAnsi" w:eastAsiaTheme="majorEastAsia" w:hAnsiTheme="minorHAnsi" w:cstheme="minorHAnsi"/>
          <w:color w:val="333333"/>
          <w:sz w:val="22"/>
          <w:szCs w:val="22"/>
        </w:rPr>
        <w:t xml:space="preserve"> for hemolysis testing</w:t>
      </w:r>
      <w:r w:rsidRPr="00683532">
        <w:rPr>
          <w:rStyle w:val="Strong"/>
          <w:rFonts w:asciiTheme="minorHAnsi" w:eastAsiaTheme="majorEastAsia" w:hAnsiTheme="minorHAnsi" w:cstheme="minorHAnsi"/>
          <w:color w:val="333333"/>
          <w:sz w:val="22"/>
          <w:szCs w:val="22"/>
        </w:rPr>
        <w:t>. Values are shown as mean ± SD for three laboratories combined.</w:t>
      </w:r>
    </w:p>
    <w:p w14:paraId="08E8F027"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37AA10DC"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771DAAAF"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0EDD8556"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30973DDF"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2A5ABBB0"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0C2697BD"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5C84F275" w14:textId="75DF21F5" w:rsidR="00B03A81" w:rsidRDefault="00B03A81" w:rsidP="00B03A81">
      <w:pPr>
        <w:pStyle w:val="NormalWeb"/>
        <w:shd w:val="clear" w:color="auto" w:fill="FFFFFF"/>
        <w:spacing w:before="200" w:beforeAutospacing="0" w:after="200" w:afterAutospacing="0"/>
        <w:rPr>
          <w:rFonts w:ascii="Cambria" w:hAnsi="Cambria"/>
          <w:color w:val="333333"/>
        </w:rPr>
      </w:pPr>
      <w:r>
        <w:rPr>
          <w:rFonts w:ascii="Cambria" w:hAnsi="Cambria"/>
          <w:color w:val="333333"/>
        </w:rPr>
        <w:lastRenderedPageBreak/>
        <w:t xml:space="preserve">Flow parameters for the pump model for are provided </w:t>
      </w:r>
      <w:proofErr w:type="gramStart"/>
      <w:r>
        <w:rPr>
          <w:rFonts w:ascii="Cambria" w:hAnsi="Cambria"/>
          <w:color w:val="333333"/>
        </w:rPr>
        <w:t>below</w:t>
      </w:r>
      <w:proofErr w:type="gramEnd"/>
    </w:p>
    <w:tbl>
      <w:tblPr>
        <w:tblW w:w="5000" w:type="pct"/>
        <w:tblBorders>
          <w:top w:val="single" w:sz="12" w:space="0" w:color="D5D5D5"/>
          <w:left w:val="single" w:sz="12" w:space="0" w:color="D5D5D5"/>
          <w:bottom w:val="single" w:sz="12" w:space="0" w:color="D5D5D5"/>
          <w:right w:val="single" w:sz="12" w:space="0" w:color="D5D5D5"/>
        </w:tblBorders>
        <w:tblCellMar>
          <w:top w:w="15" w:type="dxa"/>
          <w:left w:w="15" w:type="dxa"/>
          <w:bottom w:w="15" w:type="dxa"/>
          <w:right w:w="15" w:type="dxa"/>
        </w:tblCellMar>
        <w:tblLook w:val="04A0" w:firstRow="1" w:lastRow="0" w:firstColumn="1" w:lastColumn="0" w:noHBand="0" w:noVBand="1"/>
      </w:tblPr>
      <w:tblGrid>
        <w:gridCol w:w="1352"/>
        <w:gridCol w:w="1790"/>
        <w:gridCol w:w="1915"/>
        <w:gridCol w:w="2275"/>
        <w:gridCol w:w="2005"/>
      </w:tblGrid>
      <w:tr w:rsidR="00297E30" w14:paraId="0A5798A8" w14:textId="77777777" w:rsidTr="00297E30">
        <w:trPr>
          <w:tblHeader/>
        </w:trPr>
        <w:tc>
          <w:tcPr>
            <w:tcW w:w="630" w:type="pct"/>
            <w:tcBorders>
              <w:bottom w:val="single" w:sz="18" w:space="0" w:color="01324B"/>
              <w:right w:val="single" w:sz="6" w:space="0" w:color="D5D5D5"/>
            </w:tcBorders>
            <w:tcMar>
              <w:top w:w="90" w:type="dxa"/>
              <w:left w:w="90" w:type="dxa"/>
              <w:bottom w:w="90" w:type="dxa"/>
              <w:right w:w="90" w:type="dxa"/>
            </w:tcMar>
            <w:hideMark/>
          </w:tcPr>
          <w:p w14:paraId="72832E26" w14:textId="52C06DFA" w:rsidR="00297E30" w:rsidRDefault="00227BBC">
            <w:pPr>
              <w:pStyle w:val="NormalWeb"/>
              <w:spacing w:before="0" w:beforeAutospacing="0" w:after="0" w:afterAutospacing="0"/>
              <w:rPr>
                <w:rFonts w:ascii="Merriweather Sans" w:hAnsi="Merriweather Sans"/>
                <w:b/>
                <w:bCs/>
              </w:rPr>
            </w:pPr>
            <w:r>
              <w:rPr>
                <w:rFonts w:ascii="Merriweather Sans" w:hAnsi="Merriweather Sans"/>
                <w:b/>
                <w:bCs/>
              </w:rPr>
              <w:t>C</w:t>
            </w:r>
            <w:r w:rsidR="00297E30">
              <w:rPr>
                <w:rFonts w:ascii="Merriweather Sans" w:hAnsi="Merriweather Sans"/>
                <w:b/>
                <w:bCs/>
              </w:rPr>
              <w:t>ondition #</w:t>
            </w:r>
          </w:p>
        </w:tc>
        <w:tc>
          <w:tcPr>
            <w:tcW w:w="982" w:type="pct"/>
            <w:tcBorders>
              <w:bottom w:val="single" w:sz="18" w:space="0" w:color="01324B"/>
              <w:right w:val="single" w:sz="6" w:space="0" w:color="D5D5D5"/>
            </w:tcBorders>
            <w:tcMar>
              <w:top w:w="90" w:type="dxa"/>
              <w:left w:w="90" w:type="dxa"/>
              <w:bottom w:w="90" w:type="dxa"/>
              <w:right w:w="90" w:type="dxa"/>
            </w:tcMar>
            <w:hideMark/>
          </w:tcPr>
          <w:p w14:paraId="2D8E68AF" w14:textId="77777777" w:rsidR="00297E30" w:rsidRDefault="00297E30">
            <w:pPr>
              <w:pStyle w:val="NormalWeb"/>
              <w:spacing w:before="0" w:beforeAutospacing="0" w:after="0" w:afterAutospacing="0"/>
              <w:rPr>
                <w:rFonts w:ascii="Merriweather Sans" w:hAnsi="Merriweather Sans"/>
                <w:b/>
                <w:bCs/>
              </w:rPr>
            </w:pPr>
            <w:r>
              <w:rPr>
                <w:rFonts w:ascii="Merriweather Sans" w:hAnsi="Merriweather Sans"/>
                <w:b/>
                <w:bCs/>
              </w:rPr>
              <w:t>Flow rate (L/min)</w:t>
            </w:r>
          </w:p>
        </w:tc>
        <w:tc>
          <w:tcPr>
            <w:tcW w:w="1049" w:type="pct"/>
            <w:tcBorders>
              <w:bottom w:val="single" w:sz="18" w:space="0" w:color="01324B"/>
              <w:right w:val="single" w:sz="6" w:space="0" w:color="D5D5D5"/>
            </w:tcBorders>
            <w:tcMar>
              <w:top w:w="90" w:type="dxa"/>
              <w:left w:w="90" w:type="dxa"/>
              <w:bottom w:w="90" w:type="dxa"/>
              <w:right w:w="90" w:type="dxa"/>
            </w:tcMar>
            <w:hideMark/>
          </w:tcPr>
          <w:p w14:paraId="4B52C53C" w14:textId="77777777" w:rsidR="00297E30" w:rsidRDefault="00297E30">
            <w:pPr>
              <w:pStyle w:val="NormalWeb"/>
              <w:spacing w:before="0" w:beforeAutospacing="0" w:after="0" w:afterAutospacing="0"/>
              <w:rPr>
                <w:rFonts w:ascii="Merriweather Sans" w:hAnsi="Merriweather Sans"/>
                <w:b/>
                <w:bCs/>
              </w:rPr>
            </w:pPr>
            <w:r>
              <w:rPr>
                <w:rFonts w:ascii="Merriweather Sans" w:hAnsi="Merriweather Sans"/>
                <w:b/>
                <w:bCs/>
              </w:rPr>
              <w:t>Pump speed (rpm)</w:t>
            </w:r>
          </w:p>
        </w:tc>
        <w:tc>
          <w:tcPr>
            <w:tcW w:w="1242" w:type="pct"/>
            <w:tcBorders>
              <w:bottom w:val="single" w:sz="18" w:space="0" w:color="01324B"/>
              <w:right w:val="single" w:sz="6" w:space="0" w:color="D5D5D5"/>
            </w:tcBorders>
            <w:tcMar>
              <w:top w:w="90" w:type="dxa"/>
              <w:left w:w="90" w:type="dxa"/>
              <w:bottom w:w="90" w:type="dxa"/>
              <w:right w:w="90" w:type="dxa"/>
            </w:tcMar>
            <w:hideMark/>
          </w:tcPr>
          <w:p w14:paraId="41656976" w14:textId="77777777" w:rsidR="00297E30" w:rsidRDefault="00297E30">
            <w:pPr>
              <w:pStyle w:val="NormalWeb"/>
              <w:spacing w:before="0" w:beforeAutospacing="0" w:after="0" w:afterAutospacing="0"/>
              <w:rPr>
                <w:rFonts w:ascii="Merriweather Sans" w:hAnsi="Merriweather Sans"/>
                <w:b/>
                <w:bCs/>
              </w:rPr>
            </w:pPr>
            <w:r>
              <w:rPr>
                <w:rFonts w:ascii="Merriweather Sans" w:hAnsi="Merriweather Sans"/>
                <w:b/>
                <w:bCs/>
              </w:rPr>
              <w:t>Reynolds number (Re)</w:t>
            </w:r>
          </w:p>
        </w:tc>
        <w:tc>
          <w:tcPr>
            <w:tcW w:w="1097" w:type="pct"/>
            <w:tcBorders>
              <w:bottom w:val="single" w:sz="18" w:space="0" w:color="01324B"/>
              <w:right w:val="single" w:sz="6" w:space="0" w:color="D5D5D5"/>
            </w:tcBorders>
            <w:tcMar>
              <w:top w:w="90" w:type="dxa"/>
              <w:left w:w="90" w:type="dxa"/>
              <w:bottom w:w="90" w:type="dxa"/>
              <w:right w:w="90" w:type="dxa"/>
            </w:tcMar>
            <w:hideMark/>
          </w:tcPr>
          <w:p w14:paraId="6A8BA576" w14:textId="77777777" w:rsidR="00297E30" w:rsidRDefault="00297E30">
            <w:pPr>
              <w:pStyle w:val="NormalWeb"/>
              <w:spacing w:before="0" w:beforeAutospacing="0" w:after="0" w:afterAutospacing="0"/>
              <w:rPr>
                <w:rFonts w:ascii="Merriweather Sans" w:hAnsi="Merriweather Sans"/>
                <w:b/>
                <w:bCs/>
              </w:rPr>
            </w:pPr>
            <w:r>
              <w:rPr>
                <w:rFonts w:ascii="Merriweather Sans" w:hAnsi="Merriweather Sans"/>
                <w:b/>
                <w:bCs/>
              </w:rPr>
              <w:t>Flow coefficient (</w:t>
            </w:r>
            <w:r>
              <w:rPr>
                <w:rStyle w:val="mjxassistivemathml"/>
                <w:rFonts w:ascii="Calibri" w:hAnsi="Calibri" w:cs="Calibri"/>
                <w:bdr w:val="none" w:sz="0" w:space="0" w:color="auto" w:frame="1"/>
              </w:rPr>
              <w:t>Φ</w:t>
            </w:r>
            <w:r>
              <w:rPr>
                <w:rFonts w:ascii="Merriweather Sans" w:hAnsi="Merriweather Sans"/>
                <w:b/>
                <w:bCs/>
              </w:rPr>
              <w:t>)</w:t>
            </w:r>
          </w:p>
        </w:tc>
      </w:tr>
      <w:tr w:rsidR="00297E30" w14:paraId="48C3FAC9"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5D881103"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1</w:t>
            </w:r>
          </w:p>
        </w:tc>
        <w:tc>
          <w:tcPr>
            <w:tcW w:w="982" w:type="pct"/>
            <w:tcBorders>
              <w:bottom w:val="single" w:sz="12" w:space="0" w:color="DADADA"/>
              <w:right w:val="single" w:sz="6" w:space="0" w:color="D5D5D5"/>
            </w:tcBorders>
            <w:tcMar>
              <w:top w:w="90" w:type="dxa"/>
              <w:left w:w="90" w:type="dxa"/>
              <w:bottom w:w="90" w:type="dxa"/>
              <w:right w:w="90" w:type="dxa"/>
            </w:tcMar>
            <w:hideMark/>
          </w:tcPr>
          <w:p w14:paraId="480191D5"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2.5</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7F4467E0"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7E51F1DC"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209,338</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28B87DEF"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0.00113</w:t>
            </w:r>
          </w:p>
        </w:tc>
      </w:tr>
      <w:tr w:rsidR="00297E30" w14:paraId="275BE092"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2178DD5E"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w:t>
            </w:r>
          </w:p>
        </w:tc>
        <w:tc>
          <w:tcPr>
            <w:tcW w:w="982" w:type="pct"/>
            <w:tcBorders>
              <w:bottom w:val="single" w:sz="12" w:space="0" w:color="DADADA"/>
              <w:right w:val="single" w:sz="6" w:space="0" w:color="D5D5D5"/>
            </w:tcBorders>
            <w:tcMar>
              <w:top w:w="90" w:type="dxa"/>
              <w:left w:w="90" w:type="dxa"/>
              <w:bottom w:w="90" w:type="dxa"/>
              <w:right w:w="90" w:type="dxa"/>
            </w:tcMar>
            <w:hideMark/>
          </w:tcPr>
          <w:p w14:paraId="34D12BA7"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2.5</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57846A9A"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0DFA73FC"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293,073</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5C403C73"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0.00081</w:t>
            </w:r>
          </w:p>
        </w:tc>
      </w:tr>
      <w:tr w:rsidR="00297E30" w14:paraId="6B9CC24B"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0AC2FDE2"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w:t>
            </w:r>
          </w:p>
        </w:tc>
        <w:tc>
          <w:tcPr>
            <w:tcW w:w="982" w:type="pct"/>
            <w:tcBorders>
              <w:bottom w:val="single" w:sz="12" w:space="0" w:color="DADADA"/>
              <w:right w:val="single" w:sz="6" w:space="0" w:color="D5D5D5"/>
            </w:tcBorders>
            <w:tcMar>
              <w:top w:w="90" w:type="dxa"/>
              <w:left w:w="90" w:type="dxa"/>
              <w:bottom w:w="90" w:type="dxa"/>
              <w:right w:w="90" w:type="dxa"/>
            </w:tcMar>
            <w:hideMark/>
          </w:tcPr>
          <w:p w14:paraId="75928D75"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4.5</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1249B0DA"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30124BAD"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293,073</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48EDF354"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0.00146</w:t>
            </w:r>
          </w:p>
        </w:tc>
      </w:tr>
      <w:tr w:rsidR="00297E30" w14:paraId="6CCA30ED"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77D69CD9"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4</w:t>
            </w:r>
          </w:p>
        </w:tc>
        <w:tc>
          <w:tcPr>
            <w:tcW w:w="982" w:type="pct"/>
            <w:tcBorders>
              <w:bottom w:val="single" w:sz="12" w:space="0" w:color="DADADA"/>
              <w:right w:val="single" w:sz="6" w:space="0" w:color="D5D5D5"/>
            </w:tcBorders>
            <w:tcMar>
              <w:top w:w="90" w:type="dxa"/>
              <w:left w:w="90" w:type="dxa"/>
              <w:bottom w:w="90" w:type="dxa"/>
              <w:right w:w="90" w:type="dxa"/>
            </w:tcMar>
            <w:hideMark/>
          </w:tcPr>
          <w:p w14:paraId="7F4C165B"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6.0</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2502A60F"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71A950CF"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209,338</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078DFA5B"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0.00272</w:t>
            </w:r>
          </w:p>
        </w:tc>
      </w:tr>
      <w:tr w:rsidR="00297E30" w14:paraId="2E030DAA"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23C3D2F5"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5</w:t>
            </w:r>
          </w:p>
        </w:tc>
        <w:tc>
          <w:tcPr>
            <w:tcW w:w="982" w:type="pct"/>
            <w:tcBorders>
              <w:bottom w:val="single" w:sz="12" w:space="0" w:color="DADADA"/>
              <w:right w:val="single" w:sz="6" w:space="0" w:color="D5D5D5"/>
            </w:tcBorders>
            <w:tcMar>
              <w:top w:w="90" w:type="dxa"/>
              <w:left w:w="90" w:type="dxa"/>
              <w:bottom w:w="90" w:type="dxa"/>
              <w:right w:w="90" w:type="dxa"/>
            </w:tcMar>
            <w:hideMark/>
          </w:tcPr>
          <w:p w14:paraId="2A80D959"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6.0</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2C1EE4BB"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383992A8"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293,073</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13BBFDC4"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0.00194</w:t>
            </w:r>
          </w:p>
        </w:tc>
      </w:tr>
      <w:tr w:rsidR="00297E30" w14:paraId="6375214E"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462FF4D8"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6</w:t>
            </w:r>
          </w:p>
        </w:tc>
        <w:tc>
          <w:tcPr>
            <w:tcW w:w="982" w:type="pct"/>
            <w:tcBorders>
              <w:bottom w:val="single" w:sz="12" w:space="0" w:color="DADADA"/>
              <w:right w:val="single" w:sz="6" w:space="0" w:color="D5D5D5"/>
            </w:tcBorders>
            <w:tcMar>
              <w:top w:w="90" w:type="dxa"/>
              <w:left w:w="90" w:type="dxa"/>
              <w:bottom w:w="90" w:type="dxa"/>
              <w:right w:w="90" w:type="dxa"/>
            </w:tcMar>
            <w:hideMark/>
          </w:tcPr>
          <w:p w14:paraId="38D0E440"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7.0</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40D146AA"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3790B250"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293,073</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451576A3"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0.00226</w:t>
            </w:r>
          </w:p>
        </w:tc>
      </w:tr>
    </w:tbl>
    <w:p w14:paraId="04661942" w14:textId="69D2B040" w:rsidR="002C236D" w:rsidRDefault="00227BBC" w:rsidP="00227BBC">
      <w:pPr>
        <w:spacing w:before="100" w:beforeAutospacing="1" w:after="100" w:afterAutospacing="1"/>
        <w:jc w:val="center"/>
        <w:rPr>
          <w:rFonts w:asciiTheme="minorHAnsi" w:hAnsiTheme="minorHAnsi" w:cstheme="minorHAnsi"/>
          <w:b/>
          <w:bCs/>
          <w:color w:val="222222"/>
        </w:rPr>
      </w:pPr>
      <w:r w:rsidRPr="00683532">
        <w:rPr>
          <w:rFonts w:asciiTheme="minorHAnsi" w:hAnsiTheme="minorHAnsi" w:cstheme="minorHAnsi"/>
          <w:b/>
          <w:bCs/>
          <w:color w:val="222222"/>
        </w:rPr>
        <w:t>Table 2: Blood pump flow conditions</w:t>
      </w:r>
    </w:p>
    <w:p w14:paraId="5AD21260" w14:textId="77777777" w:rsidR="00683532" w:rsidRPr="00683532" w:rsidRDefault="00683532" w:rsidP="00227BBC">
      <w:pPr>
        <w:spacing w:before="100" w:beforeAutospacing="1" w:after="100" w:afterAutospacing="1"/>
        <w:jc w:val="center"/>
        <w:rPr>
          <w:rFonts w:asciiTheme="minorHAnsi" w:hAnsiTheme="minorHAnsi" w:cstheme="minorHAnsi"/>
          <w:b/>
          <w:bCs/>
        </w:rPr>
      </w:pPr>
    </w:p>
    <w:tbl>
      <w:tblPr>
        <w:tblStyle w:val="TableGrid"/>
        <w:tblW w:w="0" w:type="auto"/>
        <w:jc w:val="center"/>
        <w:tblInd w:w="0" w:type="dxa"/>
        <w:tblLook w:val="04A0" w:firstRow="1" w:lastRow="0" w:firstColumn="1" w:lastColumn="0" w:noHBand="0" w:noVBand="1"/>
      </w:tblPr>
      <w:tblGrid>
        <w:gridCol w:w="2997"/>
        <w:gridCol w:w="4260"/>
      </w:tblGrid>
      <w:tr w:rsidR="00683532" w14:paraId="01A9232F" w14:textId="77777777" w:rsidTr="00683532">
        <w:trPr>
          <w:cnfStyle w:val="100000000000" w:firstRow="1" w:lastRow="0" w:firstColumn="0" w:lastColumn="0" w:oddVBand="0" w:evenVBand="0" w:oddHBand="0" w:evenHBand="0" w:firstRowFirstColumn="0" w:firstRowLastColumn="0" w:lastRowFirstColumn="0" w:lastRowLastColumn="0"/>
          <w:jc w:val="center"/>
        </w:trPr>
        <w:tc>
          <w:tcPr>
            <w:tcW w:w="2997" w:type="dxa"/>
          </w:tcPr>
          <w:p w14:paraId="2FE97694" w14:textId="77777777" w:rsidR="00683532" w:rsidRDefault="00683532" w:rsidP="00564BD2">
            <w:pPr>
              <w:rPr>
                <w:noProof/>
              </w:rPr>
            </w:pPr>
            <w:r>
              <w:rPr>
                <w:noProof/>
              </w:rPr>
              <w:t>Details</w:t>
            </w:r>
          </w:p>
        </w:tc>
        <w:tc>
          <w:tcPr>
            <w:tcW w:w="4260" w:type="dxa"/>
          </w:tcPr>
          <w:p w14:paraId="2A76DE57" w14:textId="77777777" w:rsidR="00683532" w:rsidRDefault="00683532" w:rsidP="00564BD2">
            <w:pPr>
              <w:rPr>
                <w:noProof/>
              </w:rPr>
            </w:pPr>
            <w:r>
              <w:rPr>
                <w:noProof/>
              </w:rPr>
              <w:t>References</w:t>
            </w:r>
          </w:p>
        </w:tc>
      </w:tr>
      <w:tr w:rsidR="00683532" w14:paraId="185F619E" w14:textId="77777777" w:rsidTr="00683532">
        <w:trPr>
          <w:cnfStyle w:val="100000000000" w:firstRow="1" w:lastRow="0" w:firstColumn="0" w:lastColumn="0" w:oddVBand="0" w:evenVBand="0" w:oddHBand="0" w:evenHBand="0" w:firstRowFirstColumn="0" w:firstRowLastColumn="0" w:lastRowFirstColumn="0" w:lastRowLastColumn="0"/>
          <w:jc w:val="center"/>
        </w:trPr>
        <w:tc>
          <w:tcPr>
            <w:tcW w:w="2997" w:type="dxa"/>
          </w:tcPr>
          <w:p w14:paraId="50B76BF5" w14:textId="77777777" w:rsidR="00683532" w:rsidRDefault="00683532" w:rsidP="00564BD2">
            <w:pPr>
              <w:rPr>
                <w:noProof/>
              </w:rPr>
            </w:pPr>
            <w:r>
              <w:rPr>
                <w:noProof/>
              </w:rPr>
              <w:t>Geometric details about the devices</w:t>
            </w:r>
          </w:p>
        </w:tc>
        <w:tc>
          <w:tcPr>
            <w:tcW w:w="4260" w:type="dxa"/>
          </w:tcPr>
          <w:p w14:paraId="27B58474" w14:textId="2B88F62A" w:rsidR="00683532" w:rsidRDefault="0030673F" w:rsidP="00564BD2">
            <w:pPr>
              <w:rPr>
                <w:noProof/>
              </w:rPr>
            </w:pPr>
            <w:hyperlink r:id="rId9" w:history="1">
              <w:r w:rsidR="00683532" w:rsidRPr="007A5B8D">
                <w:rPr>
                  <w:rStyle w:val="Hyperlink"/>
                  <w:noProof/>
                </w:rPr>
                <w:t>https://www.fda.gov/medical-devices/science-and-research-medical-devices/benchmark-dataset-validating-computational-fluid-dynamic-cfd-simulation-blood-flow-through</w:t>
              </w:r>
            </w:hyperlink>
            <w:r w:rsidR="00683532">
              <w:rPr>
                <w:noProof/>
              </w:rPr>
              <w:t xml:space="preserve"> </w:t>
            </w:r>
          </w:p>
        </w:tc>
      </w:tr>
      <w:tr w:rsidR="00683532" w14:paraId="553472FA" w14:textId="77777777" w:rsidTr="00683532">
        <w:trPr>
          <w:cnfStyle w:val="100000000000" w:firstRow="1" w:lastRow="0" w:firstColumn="0" w:lastColumn="0" w:oddVBand="0" w:evenVBand="0" w:oddHBand="0" w:evenHBand="0" w:firstRowFirstColumn="0" w:firstRowLastColumn="0" w:lastRowFirstColumn="0" w:lastRowLastColumn="0"/>
          <w:jc w:val="center"/>
        </w:trPr>
        <w:tc>
          <w:tcPr>
            <w:tcW w:w="2997" w:type="dxa"/>
          </w:tcPr>
          <w:p w14:paraId="1E309BEE" w14:textId="77777777" w:rsidR="00683532" w:rsidRDefault="00683532" w:rsidP="00564BD2">
            <w:pPr>
              <w:rPr>
                <w:noProof/>
              </w:rPr>
            </w:pPr>
            <w:r>
              <w:rPr>
                <w:noProof/>
              </w:rPr>
              <w:t xml:space="preserve">Flow conditions  </w:t>
            </w:r>
          </w:p>
        </w:tc>
        <w:tc>
          <w:tcPr>
            <w:tcW w:w="4260" w:type="dxa"/>
          </w:tcPr>
          <w:p w14:paraId="49DAAF69" w14:textId="77777777" w:rsidR="00683532" w:rsidRDefault="00683532" w:rsidP="00CB3041">
            <w:pPr>
              <w:pStyle w:val="ListParagraph"/>
              <w:numPr>
                <w:ilvl w:val="0"/>
                <w:numId w:val="2"/>
              </w:numPr>
              <w:rPr>
                <w:noProof/>
              </w:rPr>
            </w:pPr>
            <w:r>
              <w:rPr>
                <w:noProof/>
              </w:rPr>
              <w:t xml:space="preserve">Nozzle: Table 1 in Herbertson et al. 2015, </w:t>
            </w:r>
            <w:hyperlink r:id="rId10" w:history="1">
              <w:r w:rsidRPr="00F16378">
                <w:rPr>
                  <w:rStyle w:val="Hyperlink"/>
                  <w:noProof/>
                </w:rPr>
                <w:t>10.1111/aor.12368</w:t>
              </w:r>
            </w:hyperlink>
          </w:p>
          <w:p w14:paraId="65882097" w14:textId="77777777" w:rsidR="00683532" w:rsidRDefault="00683532" w:rsidP="00CB3041">
            <w:pPr>
              <w:pStyle w:val="ListParagraph"/>
              <w:numPr>
                <w:ilvl w:val="0"/>
                <w:numId w:val="2"/>
              </w:numPr>
              <w:rPr>
                <w:noProof/>
              </w:rPr>
            </w:pPr>
            <w:r>
              <w:rPr>
                <w:noProof/>
              </w:rPr>
              <w:t xml:space="preserve">Blood pump: Table 1 in Ponnaluri  et al. 2022, </w:t>
            </w:r>
            <w:hyperlink r:id="rId11" w:history="1">
              <w:r w:rsidRPr="006C6EEE">
                <w:rPr>
                  <w:rStyle w:val="Hyperlink"/>
                  <w:noProof/>
                </w:rPr>
                <w:t>10.1007/s10439-022-03105-w</w:t>
              </w:r>
            </w:hyperlink>
            <w:r>
              <w:rPr>
                <w:noProof/>
              </w:rPr>
              <w:t xml:space="preserve"> </w:t>
            </w:r>
          </w:p>
        </w:tc>
      </w:tr>
      <w:tr w:rsidR="00683532" w14:paraId="35E5A6B1" w14:textId="77777777" w:rsidTr="00683532">
        <w:trPr>
          <w:cnfStyle w:val="100000000000" w:firstRow="1" w:lastRow="0" w:firstColumn="0" w:lastColumn="0" w:oddVBand="0" w:evenVBand="0" w:oddHBand="0" w:evenHBand="0" w:firstRowFirstColumn="0" w:firstRowLastColumn="0" w:lastRowFirstColumn="0" w:lastRowLastColumn="0"/>
          <w:jc w:val="center"/>
        </w:trPr>
        <w:tc>
          <w:tcPr>
            <w:tcW w:w="2997" w:type="dxa"/>
          </w:tcPr>
          <w:p w14:paraId="582BD1D0" w14:textId="77777777" w:rsidR="00683532" w:rsidRDefault="00683532" w:rsidP="00564BD2">
            <w:pPr>
              <w:rPr>
                <w:noProof/>
              </w:rPr>
            </w:pPr>
            <w:r>
              <w:rPr>
                <w:noProof/>
              </w:rPr>
              <w:t>Hemolysis data</w:t>
            </w:r>
          </w:p>
        </w:tc>
        <w:tc>
          <w:tcPr>
            <w:tcW w:w="4260" w:type="dxa"/>
          </w:tcPr>
          <w:p w14:paraId="241CEF1B" w14:textId="77777777" w:rsidR="00683532" w:rsidRDefault="00683532" w:rsidP="00CB3041">
            <w:pPr>
              <w:pStyle w:val="ListParagraph"/>
              <w:numPr>
                <w:ilvl w:val="0"/>
                <w:numId w:val="3"/>
              </w:numPr>
              <w:rPr>
                <w:noProof/>
              </w:rPr>
            </w:pPr>
            <w:r>
              <w:rPr>
                <w:noProof/>
              </w:rPr>
              <w:t xml:space="preserve">Nozzle: Figures 3-5 in Herbertson et al. 2015, </w:t>
            </w:r>
            <w:hyperlink r:id="rId12" w:history="1">
              <w:r w:rsidRPr="00F16378">
                <w:rPr>
                  <w:rStyle w:val="Hyperlink"/>
                  <w:noProof/>
                </w:rPr>
                <w:t>10.1111/aor.12368</w:t>
              </w:r>
            </w:hyperlink>
          </w:p>
          <w:p w14:paraId="050DB0C9" w14:textId="77777777" w:rsidR="00683532" w:rsidRDefault="00683532" w:rsidP="00CB3041">
            <w:pPr>
              <w:pStyle w:val="ListParagraph"/>
              <w:numPr>
                <w:ilvl w:val="0"/>
                <w:numId w:val="3"/>
              </w:numPr>
              <w:rPr>
                <w:noProof/>
              </w:rPr>
            </w:pPr>
            <w:r>
              <w:rPr>
                <w:noProof/>
              </w:rPr>
              <w:t xml:space="preserve">Blood pump: Figure 11 in Ponnaluri  et al. 2022, </w:t>
            </w:r>
            <w:hyperlink r:id="rId13" w:history="1">
              <w:r w:rsidRPr="006C6EEE">
                <w:rPr>
                  <w:rStyle w:val="Hyperlink"/>
                  <w:noProof/>
                </w:rPr>
                <w:t>10.1007/s10439-022-03105-w</w:t>
              </w:r>
            </w:hyperlink>
          </w:p>
        </w:tc>
      </w:tr>
    </w:tbl>
    <w:p w14:paraId="1BC89D68" w14:textId="2E3B014C" w:rsidR="00E63D0E" w:rsidRPr="00227BBC" w:rsidRDefault="00227BBC" w:rsidP="00227BBC">
      <w:pPr>
        <w:spacing w:before="100" w:beforeAutospacing="1" w:after="100" w:afterAutospacing="1"/>
        <w:jc w:val="center"/>
        <w:rPr>
          <w:rFonts w:cstheme="minorHAnsi"/>
          <w:b/>
          <w:bCs/>
          <w:szCs w:val="20"/>
        </w:rPr>
      </w:pPr>
      <w:r w:rsidRPr="00227BBC">
        <w:rPr>
          <w:rFonts w:cstheme="minorHAnsi"/>
          <w:b/>
          <w:bCs/>
          <w:szCs w:val="20"/>
        </w:rPr>
        <w:t>Table 3: Additional details about the hemolysis data</w:t>
      </w:r>
    </w:p>
    <w:p w14:paraId="077B731F" w14:textId="265027DB" w:rsidR="00CB3041" w:rsidRDefault="00227BBC" w:rsidP="001C7CA3">
      <w:pPr>
        <w:spacing w:before="100" w:beforeAutospacing="1" w:after="100" w:afterAutospacing="1"/>
        <w:rPr>
          <w:rFonts w:cstheme="minorHAnsi"/>
          <w:szCs w:val="20"/>
        </w:rPr>
      </w:pPr>
      <w:r>
        <w:rPr>
          <w:rFonts w:cstheme="minorHAnsi"/>
          <w:szCs w:val="20"/>
        </w:rPr>
        <w:t xml:space="preserve"> </w:t>
      </w:r>
    </w:p>
    <w:p w14:paraId="5DF9446C" w14:textId="57DC90E9" w:rsidR="005B48C3" w:rsidRDefault="0091508A" w:rsidP="00272F14">
      <w:pPr>
        <w:pStyle w:val="Heading1"/>
      </w:pPr>
      <w:r>
        <w:lastRenderedPageBreak/>
        <w:t>Hemolysis data</w:t>
      </w:r>
    </w:p>
    <w:p w14:paraId="282FC004" w14:textId="77777777" w:rsidR="00C43016" w:rsidRPr="00C43016" w:rsidRDefault="00C43016" w:rsidP="00C43016"/>
    <w:p w14:paraId="573691E3" w14:textId="56775F29" w:rsidR="0091508A" w:rsidRDefault="00C43016" w:rsidP="00272F14">
      <w:pPr>
        <w:pStyle w:val="Heading2"/>
      </w:pPr>
      <w:r>
        <w:t xml:space="preserve">FDA </w:t>
      </w:r>
      <w:r w:rsidR="0091508A">
        <w:t xml:space="preserve">Nozzle </w:t>
      </w:r>
    </w:p>
    <w:p w14:paraId="17DA115D" w14:textId="77777777" w:rsidR="00272F14" w:rsidRPr="00272F14" w:rsidRDefault="00272F14" w:rsidP="00272F14"/>
    <w:p w14:paraId="0AB4E6D5" w14:textId="205A1A21" w:rsidR="0091508A" w:rsidRDefault="00357F69" w:rsidP="001C7CA3">
      <w:pPr>
        <w:spacing w:before="100" w:beforeAutospacing="1" w:after="100" w:afterAutospacing="1"/>
        <w:rPr>
          <w:rFonts w:cstheme="minorHAnsi"/>
          <w:szCs w:val="20"/>
        </w:rPr>
      </w:pPr>
      <w:r>
        <w:rPr>
          <w:noProof/>
        </w:rPr>
        <w:drawing>
          <wp:inline distT="0" distB="0" distL="0" distR="0" wp14:anchorId="2D9074E7" wp14:editId="4A89CC1D">
            <wp:extent cx="5943600" cy="3980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p w14:paraId="1523650F" w14:textId="6CC76310" w:rsidR="00B87129" w:rsidRPr="00B87129" w:rsidRDefault="00B87129" w:rsidP="00B87129">
      <w:pPr>
        <w:shd w:val="clear" w:color="auto" w:fill="FFFCF0"/>
        <w:spacing w:line="240" w:lineRule="auto"/>
        <w:textAlignment w:val="top"/>
        <w:rPr>
          <w:rFonts w:ascii="Times New Roman" w:hAnsi="Times New Roman"/>
          <w:color w:val="333333"/>
          <w:sz w:val="24"/>
          <w:szCs w:val="24"/>
        </w:rPr>
      </w:pPr>
      <w:r>
        <w:rPr>
          <w:rFonts w:ascii="Times New Roman" w:hAnsi="Times New Roman"/>
          <w:color w:val="333333"/>
          <w:sz w:val="24"/>
          <w:szCs w:val="24"/>
        </w:rPr>
        <w:t xml:space="preserve">Figure 3: </w:t>
      </w:r>
      <w:r w:rsidRPr="00B87129">
        <w:rPr>
          <w:rFonts w:ascii="Times New Roman" w:hAnsi="Times New Roman"/>
          <w:color w:val="333333"/>
          <w:sz w:val="24"/>
          <w:szCs w:val="24"/>
        </w:rPr>
        <w:t>Change in plasma free hemoglobin concentration for bovine blood after 120 min of testing in nozzle and control conditions for three laboratories. Values are shown as mean ± SD for each laboratory, and the number of replicates per lab (</w:t>
      </w:r>
      <w:r w:rsidRPr="00B87129">
        <w:rPr>
          <w:rFonts w:ascii="Times New Roman" w:hAnsi="Times New Roman"/>
          <w:i/>
          <w:iCs/>
          <w:color w:val="333333"/>
          <w:sz w:val="24"/>
          <w:szCs w:val="24"/>
        </w:rPr>
        <w:t>n</w:t>
      </w:r>
      <w:r w:rsidRPr="00B87129">
        <w:rPr>
          <w:rFonts w:ascii="Times New Roman" w:hAnsi="Times New Roman"/>
          <w:color w:val="333333"/>
          <w:sz w:val="24"/>
          <w:szCs w:val="24"/>
        </w:rPr>
        <w:t>) is indicated for each test condition. § A single outlier was present and included in the specified data set</w:t>
      </w:r>
    </w:p>
    <w:p w14:paraId="71BC1FC1" w14:textId="09E8AFEB" w:rsidR="00357F69" w:rsidRDefault="0030673F" w:rsidP="00B87129">
      <w:pPr>
        <w:spacing w:before="100" w:beforeAutospacing="1" w:after="100" w:afterAutospacing="1"/>
        <w:rPr>
          <w:rFonts w:cstheme="minorHAnsi"/>
          <w:szCs w:val="20"/>
        </w:rPr>
      </w:pPr>
      <w:hyperlink r:id="rId15" w:tgtFrame="tileshopwindow" w:history="1">
        <w:r w:rsidR="00B87129" w:rsidRPr="00B87129">
          <w:rPr>
            <w:rFonts w:ascii="Cambria" w:hAnsi="Cambria"/>
            <w:color w:val="376FAA"/>
            <w:sz w:val="30"/>
            <w:szCs w:val="30"/>
            <w:bdr w:val="none" w:sz="0" w:space="0" w:color="auto" w:frame="1"/>
            <w:shd w:val="clear" w:color="auto" w:fill="FFFCF0"/>
          </w:rPr>
          <w:br/>
        </w:r>
      </w:hyperlink>
    </w:p>
    <w:p w14:paraId="0B6429D7" w14:textId="3C84B596" w:rsidR="0091508A" w:rsidRDefault="00B87129" w:rsidP="001C7CA3">
      <w:pPr>
        <w:spacing w:before="100" w:beforeAutospacing="1" w:after="100" w:afterAutospacing="1"/>
        <w:rPr>
          <w:rFonts w:cstheme="minorHAnsi"/>
          <w:szCs w:val="20"/>
        </w:rPr>
      </w:pPr>
      <w:r>
        <w:rPr>
          <w:noProof/>
        </w:rPr>
        <w:lastRenderedPageBreak/>
        <w:drawing>
          <wp:inline distT="0" distB="0" distL="0" distR="0" wp14:anchorId="50943C72" wp14:editId="43CB0B08">
            <wp:extent cx="5145043" cy="7244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296" cy="7256272"/>
                    </a:xfrm>
                    <a:prstGeom prst="rect">
                      <a:avLst/>
                    </a:prstGeom>
                    <a:noFill/>
                    <a:ln>
                      <a:noFill/>
                    </a:ln>
                  </pic:spPr>
                </pic:pic>
              </a:graphicData>
            </a:graphic>
          </wp:inline>
        </w:drawing>
      </w:r>
    </w:p>
    <w:p w14:paraId="48083CCB" w14:textId="308522E1" w:rsidR="008D47AB" w:rsidRDefault="008D47AB" w:rsidP="008D47AB">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Figure 4: MIH values for the three nozzle test conditions after subtraction of the control loop MIH values (A) for each laboratory and (B) averaged for the three laboratories. ‡A single outlier was removed from the specified data set (</w:t>
      </w:r>
      <w:r>
        <w:rPr>
          <w:rStyle w:val="Emphasis"/>
          <w:rFonts w:ascii="Cambria" w:hAnsi="Cambria"/>
          <w:color w:val="333333"/>
        </w:rPr>
        <w:t>n</w:t>
      </w:r>
      <w:r>
        <w:rPr>
          <w:rFonts w:ascii="Cambria" w:hAnsi="Cambria"/>
          <w:color w:val="333333"/>
        </w:rPr>
        <w:t> = total number of replicates).</w:t>
      </w:r>
    </w:p>
    <w:p w14:paraId="1F5A7478" w14:textId="77777777" w:rsidR="008D47AB" w:rsidRDefault="008D47AB" w:rsidP="001C7CA3">
      <w:pPr>
        <w:spacing w:before="100" w:beforeAutospacing="1" w:after="100" w:afterAutospacing="1"/>
        <w:rPr>
          <w:rFonts w:cstheme="minorHAnsi"/>
          <w:szCs w:val="20"/>
        </w:rPr>
      </w:pPr>
    </w:p>
    <w:p w14:paraId="6A1273DF" w14:textId="4241770C" w:rsidR="001C7CA3" w:rsidRDefault="00272F14" w:rsidP="001C7CA3">
      <w:pPr>
        <w:spacing w:before="100" w:beforeAutospacing="1" w:after="100" w:afterAutospacing="1"/>
      </w:pPr>
      <w:r>
        <w:rPr>
          <w:noProof/>
        </w:rPr>
        <w:drawing>
          <wp:inline distT="0" distB="0" distL="0" distR="0" wp14:anchorId="7A4210E8" wp14:editId="65681FAE">
            <wp:extent cx="5943600" cy="3769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69360"/>
                    </a:xfrm>
                    <a:prstGeom prst="rect">
                      <a:avLst/>
                    </a:prstGeom>
                    <a:noFill/>
                    <a:ln>
                      <a:noFill/>
                    </a:ln>
                  </pic:spPr>
                </pic:pic>
              </a:graphicData>
            </a:graphic>
          </wp:inline>
        </w:drawing>
      </w:r>
    </w:p>
    <w:p w14:paraId="4D63F632" w14:textId="5144EB2B" w:rsidR="00272F14" w:rsidRDefault="00272F14" w:rsidP="00272F14">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Figure 5: Comparison of the MIH between bovine and porcine blood for two nozzle test conditions after subtraction of the control loop MIH values at two laboratories. Values are shown as mean ± SD (</w:t>
      </w:r>
      <w:r>
        <w:rPr>
          <w:rStyle w:val="Emphasis"/>
          <w:rFonts w:ascii="Cambria" w:hAnsi="Cambria"/>
          <w:color w:val="333333"/>
        </w:rPr>
        <w:t>n</w:t>
      </w:r>
      <w:r>
        <w:rPr>
          <w:rFonts w:ascii="Cambria" w:hAnsi="Cambria"/>
          <w:color w:val="333333"/>
        </w:rPr>
        <w:t> = total number of replicates per test condition).</w:t>
      </w:r>
    </w:p>
    <w:p w14:paraId="35568236" w14:textId="77777777" w:rsidR="00C43016" w:rsidRDefault="00C43016" w:rsidP="00C43016">
      <w:pPr>
        <w:pStyle w:val="Heading2"/>
      </w:pPr>
    </w:p>
    <w:p w14:paraId="4BD028E1" w14:textId="77777777" w:rsidR="00C43016" w:rsidRDefault="00C43016" w:rsidP="00C43016">
      <w:pPr>
        <w:pStyle w:val="Heading2"/>
      </w:pPr>
    </w:p>
    <w:p w14:paraId="61A1CAC0" w14:textId="6745C064" w:rsidR="00272F14" w:rsidRDefault="00C43016" w:rsidP="00C43016">
      <w:pPr>
        <w:pStyle w:val="Heading2"/>
      </w:pPr>
      <w:r>
        <w:t xml:space="preserve">FDA Blood </w:t>
      </w:r>
      <w:r w:rsidR="00272F14">
        <w:t>Pump</w:t>
      </w:r>
      <w:r w:rsidR="00AD607F">
        <w:br/>
      </w:r>
    </w:p>
    <w:p w14:paraId="2D56FCA7" w14:textId="731EB9A4" w:rsidR="00AD607F" w:rsidRDefault="006A3D75" w:rsidP="001C7CA3">
      <w:pPr>
        <w:spacing w:before="100" w:beforeAutospacing="1" w:after="100" w:afterAutospacing="1"/>
      </w:pPr>
      <w:r>
        <w:t xml:space="preserve">Hemolysis data for the blood pump </w:t>
      </w:r>
      <w:r w:rsidR="008848F2">
        <w:t>are provided</w:t>
      </w:r>
      <w:r w:rsidR="00CA07AA">
        <w:t xml:space="preserve"> </w:t>
      </w:r>
      <w:hyperlink r:id="rId18" w:history="1">
        <w:r w:rsidR="00C43016" w:rsidRPr="00C43016">
          <w:rPr>
            <w:rStyle w:val="Hyperlink"/>
          </w:rPr>
          <w:t>here</w:t>
        </w:r>
      </w:hyperlink>
      <w:r w:rsidR="00C43016">
        <w:t xml:space="preserve">. </w:t>
      </w:r>
    </w:p>
    <w:sectPr w:rsidR="00AD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627E"/>
    <w:multiLevelType w:val="hybridMultilevel"/>
    <w:tmpl w:val="A6F0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82126"/>
    <w:multiLevelType w:val="hybridMultilevel"/>
    <w:tmpl w:val="A6F0E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96082D"/>
    <w:multiLevelType w:val="multilevel"/>
    <w:tmpl w:val="ABDE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46199"/>
    <w:multiLevelType w:val="hybridMultilevel"/>
    <w:tmpl w:val="A1B65A2E"/>
    <w:lvl w:ilvl="0" w:tplc="41A6DAB8">
      <w:start w:val="1"/>
      <w:numFmt w:val="bullet"/>
      <w:pStyle w:val="ListParagraph"/>
      <w:lvlText w:val=""/>
      <w:lvlJc w:val="left"/>
      <w:pPr>
        <w:ind w:left="1440" w:hanging="360"/>
      </w:pPr>
      <w:rPr>
        <w:rFonts w:ascii="Symbol" w:hAnsi="Symbol" w:hint="default"/>
      </w:rPr>
    </w:lvl>
    <w:lvl w:ilvl="1" w:tplc="661E18CE" w:tentative="1">
      <w:start w:val="1"/>
      <w:numFmt w:val="bullet"/>
      <w:lvlText w:val="o"/>
      <w:lvlJc w:val="left"/>
      <w:pPr>
        <w:ind w:left="2160" w:hanging="360"/>
      </w:pPr>
      <w:rPr>
        <w:rFonts w:ascii="Courier New" w:hAnsi="Courier New" w:cs="Courier New" w:hint="default"/>
      </w:rPr>
    </w:lvl>
    <w:lvl w:ilvl="2" w:tplc="04E061AC" w:tentative="1">
      <w:start w:val="1"/>
      <w:numFmt w:val="bullet"/>
      <w:lvlText w:val=""/>
      <w:lvlJc w:val="left"/>
      <w:pPr>
        <w:ind w:left="2880" w:hanging="360"/>
      </w:pPr>
      <w:rPr>
        <w:rFonts w:ascii="Wingdings" w:hAnsi="Wingdings" w:hint="default"/>
      </w:rPr>
    </w:lvl>
    <w:lvl w:ilvl="3" w:tplc="8676DF18" w:tentative="1">
      <w:start w:val="1"/>
      <w:numFmt w:val="bullet"/>
      <w:lvlText w:val=""/>
      <w:lvlJc w:val="left"/>
      <w:pPr>
        <w:ind w:left="3600" w:hanging="360"/>
      </w:pPr>
      <w:rPr>
        <w:rFonts w:ascii="Symbol" w:hAnsi="Symbol" w:hint="default"/>
      </w:rPr>
    </w:lvl>
    <w:lvl w:ilvl="4" w:tplc="372E6AEA" w:tentative="1">
      <w:start w:val="1"/>
      <w:numFmt w:val="bullet"/>
      <w:lvlText w:val="o"/>
      <w:lvlJc w:val="left"/>
      <w:pPr>
        <w:ind w:left="4320" w:hanging="360"/>
      </w:pPr>
      <w:rPr>
        <w:rFonts w:ascii="Courier New" w:hAnsi="Courier New" w:cs="Courier New" w:hint="default"/>
      </w:rPr>
    </w:lvl>
    <w:lvl w:ilvl="5" w:tplc="F9DADC7E" w:tentative="1">
      <w:start w:val="1"/>
      <w:numFmt w:val="bullet"/>
      <w:lvlText w:val=""/>
      <w:lvlJc w:val="left"/>
      <w:pPr>
        <w:ind w:left="5040" w:hanging="360"/>
      </w:pPr>
      <w:rPr>
        <w:rFonts w:ascii="Wingdings" w:hAnsi="Wingdings" w:hint="default"/>
      </w:rPr>
    </w:lvl>
    <w:lvl w:ilvl="6" w:tplc="628E7C50" w:tentative="1">
      <w:start w:val="1"/>
      <w:numFmt w:val="bullet"/>
      <w:lvlText w:val=""/>
      <w:lvlJc w:val="left"/>
      <w:pPr>
        <w:ind w:left="5760" w:hanging="360"/>
      </w:pPr>
      <w:rPr>
        <w:rFonts w:ascii="Symbol" w:hAnsi="Symbol" w:hint="default"/>
      </w:rPr>
    </w:lvl>
    <w:lvl w:ilvl="7" w:tplc="79A4F680" w:tentative="1">
      <w:start w:val="1"/>
      <w:numFmt w:val="bullet"/>
      <w:lvlText w:val="o"/>
      <w:lvlJc w:val="left"/>
      <w:pPr>
        <w:ind w:left="6480" w:hanging="360"/>
      </w:pPr>
      <w:rPr>
        <w:rFonts w:ascii="Courier New" w:hAnsi="Courier New" w:cs="Courier New" w:hint="default"/>
      </w:rPr>
    </w:lvl>
    <w:lvl w:ilvl="8" w:tplc="1B608512" w:tentative="1">
      <w:start w:val="1"/>
      <w:numFmt w:val="bullet"/>
      <w:lvlText w:val=""/>
      <w:lvlJc w:val="left"/>
      <w:pPr>
        <w:ind w:left="7200" w:hanging="360"/>
      </w:pPr>
      <w:rPr>
        <w:rFonts w:ascii="Wingdings" w:hAnsi="Wingdings" w:hint="default"/>
      </w:rPr>
    </w:lvl>
  </w:abstractNum>
  <w:num w:numId="1" w16cid:durableId="1178076570">
    <w:abstractNumId w:val="3"/>
  </w:num>
  <w:num w:numId="2" w16cid:durableId="327944940">
    <w:abstractNumId w:val="0"/>
  </w:num>
  <w:num w:numId="3" w16cid:durableId="530414866">
    <w:abstractNumId w:val="1"/>
  </w:num>
  <w:num w:numId="4" w16cid:durableId="274483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4C"/>
    <w:rsid w:val="000063BC"/>
    <w:rsid w:val="00030FDE"/>
    <w:rsid w:val="00195A11"/>
    <w:rsid w:val="001C7CA3"/>
    <w:rsid w:val="00227BBC"/>
    <w:rsid w:val="00272F14"/>
    <w:rsid w:val="00297E30"/>
    <w:rsid w:val="002C236D"/>
    <w:rsid w:val="00301220"/>
    <w:rsid w:val="003561D3"/>
    <w:rsid w:val="00357F69"/>
    <w:rsid w:val="003A5242"/>
    <w:rsid w:val="003F5F61"/>
    <w:rsid w:val="004B2C7C"/>
    <w:rsid w:val="005241EB"/>
    <w:rsid w:val="0052615A"/>
    <w:rsid w:val="005966F2"/>
    <w:rsid w:val="005B48C3"/>
    <w:rsid w:val="0064694C"/>
    <w:rsid w:val="00683532"/>
    <w:rsid w:val="006A3D75"/>
    <w:rsid w:val="006E4852"/>
    <w:rsid w:val="00706832"/>
    <w:rsid w:val="00712319"/>
    <w:rsid w:val="00724EF6"/>
    <w:rsid w:val="0075658D"/>
    <w:rsid w:val="00814AE2"/>
    <w:rsid w:val="008260DD"/>
    <w:rsid w:val="00846CC2"/>
    <w:rsid w:val="008848F2"/>
    <w:rsid w:val="008D47AB"/>
    <w:rsid w:val="008F207B"/>
    <w:rsid w:val="0091508A"/>
    <w:rsid w:val="009A01B0"/>
    <w:rsid w:val="00A23C4E"/>
    <w:rsid w:val="00A327B4"/>
    <w:rsid w:val="00A74F78"/>
    <w:rsid w:val="00AB3C90"/>
    <w:rsid w:val="00AD607F"/>
    <w:rsid w:val="00B03A81"/>
    <w:rsid w:val="00B813D7"/>
    <w:rsid w:val="00B87129"/>
    <w:rsid w:val="00C43016"/>
    <w:rsid w:val="00C96147"/>
    <w:rsid w:val="00CA07AA"/>
    <w:rsid w:val="00CB3041"/>
    <w:rsid w:val="00D06667"/>
    <w:rsid w:val="00DF0F5A"/>
    <w:rsid w:val="00E63D0E"/>
    <w:rsid w:val="00EA253C"/>
    <w:rsid w:val="00FB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2392"/>
  <w15:chartTrackingRefBased/>
  <w15:docId w15:val="{80BA2A53-1EC1-4DC4-A4E8-CAAE2919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1C7CA3"/>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DF0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041"/>
    <w:rPr>
      <w:color w:val="0563C1" w:themeColor="hyperlink"/>
      <w:u w:val="single"/>
    </w:rPr>
  </w:style>
  <w:style w:type="table" w:styleId="TableGrid">
    <w:name w:val="Table Grid"/>
    <w:aliases w:val="CDRH SOP Table Style"/>
    <w:basedOn w:val="TableNormal"/>
    <w:uiPriority w:val="59"/>
    <w:rsid w:val="00CB3041"/>
    <w:pPr>
      <w:spacing w:after="0" w:line="240" w:lineRule="auto"/>
    </w:pPr>
    <w:rPr>
      <w:rFonts w:ascii="Calibri" w:eastAsia="Times New Roman" w:hAnsi="Calibri" w:cs="Times New Roman"/>
      <w:sz w:val="20"/>
      <w:szCs w:val="20"/>
    </w:rPr>
    <w:tblPr>
      <w:tblStyleRowBandSize w:val="1"/>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blHeader/>
    </w:trPr>
    <w:tcPr>
      <w:shd w:val="clear" w:color="auto" w:fill="FFFFFF" w:themeFill="background1"/>
    </w:tcPr>
    <w:tblStylePr w:type="firstRow">
      <w:tblPr/>
      <w:tcPr>
        <w:shd w:val="clear" w:color="auto" w:fill="FFFFFF" w:themeFill="background1"/>
      </w:tcPr>
    </w:tblStylePr>
  </w:style>
  <w:style w:type="paragraph" w:styleId="ListParagraph">
    <w:name w:val="List Paragraph"/>
    <w:aliases w:val="Bullet List,3,POCG Table Text,Issue Action POC,List Paragraph1,Dot pt,F5 List Paragraph,List Paragraph Char Char Char,Indicator Text,Colorful List - Accent 11,Numbered Para 1,Bullet 1,Bullet Points,List Paragraph2,MAIN CONTENT,FooterText"/>
    <w:basedOn w:val="Normal"/>
    <w:link w:val="ListParagraphChar"/>
    <w:uiPriority w:val="34"/>
    <w:qFormat/>
    <w:rsid w:val="00CB3041"/>
    <w:pPr>
      <w:numPr>
        <w:numId w:val="1"/>
      </w:numPr>
      <w:spacing w:after="120" w:line="240" w:lineRule="auto"/>
    </w:pPr>
    <w:rPr>
      <w:sz w:val="24"/>
    </w:rPr>
  </w:style>
  <w:style w:type="character" w:customStyle="1" w:styleId="ListParagraphChar">
    <w:name w:val="List Paragraph Char"/>
    <w:aliases w:val="Bullet List Char,3 Char,POCG Table Text Char,Issue Action POC Char,List Paragraph1 Char,Dot pt Char,F5 List Paragraph Char,List Paragraph Char Char Char Char,Indicator Text Char,Colorful List - Accent 11 Char,Numbered Para 1 Char"/>
    <w:link w:val="ListParagraph"/>
    <w:uiPriority w:val="34"/>
    <w:locked/>
    <w:rsid w:val="00CB3041"/>
    <w:rPr>
      <w:rFonts w:ascii="Calibri" w:eastAsia="Times New Roman" w:hAnsi="Calibri" w:cs="Times New Roman"/>
      <w:sz w:val="24"/>
    </w:rPr>
  </w:style>
  <w:style w:type="character" w:customStyle="1" w:styleId="Heading1Char">
    <w:name w:val="Heading 1 Char"/>
    <w:basedOn w:val="DefaultParagraphFont"/>
    <w:link w:val="Heading1"/>
    <w:uiPriority w:val="9"/>
    <w:rsid w:val="00DF0F5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561D3"/>
    <w:rPr>
      <w:b/>
      <w:bCs/>
    </w:rPr>
  </w:style>
  <w:style w:type="character" w:styleId="UnresolvedMention">
    <w:name w:val="Unresolved Mention"/>
    <w:basedOn w:val="DefaultParagraphFont"/>
    <w:uiPriority w:val="99"/>
    <w:semiHidden/>
    <w:unhideWhenUsed/>
    <w:rsid w:val="003561D3"/>
    <w:rPr>
      <w:color w:val="605E5C"/>
      <w:shd w:val="clear" w:color="auto" w:fill="E1DFDD"/>
    </w:rPr>
  </w:style>
  <w:style w:type="character" w:styleId="FollowedHyperlink">
    <w:name w:val="FollowedHyperlink"/>
    <w:basedOn w:val="DefaultParagraphFont"/>
    <w:uiPriority w:val="99"/>
    <w:semiHidden/>
    <w:unhideWhenUsed/>
    <w:rsid w:val="000063BC"/>
    <w:rPr>
      <w:color w:val="954F72" w:themeColor="followedHyperlink"/>
      <w:u w:val="single"/>
    </w:rPr>
  </w:style>
  <w:style w:type="paragraph" w:styleId="NormalWeb">
    <w:name w:val="Normal (Web)"/>
    <w:basedOn w:val="Normal"/>
    <w:uiPriority w:val="99"/>
    <w:semiHidden/>
    <w:unhideWhenUsed/>
    <w:rsid w:val="000063B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0063BC"/>
    <w:rPr>
      <w:i/>
      <w:iCs/>
    </w:rPr>
  </w:style>
  <w:style w:type="character" w:customStyle="1" w:styleId="mjxassistivemathml">
    <w:name w:val="mjx_assistive_mathml"/>
    <w:basedOn w:val="DefaultParagraphFont"/>
    <w:rsid w:val="00297E30"/>
  </w:style>
  <w:style w:type="character" w:customStyle="1" w:styleId="Heading2Char">
    <w:name w:val="Heading 2 Char"/>
    <w:basedOn w:val="DefaultParagraphFont"/>
    <w:link w:val="Heading2"/>
    <w:uiPriority w:val="9"/>
    <w:rsid w:val="00272F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0844">
      <w:bodyDiv w:val="1"/>
      <w:marLeft w:val="0"/>
      <w:marRight w:val="0"/>
      <w:marTop w:val="0"/>
      <w:marBottom w:val="0"/>
      <w:divBdr>
        <w:top w:val="none" w:sz="0" w:space="0" w:color="auto"/>
        <w:left w:val="none" w:sz="0" w:space="0" w:color="auto"/>
        <w:bottom w:val="none" w:sz="0" w:space="0" w:color="auto"/>
        <w:right w:val="none" w:sz="0" w:space="0" w:color="auto"/>
      </w:divBdr>
      <w:divsChild>
        <w:div w:id="1201240981">
          <w:marLeft w:val="0"/>
          <w:marRight w:val="0"/>
          <w:marTop w:val="200"/>
          <w:marBottom w:val="200"/>
          <w:divBdr>
            <w:top w:val="none" w:sz="0" w:space="0" w:color="auto"/>
            <w:left w:val="none" w:sz="0" w:space="0" w:color="auto"/>
            <w:bottom w:val="none" w:sz="0" w:space="0" w:color="auto"/>
            <w:right w:val="none" w:sz="0" w:space="0" w:color="auto"/>
          </w:divBdr>
        </w:div>
        <w:div w:id="1486775111">
          <w:marLeft w:val="0"/>
          <w:marRight w:val="0"/>
          <w:marTop w:val="0"/>
          <w:marBottom w:val="0"/>
          <w:divBdr>
            <w:top w:val="none" w:sz="0" w:space="0" w:color="auto"/>
            <w:left w:val="none" w:sz="0" w:space="0" w:color="auto"/>
            <w:bottom w:val="none" w:sz="0" w:space="0" w:color="auto"/>
            <w:right w:val="none" w:sz="0" w:space="0" w:color="auto"/>
          </w:divBdr>
        </w:div>
        <w:div w:id="1162234702">
          <w:marLeft w:val="0"/>
          <w:marRight w:val="0"/>
          <w:marTop w:val="200"/>
          <w:marBottom w:val="200"/>
          <w:divBdr>
            <w:top w:val="none" w:sz="0" w:space="0" w:color="auto"/>
            <w:left w:val="none" w:sz="0" w:space="0" w:color="auto"/>
            <w:bottom w:val="none" w:sz="0" w:space="0" w:color="auto"/>
            <w:right w:val="none" w:sz="0" w:space="0" w:color="auto"/>
          </w:divBdr>
        </w:div>
      </w:divsChild>
    </w:div>
    <w:div w:id="56438089">
      <w:bodyDiv w:val="1"/>
      <w:marLeft w:val="0"/>
      <w:marRight w:val="0"/>
      <w:marTop w:val="0"/>
      <w:marBottom w:val="0"/>
      <w:divBdr>
        <w:top w:val="none" w:sz="0" w:space="0" w:color="auto"/>
        <w:left w:val="none" w:sz="0" w:space="0" w:color="auto"/>
        <w:bottom w:val="none" w:sz="0" w:space="0" w:color="auto"/>
        <w:right w:val="none" w:sz="0" w:space="0" w:color="auto"/>
      </w:divBdr>
    </w:div>
    <w:div w:id="236939899">
      <w:bodyDiv w:val="1"/>
      <w:marLeft w:val="0"/>
      <w:marRight w:val="0"/>
      <w:marTop w:val="0"/>
      <w:marBottom w:val="0"/>
      <w:divBdr>
        <w:top w:val="none" w:sz="0" w:space="0" w:color="auto"/>
        <w:left w:val="none" w:sz="0" w:space="0" w:color="auto"/>
        <w:bottom w:val="none" w:sz="0" w:space="0" w:color="auto"/>
        <w:right w:val="none" w:sz="0" w:space="0" w:color="auto"/>
      </w:divBdr>
      <w:divsChild>
        <w:div w:id="92152179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42804576">
              <w:marLeft w:val="0"/>
              <w:marRight w:val="0"/>
              <w:marTop w:val="200"/>
              <w:marBottom w:val="0"/>
              <w:divBdr>
                <w:top w:val="none" w:sz="0" w:space="0" w:color="auto"/>
                <w:left w:val="none" w:sz="0" w:space="0" w:color="auto"/>
                <w:bottom w:val="none" w:sz="0" w:space="0" w:color="auto"/>
                <w:right w:val="none" w:sz="0" w:space="0" w:color="auto"/>
              </w:divBdr>
              <w:divsChild>
                <w:div w:id="9527890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345478611">
      <w:bodyDiv w:val="1"/>
      <w:marLeft w:val="0"/>
      <w:marRight w:val="0"/>
      <w:marTop w:val="0"/>
      <w:marBottom w:val="0"/>
      <w:divBdr>
        <w:top w:val="none" w:sz="0" w:space="0" w:color="auto"/>
        <w:left w:val="none" w:sz="0" w:space="0" w:color="auto"/>
        <w:bottom w:val="none" w:sz="0" w:space="0" w:color="auto"/>
        <w:right w:val="none" w:sz="0" w:space="0" w:color="auto"/>
      </w:divBdr>
      <w:divsChild>
        <w:div w:id="244926628">
          <w:marLeft w:val="0"/>
          <w:marRight w:val="0"/>
          <w:marTop w:val="0"/>
          <w:marBottom w:val="0"/>
          <w:divBdr>
            <w:top w:val="none" w:sz="0" w:space="0" w:color="auto"/>
            <w:left w:val="none" w:sz="0" w:space="0" w:color="auto"/>
            <w:bottom w:val="none" w:sz="0" w:space="0" w:color="auto"/>
            <w:right w:val="none" w:sz="0" w:space="0" w:color="auto"/>
          </w:divBdr>
        </w:div>
      </w:divsChild>
    </w:div>
    <w:div w:id="1605308870">
      <w:bodyDiv w:val="1"/>
      <w:marLeft w:val="0"/>
      <w:marRight w:val="0"/>
      <w:marTop w:val="0"/>
      <w:marBottom w:val="0"/>
      <w:divBdr>
        <w:top w:val="none" w:sz="0" w:space="0" w:color="auto"/>
        <w:left w:val="none" w:sz="0" w:space="0" w:color="auto"/>
        <w:bottom w:val="none" w:sz="0" w:space="0" w:color="auto"/>
        <w:right w:val="none" w:sz="0" w:space="0" w:color="auto"/>
      </w:divBdr>
      <w:divsChild>
        <w:div w:id="145066677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72847488">
              <w:marLeft w:val="0"/>
              <w:marRight w:val="0"/>
              <w:marTop w:val="200"/>
              <w:marBottom w:val="0"/>
              <w:divBdr>
                <w:top w:val="none" w:sz="0" w:space="0" w:color="auto"/>
                <w:left w:val="none" w:sz="0" w:space="0" w:color="auto"/>
                <w:bottom w:val="none" w:sz="0" w:space="0" w:color="auto"/>
                <w:right w:val="none" w:sz="0" w:space="0" w:color="auto"/>
              </w:divBdr>
              <w:divsChild>
                <w:div w:id="51138369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694644486">
      <w:bodyDiv w:val="1"/>
      <w:marLeft w:val="0"/>
      <w:marRight w:val="0"/>
      <w:marTop w:val="0"/>
      <w:marBottom w:val="0"/>
      <w:divBdr>
        <w:top w:val="none" w:sz="0" w:space="0" w:color="auto"/>
        <w:left w:val="none" w:sz="0" w:space="0" w:color="auto"/>
        <w:bottom w:val="none" w:sz="0" w:space="0" w:color="auto"/>
        <w:right w:val="none" w:sz="0" w:space="0" w:color="auto"/>
      </w:divBdr>
      <w:divsChild>
        <w:div w:id="46222546">
          <w:marLeft w:val="0"/>
          <w:marRight w:val="0"/>
          <w:marTop w:val="400"/>
          <w:marBottom w:val="400"/>
          <w:divBdr>
            <w:top w:val="none" w:sz="0" w:space="0" w:color="auto"/>
            <w:left w:val="none" w:sz="0" w:space="0" w:color="auto"/>
            <w:bottom w:val="none" w:sz="0" w:space="0" w:color="auto"/>
            <w:right w:val="none" w:sz="0" w:space="0" w:color="auto"/>
          </w:divBdr>
          <w:divsChild>
            <w:div w:id="176903818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76450154">
                  <w:marLeft w:val="0"/>
                  <w:marRight w:val="0"/>
                  <w:marTop w:val="200"/>
                  <w:marBottom w:val="0"/>
                  <w:divBdr>
                    <w:top w:val="none" w:sz="0" w:space="0" w:color="auto"/>
                    <w:left w:val="none" w:sz="0" w:space="0" w:color="auto"/>
                    <w:bottom w:val="none" w:sz="0" w:space="0" w:color="auto"/>
                    <w:right w:val="none" w:sz="0" w:space="0" w:color="auto"/>
                  </w:divBdr>
                  <w:divsChild>
                    <w:div w:id="35357857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2073306181">
      <w:bodyDiv w:val="1"/>
      <w:marLeft w:val="0"/>
      <w:marRight w:val="0"/>
      <w:marTop w:val="0"/>
      <w:marBottom w:val="0"/>
      <w:divBdr>
        <w:top w:val="none" w:sz="0" w:space="0" w:color="auto"/>
        <w:left w:val="none" w:sz="0" w:space="0" w:color="auto"/>
        <w:bottom w:val="none" w:sz="0" w:space="0" w:color="auto"/>
        <w:right w:val="none" w:sz="0" w:space="0" w:color="auto"/>
      </w:divBdr>
      <w:divsChild>
        <w:div w:id="989866392">
          <w:marLeft w:val="0"/>
          <w:marRight w:val="0"/>
          <w:marTop w:val="0"/>
          <w:marBottom w:val="0"/>
          <w:divBdr>
            <w:top w:val="single" w:sz="6" w:space="0" w:color="D5D5D5"/>
            <w:left w:val="single" w:sz="6" w:space="0" w:color="D5D5D5"/>
            <w:bottom w:val="single" w:sz="6" w:space="0" w:color="D5D5D5"/>
            <w:right w:val="single" w:sz="6" w:space="0" w:color="D5D5D5"/>
          </w:divBdr>
          <w:divsChild>
            <w:div w:id="1120803920">
              <w:marLeft w:val="0"/>
              <w:marRight w:val="0"/>
              <w:marTop w:val="0"/>
              <w:marBottom w:val="0"/>
              <w:divBdr>
                <w:top w:val="none" w:sz="0" w:space="0" w:color="auto"/>
                <w:left w:val="none" w:sz="0" w:space="0" w:color="auto"/>
                <w:bottom w:val="none" w:sz="0" w:space="0" w:color="auto"/>
                <w:right w:val="none" w:sz="0" w:space="0" w:color="auto"/>
              </w:divBdr>
            </w:div>
          </w:divsChild>
        </w:div>
        <w:div w:id="132489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EL-DAM/CFD-and-Blood-Damage-Benchmarks/blob/main/Blood%20Pump/Blood_Pump_Instructions.zip" TargetMode="External"/><Relationship Id="rId13" Type="http://schemas.openxmlformats.org/officeDocument/2006/relationships/hyperlink" Target="https://pubmed.ncbi.nlm.nih.gov/36401112/" TargetMode="External"/><Relationship Id="rId18" Type="http://schemas.openxmlformats.org/officeDocument/2006/relationships/hyperlink" Target="https://link.springer.com/article/10.1007/s10439-022-03105-w/figures/11" TargetMode="External"/><Relationship Id="rId3" Type="http://schemas.openxmlformats.org/officeDocument/2006/relationships/settings" Target="settings.xml"/><Relationship Id="rId7" Type="http://schemas.openxmlformats.org/officeDocument/2006/relationships/hyperlink" Target="https://github.com/OSEL-DAM/CFD-and-Blood-Damage-Benchmarks/tree/main/Nozzle" TargetMode="External"/><Relationship Id="rId12" Type="http://schemas.openxmlformats.org/officeDocument/2006/relationships/hyperlink" Target="https://www.ncbi.nlm.nih.gov/pmc/articles/PMC4381842/"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ubmed.ncbi.nlm.nih.gov/36401112/" TargetMode="External"/><Relationship Id="rId5" Type="http://schemas.openxmlformats.org/officeDocument/2006/relationships/image" Target="media/image1.png"/><Relationship Id="rId15" Type="http://schemas.openxmlformats.org/officeDocument/2006/relationships/hyperlink" Target="https://www.ncbi.nlm.nih.gov/core/lw/2.0/html/tileshop_pmc/tileshop_pmc_inline.html?title=Click%20on%20image%20to%20zoom&amp;p=PMC3&amp;id=4381842_nihms-659138-f0004.jpg" TargetMode="External"/><Relationship Id="rId10" Type="http://schemas.openxmlformats.org/officeDocument/2006/relationships/hyperlink" Target="https://www.ncbi.nlm.nih.gov/pmc/articles/PMC438184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da.gov/medical-devices/science-and-research-medical-devices/benchmark-dataset-validating-computational-fluid-dynamic-cfd-simulation-blood-flow-through"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Prasanna</dc:creator>
  <cp:keywords/>
  <dc:description/>
  <cp:lastModifiedBy>Ponnaluri, Sailahari</cp:lastModifiedBy>
  <cp:revision>2</cp:revision>
  <dcterms:created xsi:type="dcterms:W3CDTF">2024-03-07T17:24:00Z</dcterms:created>
  <dcterms:modified xsi:type="dcterms:W3CDTF">2024-03-07T17:24:00Z</dcterms:modified>
</cp:coreProperties>
</file>