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33CE" w14:textId="45AB83E0" w:rsidR="004B49B2" w:rsidRPr="0044407C" w:rsidRDefault="004B49B2" w:rsidP="0044407C">
      <w:pPr>
        <w:spacing w:after="0" w:line="240" w:lineRule="auto"/>
        <w:jc w:val="center"/>
        <w:rPr>
          <w:sz w:val="28"/>
          <w:szCs w:val="28"/>
        </w:rPr>
      </w:pPr>
      <w:r w:rsidRPr="0044407C">
        <w:rPr>
          <w:sz w:val="28"/>
          <w:szCs w:val="28"/>
        </w:rPr>
        <w:t>Human Shoulder Finite Element Model</w:t>
      </w:r>
      <w:r w:rsidR="0044407C">
        <w:rPr>
          <w:sz w:val="28"/>
          <w:szCs w:val="28"/>
        </w:rPr>
        <w:t xml:space="preserve"> ReadMe</w:t>
      </w:r>
    </w:p>
    <w:p w14:paraId="3AEF1B27" w14:textId="20066A35" w:rsidR="004B49B2" w:rsidRDefault="004B49B2" w:rsidP="0044407C">
      <w:pPr>
        <w:spacing w:after="0" w:line="240" w:lineRule="auto"/>
        <w:jc w:val="center"/>
      </w:pPr>
    </w:p>
    <w:p w14:paraId="271FC731" w14:textId="25021802" w:rsidR="008E7387" w:rsidRDefault="008E7387" w:rsidP="008E7387">
      <w:pPr>
        <w:spacing w:after="0" w:line="240" w:lineRule="auto"/>
        <w:jc w:val="center"/>
      </w:pPr>
      <w:r>
        <w:t>S</w:t>
      </w:r>
      <w:r>
        <w:t>ara</w:t>
      </w:r>
      <w:r>
        <w:t xml:space="preserve"> S</w:t>
      </w:r>
      <w:r>
        <w:t>adeqi,</w:t>
      </w:r>
      <w:r w:rsidRPr="008E7387">
        <w:rPr>
          <w:vertAlign w:val="superscript"/>
        </w:rPr>
        <w:t>1,2</w:t>
      </w:r>
      <w:r>
        <w:t xml:space="preserve"> A</w:t>
      </w:r>
      <w:r>
        <w:t>ndrew P. Baumann,</w:t>
      </w:r>
      <w:r w:rsidRPr="008E7387">
        <w:rPr>
          <w:vertAlign w:val="superscript"/>
        </w:rPr>
        <w:t>2</w:t>
      </w:r>
      <w:r>
        <w:t xml:space="preserve"> V</w:t>
      </w:r>
      <w:r>
        <w:t>ijay</w:t>
      </w:r>
      <w:r>
        <w:t xml:space="preserve"> K. G</w:t>
      </w:r>
      <w:r>
        <w:t>oel,</w:t>
      </w:r>
      <w:r w:rsidRPr="008E7387">
        <w:rPr>
          <w:vertAlign w:val="superscript"/>
        </w:rPr>
        <w:t>1</w:t>
      </w:r>
    </w:p>
    <w:p w14:paraId="31253C03" w14:textId="37EAFA2B" w:rsidR="008E7387" w:rsidRDefault="008E7387" w:rsidP="008E7387">
      <w:pPr>
        <w:spacing w:after="0" w:line="240" w:lineRule="auto"/>
        <w:jc w:val="center"/>
      </w:pPr>
      <w:r>
        <w:t>V</w:t>
      </w:r>
      <w:r>
        <w:t>ictoria</w:t>
      </w:r>
      <w:r>
        <w:t xml:space="preserve"> L</w:t>
      </w:r>
      <w:r>
        <w:t>illing</w:t>
      </w:r>
      <w:r>
        <w:t>,</w:t>
      </w:r>
      <w:r w:rsidRPr="008E7387">
        <w:rPr>
          <w:vertAlign w:val="superscript"/>
        </w:rPr>
        <w:t>3</w:t>
      </w:r>
      <w:r>
        <w:t xml:space="preserve"> and S</w:t>
      </w:r>
      <w:r>
        <w:t>tacey</w:t>
      </w:r>
      <w:r>
        <w:t xml:space="preserve"> J. L. S</w:t>
      </w:r>
      <w:r>
        <w:t>ullivan</w:t>
      </w:r>
      <w:r w:rsidRPr="008E7387">
        <w:rPr>
          <w:vertAlign w:val="superscript"/>
        </w:rPr>
        <w:t>2</w:t>
      </w:r>
    </w:p>
    <w:p w14:paraId="3C3A7DA6" w14:textId="4C8C094E" w:rsidR="008E7387" w:rsidRDefault="008E7387" w:rsidP="0044407C">
      <w:pPr>
        <w:spacing w:after="0" w:line="240" w:lineRule="auto"/>
        <w:jc w:val="center"/>
      </w:pPr>
    </w:p>
    <w:p w14:paraId="24FFB85D" w14:textId="41D634B1" w:rsidR="008E7387" w:rsidRDefault="008E7387" w:rsidP="0044407C">
      <w:pPr>
        <w:spacing w:after="0" w:line="240" w:lineRule="auto"/>
        <w:jc w:val="center"/>
      </w:pPr>
      <w:r w:rsidRPr="008E7387">
        <w:rPr>
          <w:vertAlign w:val="superscript"/>
        </w:rPr>
        <w:t>1</w:t>
      </w:r>
      <w:r>
        <w:t>Departments of Bioengineering and Orthopaedics, Engineering Center for Orthopaedic Research Excellence (E-CORE), The</w:t>
      </w:r>
      <w:r>
        <w:t xml:space="preserve"> </w:t>
      </w:r>
      <w:r>
        <w:t xml:space="preserve">University of Toledo, Toledo, OH, USA; </w:t>
      </w:r>
      <w:r w:rsidRPr="008E7387">
        <w:rPr>
          <w:vertAlign w:val="superscript"/>
        </w:rPr>
        <w:t>2</w:t>
      </w:r>
      <w:r>
        <w:t>Center for Devices and Radiological Health, Office of Science and Engineering</w:t>
      </w:r>
      <w:r>
        <w:t xml:space="preserve"> </w:t>
      </w:r>
      <w:r>
        <w:t>Laboratories, Division of Applied Mechanics, U.S. Food and Drug Administration, 10903 New Hampshire Avenue, Building 62</w:t>
      </w:r>
      <w:r>
        <w:t xml:space="preserve"> </w:t>
      </w:r>
      <w:r>
        <w:t xml:space="preserve">Room 2210, Silver Spring, MD 20993, USA; and </w:t>
      </w:r>
      <w:r w:rsidRPr="008E7387">
        <w:rPr>
          <w:vertAlign w:val="superscript"/>
        </w:rPr>
        <w:t>3</w:t>
      </w:r>
      <w:r>
        <w:t>Center for Devices and Radiological Health, Office of Product Evaluation and</w:t>
      </w:r>
      <w:r>
        <w:t xml:space="preserve"> </w:t>
      </w:r>
      <w:r>
        <w:t>Quality, OHT6: Office of Orthopedic Devices, DHT6A: Division of Joint Arthroplasty Devices, Shoulder Arthroplasty Devices</w:t>
      </w:r>
      <w:r>
        <w:t xml:space="preserve"> </w:t>
      </w:r>
      <w:r>
        <w:t>Team, U.S. Food and Drug Administration, Silver Spring, MD, USA</w:t>
      </w:r>
    </w:p>
    <w:p w14:paraId="51B0433D" w14:textId="77777777" w:rsidR="008E7387" w:rsidRDefault="008E7387" w:rsidP="0044407C">
      <w:pPr>
        <w:spacing w:after="0" w:line="240" w:lineRule="auto"/>
        <w:jc w:val="center"/>
      </w:pPr>
    </w:p>
    <w:p w14:paraId="1F18676A" w14:textId="021B75EF" w:rsidR="004B49B2" w:rsidRDefault="004B49B2" w:rsidP="0044407C">
      <w:pPr>
        <w:spacing w:after="0" w:line="240" w:lineRule="auto"/>
        <w:jc w:val="center"/>
      </w:pPr>
      <w:r>
        <w:t xml:space="preserve">Last modified </w:t>
      </w:r>
      <w:r w:rsidR="008E7387">
        <w:t>September</w:t>
      </w:r>
      <w:r>
        <w:t xml:space="preserve"> </w:t>
      </w:r>
      <w:r w:rsidR="0044407C">
        <w:t>2</w:t>
      </w:r>
      <w:r w:rsidR="008E7387">
        <w:t>7</w:t>
      </w:r>
      <w:r>
        <w:t>, 2022</w:t>
      </w:r>
    </w:p>
    <w:p w14:paraId="20F0B02A" w14:textId="587139BB" w:rsidR="004B49B2" w:rsidRPr="001E53AB" w:rsidRDefault="004B49B2" w:rsidP="0044407C">
      <w:pPr>
        <w:spacing w:before="240" w:after="0" w:line="240" w:lineRule="auto"/>
        <w:jc w:val="both"/>
        <w:rPr>
          <w:b/>
          <w:bCs/>
        </w:rPr>
      </w:pPr>
      <w:r w:rsidRPr="001E53AB">
        <w:rPr>
          <w:b/>
          <w:bCs/>
        </w:rPr>
        <w:t>Background</w:t>
      </w:r>
    </w:p>
    <w:p w14:paraId="5B7FA95F" w14:textId="732AF9F6" w:rsidR="00E60105" w:rsidRDefault="004B49B2" w:rsidP="0044407C">
      <w:pPr>
        <w:spacing w:after="0" w:line="240" w:lineRule="auto"/>
        <w:jc w:val="both"/>
      </w:pPr>
      <w:r>
        <w:t xml:space="preserve">A finite element model of the male human shoulder was created. The model </w:t>
      </w:r>
      <w:r w:rsidR="003F64C4">
        <w:t>is</w:t>
      </w:r>
      <w:r>
        <w:t xml:space="preserve"> a first step in developing a validated computational framework for researching the biomechanics of the human shoulder</w:t>
      </w:r>
      <w:r w:rsidR="003F64C4">
        <w:t xml:space="preserve">. The model is provided, here, in its entirety. </w:t>
      </w:r>
      <w:r w:rsidR="00EF7A83">
        <w:t xml:space="preserve">The </w:t>
      </w:r>
      <w:r w:rsidR="00EF7A83" w:rsidRPr="00E26E9A">
        <w:t xml:space="preserve">included inp </w:t>
      </w:r>
      <w:r w:rsidR="001E53AB">
        <w:t xml:space="preserve">and cae </w:t>
      </w:r>
      <w:r w:rsidR="00EF7A83" w:rsidRPr="00E26E9A">
        <w:t>file</w:t>
      </w:r>
      <w:r w:rsidR="001E53AB">
        <w:t>s</w:t>
      </w:r>
      <w:r w:rsidR="00D9180D">
        <w:t xml:space="preserve"> (</w:t>
      </w:r>
      <w:r w:rsidR="00C60A84">
        <w:t>Male-Shoulder</w:t>
      </w:r>
      <w:r w:rsidR="00D9180D" w:rsidRPr="00D9180D">
        <w:t>.inp</w:t>
      </w:r>
      <w:r w:rsidR="001E53AB">
        <w:t xml:space="preserve">, </w:t>
      </w:r>
      <w:r w:rsidR="007F20EA">
        <w:t xml:space="preserve">and </w:t>
      </w:r>
      <w:r w:rsidR="00503105" w:rsidRPr="00503105">
        <w:t>OpenSourseShoulderFE.cae</w:t>
      </w:r>
      <w:r w:rsidR="00D9180D">
        <w:t>)</w:t>
      </w:r>
      <w:r w:rsidR="00EF7A83" w:rsidRPr="00E26E9A">
        <w:t xml:space="preserve"> </w:t>
      </w:r>
      <w:r w:rsidR="003F64C4">
        <w:t xml:space="preserve">contain </w:t>
      </w:r>
      <w:r w:rsidR="00EF7A83">
        <w:t xml:space="preserve">the </w:t>
      </w:r>
      <w:r w:rsidR="00B90371">
        <w:t>finite</w:t>
      </w:r>
      <w:r w:rsidR="00EF7A83">
        <w:t xml:space="preserve"> eleme</w:t>
      </w:r>
      <w:r w:rsidR="00B90371">
        <w:t xml:space="preserve">nt model, </w:t>
      </w:r>
      <w:r w:rsidR="003F64C4">
        <w:t xml:space="preserve">as </w:t>
      </w:r>
      <w:r w:rsidR="00B90371">
        <w:t>constructed in Abaqus/Explicit 6.14-5.</w:t>
      </w:r>
      <w:r w:rsidR="00D9180D">
        <w:t xml:space="preserve"> The model simulates abduction of the shoulder joint</w:t>
      </w:r>
      <w:r w:rsidR="001E53AB">
        <w:t xml:space="preserve"> in the scapular plane</w:t>
      </w:r>
      <w:r w:rsidR="00D9180D">
        <w:t>. Simulation outputs include contact forces and stresses.</w:t>
      </w:r>
    </w:p>
    <w:p w14:paraId="2935A659" w14:textId="5C252AC7" w:rsidR="00E60105" w:rsidRPr="001E53AB" w:rsidRDefault="00E60105" w:rsidP="0044407C">
      <w:pPr>
        <w:spacing w:before="240" w:after="0" w:line="240" w:lineRule="auto"/>
        <w:jc w:val="both"/>
        <w:rPr>
          <w:b/>
          <w:bCs/>
        </w:rPr>
      </w:pPr>
      <w:r w:rsidRPr="001E53AB">
        <w:rPr>
          <w:b/>
          <w:bCs/>
        </w:rPr>
        <w:t>Licensing</w:t>
      </w:r>
    </w:p>
    <w:p w14:paraId="00D7E6E9" w14:textId="77777777" w:rsidR="00E60105" w:rsidRDefault="00E60105" w:rsidP="0044407C">
      <w:pPr>
        <w:spacing w:after="0" w:line="240" w:lineRule="auto"/>
        <w:jc w:val="both"/>
      </w:pPr>
      <w:r>
        <w:t>CC0 1.0 Universal (CC0 1.0)</w:t>
      </w:r>
    </w:p>
    <w:p w14:paraId="75C23512" w14:textId="77777777" w:rsidR="00E60105" w:rsidRDefault="00E60105" w:rsidP="0044407C">
      <w:pPr>
        <w:spacing w:after="0" w:line="240" w:lineRule="auto"/>
        <w:jc w:val="both"/>
      </w:pPr>
      <w:r>
        <w:t>Public Domain Dedication</w:t>
      </w:r>
    </w:p>
    <w:p w14:paraId="367AF37B" w14:textId="77777777" w:rsidR="00E60105" w:rsidRDefault="00E60105" w:rsidP="0044407C">
      <w:pPr>
        <w:spacing w:after="0" w:line="240" w:lineRule="auto"/>
        <w:jc w:val="both"/>
      </w:pPr>
      <w:r>
        <w:t>https://creativecommons.org/publicdomain/zero/1.0/</w:t>
      </w:r>
    </w:p>
    <w:p w14:paraId="25DB8DBA" w14:textId="77777777" w:rsidR="00E60105" w:rsidRDefault="00E60105" w:rsidP="0044407C">
      <w:pPr>
        <w:spacing w:after="0" w:line="240" w:lineRule="auto"/>
        <w:jc w:val="both"/>
      </w:pPr>
    </w:p>
    <w:p w14:paraId="72D8DC74" w14:textId="77777777" w:rsidR="00E60105" w:rsidRDefault="00E60105" w:rsidP="0044407C">
      <w:pPr>
        <w:spacing w:after="0" w:line="240" w:lineRule="auto"/>
        <w:jc w:val="both"/>
      </w:pPr>
      <w:r>
        <w:t>This is a human-readable summary of the Legal Code (read the full legal code here):</w:t>
      </w:r>
    </w:p>
    <w:p w14:paraId="048E3DB6" w14:textId="77777777" w:rsidR="00E60105" w:rsidRDefault="00E60105" w:rsidP="0044407C">
      <w:pPr>
        <w:spacing w:after="0" w:line="240" w:lineRule="auto"/>
        <w:jc w:val="both"/>
      </w:pPr>
      <w:r>
        <w:t>https://creativecommons.org/publicdomain/zero/1.0/legalcode.</w:t>
      </w:r>
    </w:p>
    <w:p w14:paraId="5FE2346D" w14:textId="77777777" w:rsidR="00E60105" w:rsidRDefault="00E60105" w:rsidP="0044407C">
      <w:pPr>
        <w:spacing w:after="0" w:line="240" w:lineRule="auto"/>
        <w:jc w:val="both"/>
      </w:pPr>
    </w:p>
    <w:p w14:paraId="0402141D" w14:textId="77777777" w:rsidR="00E60105" w:rsidRDefault="00E60105" w:rsidP="0044407C">
      <w:pPr>
        <w:spacing w:after="0" w:line="240" w:lineRule="auto"/>
        <w:jc w:val="both"/>
      </w:pPr>
      <w:r>
        <w:t>No Copyright</w:t>
      </w:r>
    </w:p>
    <w:p w14:paraId="18E6E97D" w14:textId="5ECA6032" w:rsidR="00E60105" w:rsidRDefault="00E60105" w:rsidP="0044407C">
      <w:pPr>
        <w:spacing w:after="0" w:line="240" w:lineRule="auto"/>
        <w:jc w:val="both"/>
      </w:pPr>
      <w:r>
        <w:t>This license is acceptable for Free Cultural Works.</w:t>
      </w:r>
    </w:p>
    <w:p w14:paraId="1A6B3AA7" w14:textId="4B9188B0" w:rsidR="00EF7A83" w:rsidRDefault="00D9180D" w:rsidP="0044407C">
      <w:pPr>
        <w:spacing w:after="0" w:line="240" w:lineRule="auto"/>
        <w:jc w:val="both"/>
      </w:pPr>
      <w:r>
        <w:t>Output data are provided</w:t>
      </w:r>
      <w:r w:rsidR="00AA290B">
        <w:t xml:space="preserve"> for comparing to</w:t>
      </w:r>
      <w:r w:rsidR="00661280">
        <w:t xml:space="preserve"> outputs generated by simulations on other hardware/software systems to ensure functionality of the model.</w:t>
      </w:r>
    </w:p>
    <w:p w14:paraId="3F2BFBB3" w14:textId="77777777" w:rsidR="00B90371" w:rsidRPr="00B90371" w:rsidRDefault="00B90371" w:rsidP="0044407C">
      <w:pPr>
        <w:spacing w:before="240" w:after="0" w:line="240" w:lineRule="auto"/>
        <w:jc w:val="both"/>
        <w:rPr>
          <w:b/>
          <w:bCs/>
        </w:rPr>
      </w:pPr>
      <w:r w:rsidRPr="00B90371">
        <w:rPr>
          <w:b/>
          <w:bCs/>
        </w:rPr>
        <w:t>Model Components</w:t>
      </w:r>
    </w:p>
    <w:p w14:paraId="6F44013B" w14:textId="59945986" w:rsidR="00EF7A83" w:rsidRDefault="00B90371" w:rsidP="0044407C">
      <w:pPr>
        <w:spacing w:after="0" w:line="240" w:lineRule="auto"/>
        <w:jc w:val="both"/>
      </w:pPr>
      <w:r>
        <w:t>The model</w:t>
      </w:r>
      <w:r w:rsidR="00EF7A83">
        <w:t xml:space="preserve"> </w:t>
      </w:r>
      <w:r w:rsidR="007F20EA">
        <w:t xml:space="preserve">(Figure 1) </w:t>
      </w:r>
      <w:r w:rsidR="00EF7A83">
        <w:t xml:space="preserve">includes 3D geometries </w:t>
      </w:r>
      <w:r w:rsidR="00C968AF">
        <w:t xml:space="preserve">meshed </w:t>
      </w:r>
      <w:r w:rsidR="00C258AB">
        <w:t>with C3D10 element</w:t>
      </w:r>
      <w:r w:rsidR="00C968AF">
        <w:t>s</w:t>
      </w:r>
      <w:r w:rsidR="00C258AB">
        <w:t xml:space="preserve"> </w:t>
      </w:r>
      <w:r w:rsidR="00EF7A83">
        <w:t>for the following tissues</w:t>
      </w:r>
      <w:r w:rsidR="00C968AF">
        <w:t>:</w:t>
      </w:r>
      <w:r w:rsidR="00EF7A83">
        <w:t xml:space="preserve"> Humerus</w:t>
      </w:r>
      <w:r w:rsidR="00230ADC">
        <w:t xml:space="preserve">, </w:t>
      </w:r>
      <w:r w:rsidR="00EF7A83">
        <w:t>Scapula</w:t>
      </w:r>
      <w:r w:rsidR="00230ADC">
        <w:t xml:space="preserve">, </w:t>
      </w:r>
      <w:r w:rsidR="00EF7A83">
        <w:t>Clavicle</w:t>
      </w:r>
      <w:r w:rsidR="00230ADC">
        <w:t xml:space="preserve">, </w:t>
      </w:r>
      <w:r w:rsidR="00EF7A83">
        <w:t>Humeral cartilage</w:t>
      </w:r>
      <w:r w:rsidR="00230ADC">
        <w:t xml:space="preserve">, </w:t>
      </w:r>
      <w:r w:rsidR="00EF7A83">
        <w:t>Glenoid cartilage</w:t>
      </w:r>
      <w:r w:rsidR="00230ADC">
        <w:t xml:space="preserve">, </w:t>
      </w:r>
      <w:r w:rsidR="00EF7A83">
        <w:t>Labrum</w:t>
      </w:r>
      <w:r w:rsidR="00230ADC">
        <w:t xml:space="preserve">, </w:t>
      </w:r>
      <w:r w:rsidR="00FE2E47">
        <w:t xml:space="preserve">and </w:t>
      </w:r>
      <w:r w:rsidR="00EF7A83">
        <w:t>Acromioclavicular ligament</w:t>
      </w:r>
      <w:r w:rsidR="00C968AF">
        <w:t>.</w:t>
      </w:r>
    </w:p>
    <w:p w14:paraId="426AA5B9" w14:textId="32681B09" w:rsidR="001137CF" w:rsidRDefault="00B90371" w:rsidP="0044407C">
      <w:pPr>
        <w:spacing w:after="0" w:line="240" w:lineRule="auto"/>
        <w:jc w:val="both"/>
      </w:pPr>
      <w:r>
        <w:t xml:space="preserve">2D connector elements with tension loads </w:t>
      </w:r>
      <w:r w:rsidR="00C968AF">
        <w:t xml:space="preserve">are used </w:t>
      </w:r>
      <w:r>
        <w:t xml:space="preserve">for </w:t>
      </w:r>
      <w:r w:rsidR="0097211C">
        <w:t>m</w:t>
      </w:r>
      <w:r w:rsidR="006A5E64">
        <w:t>uscle-</w:t>
      </w:r>
      <w:r w:rsidR="00EF7A83">
        <w:t>tendon</w:t>
      </w:r>
      <w:r w:rsidR="006A5E64">
        <w:t xml:space="preserve"> units</w:t>
      </w:r>
      <w:r w:rsidR="00EF7A83">
        <w:t xml:space="preserve"> </w:t>
      </w:r>
      <w:r w:rsidR="0097211C">
        <w:t>of the following muscles</w:t>
      </w:r>
      <w:r w:rsidR="00C968AF">
        <w:t>: r</w:t>
      </w:r>
      <w:r w:rsidR="001137CF" w:rsidRPr="00230ADC">
        <w:rPr>
          <w:color w:val="000000" w:themeColor="text1"/>
        </w:rPr>
        <w:t xml:space="preserve">otator cuff </w:t>
      </w:r>
      <w:r w:rsidR="00230ADC" w:rsidRPr="00230ADC">
        <w:rPr>
          <w:color w:val="000000" w:themeColor="text1"/>
        </w:rPr>
        <w:t>(</w:t>
      </w:r>
      <w:r w:rsidR="001137CF" w:rsidRPr="00230ADC">
        <w:rPr>
          <w:color w:val="000000" w:themeColor="text1"/>
        </w:rPr>
        <w:t>Supraspinatus</w:t>
      </w:r>
      <w:r w:rsidR="00230ADC" w:rsidRPr="00230ADC">
        <w:rPr>
          <w:color w:val="000000" w:themeColor="text1"/>
        </w:rPr>
        <w:t xml:space="preserve">, </w:t>
      </w:r>
      <w:r w:rsidR="001137CF" w:rsidRPr="00230ADC">
        <w:rPr>
          <w:color w:val="000000" w:themeColor="text1"/>
        </w:rPr>
        <w:t>Infraspinatus</w:t>
      </w:r>
      <w:r w:rsidR="00230ADC" w:rsidRPr="00230ADC">
        <w:rPr>
          <w:color w:val="000000" w:themeColor="text1"/>
        </w:rPr>
        <w:t xml:space="preserve">, </w:t>
      </w:r>
      <w:r w:rsidR="001137CF" w:rsidRPr="00230ADC">
        <w:rPr>
          <w:color w:val="000000" w:themeColor="text1"/>
        </w:rPr>
        <w:t>Subscapularis</w:t>
      </w:r>
      <w:r w:rsidR="00230ADC" w:rsidRPr="00230ADC">
        <w:rPr>
          <w:color w:val="000000" w:themeColor="text1"/>
        </w:rPr>
        <w:t xml:space="preserve">, and </w:t>
      </w:r>
      <w:r w:rsidR="001137CF" w:rsidRPr="00230ADC">
        <w:rPr>
          <w:color w:val="000000" w:themeColor="text1"/>
        </w:rPr>
        <w:t>Teres minor</w:t>
      </w:r>
      <w:r w:rsidR="00230ADC" w:rsidRPr="00230ADC">
        <w:rPr>
          <w:color w:val="000000" w:themeColor="text1"/>
        </w:rPr>
        <w:t xml:space="preserve">), </w:t>
      </w:r>
      <w:r w:rsidR="001137CF">
        <w:t>Mid-Deltoid</w:t>
      </w:r>
      <w:r w:rsidR="00230ADC">
        <w:t xml:space="preserve">, </w:t>
      </w:r>
      <w:r w:rsidR="00FE2E47">
        <w:t xml:space="preserve">and </w:t>
      </w:r>
      <w:r w:rsidR="006A5E64">
        <w:t>clavicular head of the P</w:t>
      </w:r>
      <w:r w:rsidR="001137CF">
        <w:t>ectoralis Major</w:t>
      </w:r>
      <w:r w:rsidR="00C968AF">
        <w:t>.</w:t>
      </w:r>
    </w:p>
    <w:p w14:paraId="5EE1EE2D" w14:textId="77777777" w:rsidR="0044407C" w:rsidRDefault="0044407C" w:rsidP="0044407C">
      <w:pPr>
        <w:spacing w:after="0" w:line="240" w:lineRule="auto"/>
        <w:jc w:val="both"/>
      </w:pPr>
    </w:p>
    <w:p w14:paraId="659DE219" w14:textId="77777777" w:rsidR="0079014A" w:rsidRDefault="001E53AB" w:rsidP="00C968AF">
      <w:pPr>
        <w:keepNext/>
        <w:jc w:val="center"/>
      </w:pPr>
      <w:r>
        <w:rPr>
          <w:noProof/>
        </w:rPr>
        <w:lastRenderedPageBreak/>
        <w:drawing>
          <wp:inline distT="0" distB="0" distL="0" distR="0" wp14:anchorId="50A55FFC" wp14:editId="13D6CC4B">
            <wp:extent cx="3022979" cy="2243335"/>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872" cy="2276650"/>
                    </a:xfrm>
                    <a:prstGeom prst="rect">
                      <a:avLst/>
                    </a:prstGeom>
                  </pic:spPr>
                </pic:pic>
              </a:graphicData>
            </a:graphic>
          </wp:inline>
        </w:drawing>
      </w:r>
    </w:p>
    <w:p w14:paraId="459BE34F" w14:textId="547AFB91" w:rsidR="001E53AB" w:rsidRPr="0044407C" w:rsidRDefault="0079014A" w:rsidP="0044407C">
      <w:pPr>
        <w:spacing w:after="0" w:line="240" w:lineRule="auto"/>
        <w:ind w:left="1440" w:right="1440"/>
        <w:jc w:val="both"/>
        <w:rPr>
          <w:sz w:val="18"/>
          <w:szCs w:val="18"/>
        </w:rPr>
      </w:pPr>
      <w:r w:rsidRPr="0044407C">
        <w:rPr>
          <w:sz w:val="18"/>
          <w:szCs w:val="18"/>
        </w:rPr>
        <w:t xml:space="preserve">Figure </w:t>
      </w:r>
      <w:r w:rsidRPr="0044407C">
        <w:rPr>
          <w:sz w:val="18"/>
          <w:szCs w:val="18"/>
        </w:rPr>
        <w:fldChar w:fldCharType="begin"/>
      </w:r>
      <w:r w:rsidRPr="0044407C">
        <w:rPr>
          <w:sz w:val="18"/>
          <w:szCs w:val="18"/>
        </w:rPr>
        <w:instrText xml:space="preserve"> SEQ Figure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(a) Model of the intact shoulder in Abaqus displaying the different bones (humerus, clavicle, scapula, and glenoid) and soft tissue (humeral and glenoid cartilages, AC ligament, and labrum) components. (b) Meshed view of the model depicting interactions and muscle 2D connectors.</w:t>
      </w:r>
    </w:p>
    <w:p w14:paraId="14ED5E04" w14:textId="39B99021" w:rsidR="008A6AAC" w:rsidRDefault="008A6AAC" w:rsidP="0044407C">
      <w:pPr>
        <w:spacing w:before="240" w:after="0" w:line="240" w:lineRule="auto"/>
        <w:jc w:val="both"/>
        <w:rPr>
          <w:b/>
          <w:bCs/>
        </w:rPr>
      </w:pPr>
      <w:r>
        <w:rPr>
          <w:b/>
          <w:bCs/>
        </w:rPr>
        <w:t xml:space="preserve">Component </w:t>
      </w:r>
      <w:r w:rsidR="00EA0563">
        <w:rPr>
          <w:b/>
          <w:bCs/>
        </w:rPr>
        <w:t>Geometry</w:t>
      </w:r>
    </w:p>
    <w:p w14:paraId="713C82D0" w14:textId="5482BFCF" w:rsidR="008A6AAC" w:rsidRDefault="008A6AAC" w:rsidP="0044407C">
      <w:pPr>
        <w:spacing w:after="0" w:line="240" w:lineRule="auto"/>
        <w:jc w:val="both"/>
        <w:rPr>
          <w:b/>
          <w:bCs/>
        </w:rPr>
      </w:pPr>
      <w:r>
        <w:t xml:space="preserve">Humerus, Scapula, Clavicle, labrum, and Acromioclavicular ligament were manually segmented from CT scans of the visible human project male subject in </w:t>
      </w:r>
      <w:r w:rsidR="00EA0563">
        <w:t>M</w:t>
      </w:r>
      <w:r>
        <w:t>imics 19. The glenoid cartilage and humeral cartilage were made by offsetting the mesh layers in Abaqus to reach the thickness of these cartilages as mentioned in the literature</w:t>
      </w:r>
      <w:r w:rsidR="004E5C5F">
        <w:t xml:space="preserve"> </w:t>
      </w:r>
      <w:r w:rsidR="004E5C5F">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rsidR="004E5C5F">
        <w:instrText xml:space="preserve"> ADDIN EN.CITE </w:instrText>
      </w:r>
      <w:r w:rsidR="004E5C5F">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rsidR="004E5C5F">
        <w:instrText xml:space="preserve"> ADDIN EN.CITE.DATA </w:instrText>
      </w:r>
      <w:r w:rsidR="004E5C5F">
        <w:fldChar w:fldCharType="end"/>
      </w:r>
      <w:r w:rsidR="004E5C5F">
        <w:fldChar w:fldCharType="separate"/>
      </w:r>
      <w:r w:rsidR="004E5C5F">
        <w:rPr>
          <w:noProof/>
        </w:rPr>
        <w:t>[1, 2]</w:t>
      </w:r>
      <w:r w:rsidR="004E5C5F">
        <w:fldChar w:fldCharType="end"/>
      </w:r>
      <w:r>
        <w:t xml:space="preserve">. </w:t>
      </w:r>
    </w:p>
    <w:p w14:paraId="79EB8062" w14:textId="77777777" w:rsidR="0097211C" w:rsidRDefault="00C258AB" w:rsidP="0044407C">
      <w:pPr>
        <w:spacing w:before="240" w:after="0" w:line="240" w:lineRule="auto"/>
        <w:jc w:val="both"/>
        <w:rPr>
          <w:b/>
          <w:bCs/>
        </w:rPr>
      </w:pPr>
      <w:r w:rsidRPr="009D73B1">
        <w:rPr>
          <w:b/>
          <w:bCs/>
        </w:rPr>
        <w:t>Material Properties</w:t>
      </w:r>
    </w:p>
    <w:p w14:paraId="7B836599" w14:textId="3E90E4F7" w:rsidR="005A0C66" w:rsidRDefault="005A0C66" w:rsidP="0044407C">
      <w:pPr>
        <w:spacing w:after="0" w:line="240" w:lineRule="auto"/>
        <w:jc w:val="both"/>
      </w:pPr>
      <w:r>
        <w:t>Materia</w:t>
      </w:r>
      <w:r w:rsidR="00397232">
        <w:t>l</w:t>
      </w:r>
      <w:r>
        <w:t xml:space="preserve"> properties of the model </w:t>
      </w:r>
      <w:r w:rsidR="007F20EA">
        <w:t xml:space="preserve">(Table 1) </w:t>
      </w:r>
      <w:r>
        <w:t xml:space="preserve">include linear elastic for the bones </w:t>
      </w:r>
      <w:r w:rsidR="00C93181">
        <w:t xml:space="preserve">(humerus, scapula, and clavicle) </w:t>
      </w:r>
      <w:r>
        <w:t xml:space="preserve">and </w:t>
      </w:r>
      <w:r w:rsidR="002B5CE1">
        <w:t xml:space="preserve">Neo-Hookean </w:t>
      </w:r>
      <w:r>
        <w:t>hyper-elastic for the soft tissue</w:t>
      </w:r>
      <w:r w:rsidR="00C93181">
        <w:t xml:space="preserve"> (Glenoid cartilage, humeral cartilage, labrum</w:t>
      </w:r>
      <w:r w:rsidR="008A6AAC">
        <w:t>, and Acromioclavicular ligament</w:t>
      </w:r>
      <w:r w:rsidR="00C93181">
        <w:t>)</w:t>
      </w:r>
      <w:r>
        <w:t xml:space="preserve">.  </w:t>
      </w:r>
      <w:r w:rsidR="0040506E">
        <w:t>Portions of the bones away from the areas of interest (</w:t>
      </w:r>
      <w:r w:rsidR="00F70760">
        <w:t>humeral shaft</w:t>
      </w:r>
      <w:r w:rsidR="0040506E">
        <w:t>, scapula</w:t>
      </w:r>
      <w:r w:rsidR="00F70760">
        <w:t xml:space="preserve"> body</w:t>
      </w:r>
      <w:r w:rsidR="0040506E">
        <w:t xml:space="preserve">, and </w:t>
      </w:r>
      <w:r w:rsidR="00F70760">
        <w:t>medial</w:t>
      </w:r>
      <w:r w:rsidR="0040506E">
        <w:t xml:space="preserve"> clavicle) were modeled as rigid bodies for computational efficiency. </w:t>
      </w:r>
      <w:r w:rsidR="00321B32">
        <w:t>V</w:t>
      </w:r>
      <w:r w:rsidR="00547A35">
        <w:t>alues from the literature were applied to the all the model components.</w:t>
      </w:r>
    </w:p>
    <w:p w14:paraId="57ACA7FA" w14:textId="77777777" w:rsidR="0044407C" w:rsidRDefault="0044407C" w:rsidP="0044407C">
      <w:pPr>
        <w:spacing w:after="0" w:line="240" w:lineRule="auto"/>
        <w:jc w:val="both"/>
      </w:pPr>
    </w:p>
    <w:p w14:paraId="1E6E288C" w14:textId="5A8F843E" w:rsidR="0079014A" w:rsidRPr="0044407C" w:rsidRDefault="0079014A" w:rsidP="0044407C">
      <w:pPr>
        <w:spacing w:after="0" w:line="240" w:lineRule="auto"/>
        <w:ind w:left="1440" w:right="1440"/>
        <w:jc w:val="both"/>
        <w:rPr>
          <w:sz w:val="18"/>
          <w:szCs w:val="18"/>
        </w:rPr>
      </w:pPr>
      <w:r w:rsidRPr="0044407C">
        <w:rPr>
          <w:sz w:val="18"/>
          <w:szCs w:val="18"/>
        </w:rPr>
        <w:t xml:space="preserve">Table </w:t>
      </w:r>
      <w:r w:rsidRPr="0044407C">
        <w:rPr>
          <w:sz w:val="18"/>
          <w:szCs w:val="18"/>
        </w:rPr>
        <w:fldChar w:fldCharType="begin"/>
      </w:r>
      <w:r w:rsidRPr="0044407C">
        <w:rPr>
          <w:sz w:val="18"/>
          <w:szCs w:val="18"/>
        </w:rPr>
        <w:instrText xml:space="preserve"> SEQ Table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Material properties of different components of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60"/>
        <w:gridCol w:w="1890"/>
        <w:gridCol w:w="2970"/>
        <w:gridCol w:w="1260"/>
      </w:tblGrid>
      <w:tr w:rsidR="008A6AAC" w:rsidRPr="00751FEC" w14:paraId="700811F8" w14:textId="77777777" w:rsidTr="00321B32">
        <w:trPr>
          <w:trHeight w:val="288"/>
        </w:trPr>
        <w:tc>
          <w:tcPr>
            <w:tcW w:w="3060" w:type="dxa"/>
            <w:tcBorders>
              <w:top w:val="single" w:sz="4" w:space="0" w:color="auto"/>
              <w:bottom w:val="single" w:sz="4" w:space="0" w:color="auto"/>
            </w:tcBorders>
            <w:shd w:val="clear" w:color="auto" w:fill="auto"/>
            <w:vAlign w:val="center"/>
          </w:tcPr>
          <w:p w14:paraId="0E446265" w14:textId="77777777" w:rsidR="008A6AAC" w:rsidRPr="00751FEC" w:rsidRDefault="008A6AAC" w:rsidP="00321B32">
            <w:pPr>
              <w:jc w:val="center"/>
            </w:pPr>
            <w:r w:rsidRPr="00751FEC">
              <w:t>Anatomy</w:t>
            </w:r>
          </w:p>
        </w:tc>
        <w:tc>
          <w:tcPr>
            <w:tcW w:w="1890" w:type="dxa"/>
            <w:tcBorders>
              <w:top w:val="single" w:sz="4" w:space="0" w:color="auto"/>
              <w:bottom w:val="single" w:sz="4" w:space="0" w:color="auto"/>
            </w:tcBorders>
            <w:shd w:val="clear" w:color="auto" w:fill="auto"/>
            <w:vAlign w:val="center"/>
          </w:tcPr>
          <w:p w14:paraId="707F7542" w14:textId="77777777" w:rsidR="008A6AAC" w:rsidRPr="00751FEC" w:rsidRDefault="008A6AAC" w:rsidP="006B06C4">
            <w:pPr>
              <w:jc w:val="center"/>
            </w:pPr>
            <w:r w:rsidRPr="00751FEC">
              <w:t>Material Type</w:t>
            </w:r>
          </w:p>
        </w:tc>
        <w:tc>
          <w:tcPr>
            <w:tcW w:w="2970" w:type="dxa"/>
            <w:tcBorders>
              <w:top w:val="single" w:sz="4" w:space="0" w:color="auto"/>
              <w:bottom w:val="single" w:sz="4" w:space="0" w:color="auto"/>
            </w:tcBorders>
            <w:shd w:val="clear" w:color="auto" w:fill="auto"/>
            <w:vAlign w:val="center"/>
          </w:tcPr>
          <w:p w14:paraId="64C26A7F" w14:textId="77777777" w:rsidR="008A6AAC" w:rsidRPr="00751FEC" w:rsidRDefault="008A6AAC" w:rsidP="006B06C4">
            <w:pPr>
              <w:jc w:val="center"/>
            </w:pPr>
            <w:r w:rsidRPr="00751FEC">
              <w:t>Parameters</w:t>
            </w:r>
          </w:p>
        </w:tc>
        <w:tc>
          <w:tcPr>
            <w:tcW w:w="1260" w:type="dxa"/>
            <w:tcBorders>
              <w:top w:val="single" w:sz="4" w:space="0" w:color="auto"/>
              <w:bottom w:val="single" w:sz="4" w:space="0" w:color="auto"/>
            </w:tcBorders>
            <w:shd w:val="clear" w:color="auto" w:fill="auto"/>
            <w:vAlign w:val="center"/>
          </w:tcPr>
          <w:p w14:paraId="117C7E5B" w14:textId="77777777" w:rsidR="008A6AAC" w:rsidRPr="00751FEC" w:rsidRDefault="008A6AAC" w:rsidP="006B06C4">
            <w:pPr>
              <w:jc w:val="center"/>
            </w:pPr>
            <w:r>
              <w:t>R</w:t>
            </w:r>
            <w:r w:rsidRPr="00751FEC">
              <w:t>eference</w:t>
            </w:r>
          </w:p>
        </w:tc>
      </w:tr>
      <w:tr w:rsidR="008A6AAC" w:rsidRPr="00751FEC" w14:paraId="5CA3807C" w14:textId="77777777" w:rsidTr="00321B32">
        <w:trPr>
          <w:trHeight w:val="288"/>
        </w:trPr>
        <w:tc>
          <w:tcPr>
            <w:tcW w:w="3060" w:type="dxa"/>
            <w:tcBorders>
              <w:top w:val="single" w:sz="4" w:space="0" w:color="auto"/>
            </w:tcBorders>
            <w:shd w:val="clear" w:color="auto" w:fill="auto"/>
            <w:vAlign w:val="center"/>
          </w:tcPr>
          <w:p w14:paraId="00A637AE" w14:textId="77777777" w:rsidR="008A6AAC" w:rsidRPr="00751FEC" w:rsidRDefault="008A6AAC" w:rsidP="00321B32">
            <w:pPr>
              <w:jc w:val="center"/>
            </w:pPr>
            <w:r w:rsidRPr="00751FEC">
              <w:t>Scapula</w:t>
            </w:r>
          </w:p>
        </w:tc>
        <w:tc>
          <w:tcPr>
            <w:tcW w:w="1890" w:type="dxa"/>
            <w:tcBorders>
              <w:top w:val="single" w:sz="4" w:space="0" w:color="auto"/>
            </w:tcBorders>
            <w:shd w:val="clear" w:color="auto" w:fill="auto"/>
            <w:vAlign w:val="center"/>
          </w:tcPr>
          <w:p w14:paraId="03B2C6F0" w14:textId="77777777" w:rsidR="008A6AAC" w:rsidRPr="00751FEC" w:rsidRDefault="008A6AAC" w:rsidP="006B06C4">
            <w:pPr>
              <w:jc w:val="center"/>
            </w:pPr>
            <w:r w:rsidRPr="00751FEC">
              <w:t>Linear Elastic</w:t>
            </w:r>
          </w:p>
        </w:tc>
        <w:tc>
          <w:tcPr>
            <w:tcW w:w="2970" w:type="dxa"/>
            <w:tcBorders>
              <w:top w:val="single" w:sz="4" w:space="0" w:color="auto"/>
            </w:tcBorders>
            <w:shd w:val="clear" w:color="auto" w:fill="auto"/>
            <w:vAlign w:val="center"/>
          </w:tcPr>
          <w:p w14:paraId="7C86858E" w14:textId="77777777" w:rsidR="008A6AAC" w:rsidRPr="00751FEC" w:rsidRDefault="008A6AAC" w:rsidP="006B06C4">
            <w:pPr>
              <w:jc w:val="center"/>
            </w:pPr>
            <w:r w:rsidRPr="00751FEC">
              <w:t>E=16 GPa, ν=0.3</w:t>
            </w:r>
          </w:p>
        </w:tc>
        <w:tc>
          <w:tcPr>
            <w:tcW w:w="1260" w:type="dxa"/>
            <w:tcBorders>
              <w:top w:val="single" w:sz="4" w:space="0" w:color="auto"/>
            </w:tcBorders>
            <w:shd w:val="clear" w:color="auto" w:fill="auto"/>
            <w:vAlign w:val="center"/>
          </w:tcPr>
          <w:p w14:paraId="4FBE8FE7" w14:textId="1A3589D7" w:rsidR="008A6AAC" w:rsidRPr="00751FEC" w:rsidRDefault="008A6AAC" w:rsidP="004E5C5F">
            <w:pPr>
              <w:jc w:val="center"/>
            </w:pPr>
            <w:r>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rsidR="004E5C5F">
              <w:instrText xml:space="preserve"> ADDIN EN.CITE </w:instrText>
            </w:r>
            <w:r w:rsidR="004E5C5F">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rsidR="004E5C5F">
              <w:instrText xml:space="preserve"> ADDIN EN.CITE.DATA </w:instrText>
            </w:r>
            <w:r w:rsidR="004E5C5F">
              <w:fldChar w:fldCharType="end"/>
            </w:r>
            <w:r>
              <w:fldChar w:fldCharType="separate"/>
            </w:r>
            <w:r w:rsidR="004E5C5F">
              <w:rPr>
                <w:noProof/>
              </w:rPr>
              <w:t>[3]</w:t>
            </w:r>
            <w:r>
              <w:fldChar w:fldCharType="end"/>
            </w:r>
          </w:p>
        </w:tc>
      </w:tr>
      <w:tr w:rsidR="008A6AAC" w:rsidRPr="00751FEC" w14:paraId="78C00D79" w14:textId="77777777" w:rsidTr="00321B32">
        <w:trPr>
          <w:trHeight w:val="288"/>
        </w:trPr>
        <w:tc>
          <w:tcPr>
            <w:tcW w:w="3060" w:type="dxa"/>
            <w:shd w:val="clear" w:color="auto" w:fill="auto"/>
            <w:vAlign w:val="center"/>
          </w:tcPr>
          <w:p w14:paraId="078500A6" w14:textId="77777777" w:rsidR="008A6AAC" w:rsidRPr="00751FEC" w:rsidRDefault="008A6AAC" w:rsidP="00321B32">
            <w:pPr>
              <w:jc w:val="center"/>
            </w:pPr>
            <w:r w:rsidRPr="00751FEC">
              <w:t>Humerus (Cortical Bone)</w:t>
            </w:r>
          </w:p>
        </w:tc>
        <w:tc>
          <w:tcPr>
            <w:tcW w:w="1890" w:type="dxa"/>
            <w:shd w:val="clear" w:color="auto" w:fill="auto"/>
            <w:vAlign w:val="center"/>
          </w:tcPr>
          <w:p w14:paraId="14768D7D" w14:textId="77777777" w:rsidR="008A6AAC" w:rsidRPr="00751FEC" w:rsidRDefault="008A6AAC" w:rsidP="006B06C4">
            <w:pPr>
              <w:jc w:val="center"/>
            </w:pPr>
            <w:r w:rsidRPr="00751FEC">
              <w:t>Linear Elastic</w:t>
            </w:r>
          </w:p>
        </w:tc>
        <w:tc>
          <w:tcPr>
            <w:tcW w:w="2970" w:type="dxa"/>
            <w:shd w:val="clear" w:color="auto" w:fill="auto"/>
            <w:vAlign w:val="center"/>
          </w:tcPr>
          <w:p w14:paraId="231EBC32" w14:textId="77777777" w:rsidR="008A6AAC" w:rsidRPr="00751FEC" w:rsidRDefault="008A6AAC" w:rsidP="006B06C4">
            <w:pPr>
              <w:jc w:val="center"/>
            </w:pPr>
            <w:r w:rsidRPr="00751FEC">
              <w:t>E=12 GPa, ν=0.3</w:t>
            </w:r>
          </w:p>
        </w:tc>
        <w:tc>
          <w:tcPr>
            <w:tcW w:w="1260" w:type="dxa"/>
            <w:shd w:val="clear" w:color="auto" w:fill="auto"/>
            <w:vAlign w:val="center"/>
          </w:tcPr>
          <w:p w14:paraId="6D267E16" w14:textId="32942F31" w:rsidR="008A6AAC" w:rsidRPr="00751FEC" w:rsidRDefault="008A6AAC" w:rsidP="004E5C5F">
            <w:pPr>
              <w:jc w:val="center"/>
            </w:pPr>
            <w:r w:rsidRPr="00751FEC">
              <w:fldChar w:fldCharType="begin"/>
            </w:r>
            <w:r w:rsidR="004E5C5F">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sidR="004E5C5F">
              <w:rPr>
                <w:noProof/>
              </w:rPr>
              <w:t>[4]</w:t>
            </w:r>
            <w:r w:rsidRPr="00751FEC">
              <w:fldChar w:fldCharType="end"/>
            </w:r>
          </w:p>
        </w:tc>
      </w:tr>
      <w:tr w:rsidR="008A6AAC" w:rsidRPr="00751FEC" w14:paraId="64EDC848" w14:textId="77777777" w:rsidTr="00321B32">
        <w:trPr>
          <w:trHeight w:val="288"/>
        </w:trPr>
        <w:tc>
          <w:tcPr>
            <w:tcW w:w="3060" w:type="dxa"/>
            <w:shd w:val="clear" w:color="auto" w:fill="auto"/>
            <w:vAlign w:val="center"/>
          </w:tcPr>
          <w:p w14:paraId="7AD1C1FB" w14:textId="77777777" w:rsidR="008A6AAC" w:rsidRPr="00751FEC" w:rsidRDefault="008A6AAC" w:rsidP="00321B32">
            <w:pPr>
              <w:jc w:val="center"/>
            </w:pPr>
            <w:r w:rsidRPr="00751FEC">
              <w:t>Humerus (Cancellous Bone)</w:t>
            </w:r>
          </w:p>
        </w:tc>
        <w:tc>
          <w:tcPr>
            <w:tcW w:w="1890" w:type="dxa"/>
            <w:shd w:val="clear" w:color="auto" w:fill="auto"/>
            <w:vAlign w:val="center"/>
          </w:tcPr>
          <w:p w14:paraId="5C0BB118" w14:textId="77777777" w:rsidR="008A6AAC" w:rsidRPr="00751FEC" w:rsidRDefault="008A6AAC" w:rsidP="006B06C4">
            <w:pPr>
              <w:jc w:val="center"/>
            </w:pPr>
            <w:r w:rsidRPr="00751FEC">
              <w:t>Linear Elastic</w:t>
            </w:r>
          </w:p>
        </w:tc>
        <w:tc>
          <w:tcPr>
            <w:tcW w:w="2970" w:type="dxa"/>
            <w:shd w:val="clear" w:color="auto" w:fill="auto"/>
            <w:vAlign w:val="center"/>
          </w:tcPr>
          <w:p w14:paraId="4795C9BF" w14:textId="77777777" w:rsidR="008A6AAC" w:rsidRPr="00751FEC" w:rsidRDefault="008A6AAC" w:rsidP="006B06C4">
            <w:pPr>
              <w:jc w:val="center"/>
            </w:pPr>
            <w:r w:rsidRPr="00751FEC">
              <w:t>E=250 MPa, ν=0.3</w:t>
            </w:r>
          </w:p>
        </w:tc>
        <w:tc>
          <w:tcPr>
            <w:tcW w:w="1260" w:type="dxa"/>
            <w:shd w:val="clear" w:color="auto" w:fill="auto"/>
            <w:vAlign w:val="center"/>
          </w:tcPr>
          <w:p w14:paraId="58699108" w14:textId="0237BC77" w:rsidR="008A6AAC" w:rsidRPr="00751FEC" w:rsidRDefault="008A6AAC" w:rsidP="004E5C5F">
            <w:pPr>
              <w:jc w:val="center"/>
            </w:pPr>
            <w:r w:rsidRPr="00751FEC">
              <w:fldChar w:fldCharType="begin"/>
            </w:r>
            <w:r w:rsidR="004E5C5F">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sidR="004E5C5F">
              <w:rPr>
                <w:noProof/>
              </w:rPr>
              <w:t>[4]</w:t>
            </w:r>
            <w:r w:rsidRPr="00751FEC">
              <w:fldChar w:fldCharType="end"/>
            </w:r>
          </w:p>
        </w:tc>
      </w:tr>
      <w:tr w:rsidR="008A6AAC" w:rsidRPr="00751FEC" w14:paraId="7E2FA26B" w14:textId="77777777" w:rsidTr="00321B32">
        <w:trPr>
          <w:trHeight w:val="288"/>
        </w:trPr>
        <w:tc>
          <w:tcPr>
            <w:tcW w:w="3060" w:type="dxa"/>
            <w:shd w:val="clear" w:color="auto" w:fill="auto"/>
            <w:vAlign w:val="center"/>
          </w:tcPr>
          <w:p w14:paraId="11294CF9" w14:textId="77777777" w:rsidR="008A6AAC" w:rsidRPr="00751FEC" w:rsidRDefault="008A6AAC" w:rsidP="00321B32">
            <w:pPr>
              <w:jc w:val="center"/>
            </w:pPr>
            <w:r w:rsidRPr="00751FEC">
              <w:t>Clavicle</w:t>
            </w:r>
          </w:p>
        </w:tc>
        <w:tc>
          <w:tcPr>
            <w:tcW w:w="1890" w:type="dxa"/>
            <w:shd w:val="clear" w:color="auto" w:fill="auto"/>
            <w:vAlign w:val="center"/>
          </w:tcPr>
          <w:p w14:paraId="787AA5A0" w14:textId="77777777" w:rsidR="008A6AAC" w:rsidRPr="00751FEC" w:rsidRDefault="008A6AAC" w:rsidP="006B06C4">
            <w:pPr>
              <w:jc w:val="center"/>
            </w:pPr>
            <w:r w:rsidRPr="00751FEC">
              <w:t>Linear Elastic</w:t>
            </w:r>
          </w:p>
        </w:tc>
        <w:tc>
          <w:tcPr>
            <w:tcW w:w="2970" w:type="dxa"/>
            <w:shd w:val="clear" w:color="auto" w:fill="auto"/>
            <w:vAlign w:val="center"/>
          </w:tcPr>
          <w:p w14:paraId="1430DBAC" w14:textId="77777777" w:rsidR="008A6AAC" w:rsidRPr="00751FEC" w:rsidRDefault="008A6AAC" w:rsidP="006B06C4">
            <w:pPr>
              <w:jc w:val="center"/>
            </w:pPr>
            <w:r w:rsidRPr="00751FEC">
              <w:t>E=17 GPa, ν=0.3</w:t>
            </w:r>
          </w:p>
        </w:tc>
        <w:tc>
          <w:tcPr>
            <w:tcW w:w="1260" w:type="dxa"/>
            <w:shd w:val="clear" w:color="auto" w:fill="auto"/>
            <w:vAlign w:val="center"/>
          </w:tcPr>
          <w:p w14:paraId="3168025E" w14:textId="35319B4A" w:rsidR="008A6AAC" w:rsidRPr="00751FEC" w:rsidRDefault="008A6AAC" w:rsidP="004E5C5F">
            <w:pPr>
              <w:jc w:val="center"/>
            </w:pPr>
            <w:r w:rsidRPr="00751FEC">
              <w:fldChar w:fldCharType="begin"/>
            </w:r>
            <w:r w:rsidR="004E5C5F">
              <w:instrText xml:space="preserve"> ADDIN EN.CITE &lt;EndNote&gt;&lt;Cite&gt;&lt;Author&gt;Favre&lt;/Author&gt;&lt;Year&gt;2011&lt;/Year&gt;&lt;RecNum&gt;165&lt;/RecNum&gt;&lt;DisplayText&gt;[5]&lt;/DisplayText&gt;&lt;record&gt;&lt;rec-number&gt;165&lt;/rec-number&gt;&lt;foreign-keys&gt;&lt;key app="EN" db-id="ves5f5rrqzswsbet02lvvsdizarxt2vrdps2" timestamp="1628784836"&gt;165&lt;/key&gt;&lt;/foreign-keys&gt;&lt;ref-type name="Journal Article"&gt;17&lt;/ref-type&gt;&lt;contributors&gt;&lt;authors&gt;&lt;author&gt;Favre, P.&lt;/author&gt;&lt;author&gt;Kloen, P.&lt;/author&gt;&lt;author&gt;Helfet, D. L.&lt;/author&gt;&lt;author&gt;Werner, C. M.&lt;/author&gt;&lt;/authors&gt;&lt;/contributors&gt;&lt;auth-address&gt;Department of Orthopaedics, University of Zurich, Balgrist University Hospital, Zurich, Switzerland. pfavre@research.balgrist.ch&lt;/auth-address&gt;&lt;titles&gt;&lt;title&gt;Superior versus anteroinferior plating of the clavicle: a finite element study&lt;/title&gt;&lt;secondary-title&gt;J Orthop Trauma&lt;/secondary-title&gt;&lt;/titles&gt;&lt;pages&gt;661-5&lt;/pages&gt;&lt;volume&gt;25&lt;/volume&gt;&lt;number&gt;11&lt;/number&gt;&lt;keywords&gt;&lt;keyword&gt;Biomechanical Phenomena&lt;/keyword&gt;&lt;keyword&gt;*Bone Plates&lt;/keyword&gt;&lt;keyword&gt;Clavicle/injuries/*surgery&lt;/keyword&gt;&lt;keyword&gt;Finite Element Analysis&lt;/keyword&gt;&lt;keyword&gt;Fracture Fixation, Internal/*instrumentation/methods&lt;/keyword&gt;&lt;keyword&gt;Fractures, Bone/*surgery&lt;/keyword&gt;&lt;keyword&gt;Humans&lt;/keyword&gt;&lt;keyword&gt;Prosthesis Failure&lt;/keyword&gt;&lt;keyword&gt;Stress, Mechanical&lt;/keyword&gt;&lt;/keywords&gt;&lt;dates&gt;&lt;year&gt;2011&lt;/year&gt;&lt;pub-dates&gt;&lt;date&gt;Nov&lt;/date&gt;&lt;/pub-dates&gt;&lt;/dates&gt;&lt;isbn&gt;1531-2291 (Electronic)&amp;#xD;0890-5339 (Linking)&lt;/isbn&gt;&lt;accession-num&gt;21904229&lt;/accession-num&gt;&lt;urls&gt;&lt;related-urls&gt;&lt;url&gt;&lt;style face="underline" font="default" size="100%"&gt;https://www.ncbi.nlm.nih.gov/pubmed/21904229&lt;/style&gt;&lt;/url&gt;&lt;/related-urls&gt;&lt;/urls&gt;&lt;electronic-resource-num&gt;&lt;style face="underline" font="default" size="100%"&gt;https://doi.org/10.1097/BOT.0b013e3182143e06&lt;/style&gt;&lt;/electronic-resource-num&gt;&lt;/record&gt;&lt;/Cite&gt;&lt;/EndNote&gt;</w:instrText>
            </w:r>
            <w:r w:rsidRPr="00751FEC">
              <w:fldChar w:fldCharType="separate"/>
            </w:r>
            <w:r w:rsidR="004E5C5F">
              <w:rPr>
                <w:noProof/>
              </w:rPr>
              <w:t>[5]</w:t>
            </w:r>
            <w:r w:rsidRPr="00751FEC">
              <w:fldChar w:fldCharType="end"/>
            </w:r>
          </w:p>
        </w:tc>
      </w:tr>
      <w:tr w:rsidR="008A6AAC" w:rsidRPr="00751FEC" w14:paraId="6A3C0AE1" w14:textId="77777777" w:rsidTr="00321B32">
        <w:trPr>
          <w:trHeight w:val="288"/>
        </w:trPr>
        <w:tc>
          <w:tcPr>
            <w:tcW w:w="3060" w:type="dxa"/>
            <w:shd w:val="clear" w:color="auto" w:fill="auto"/>
            <w:vAlign w:val="center"/>
          </w:tcPr>
          <w:p w14:paraId="0476CDA6" w14:textId="77777777" w:rsidR="008A6AAC" w:rsidRPr="00751FEC" w:rsidRDefault="008A6AAC" w:rsidP="00321B32">
            <w:pPr>
              <w:jc w:val="center"/>
            </w:pPr>
            <w:r w:rsidRPr="00751FEC">
              <w:t>Glenoid</w:t>
            </w:r>
          </w:p>
        </w:tc>
        <w:tc>
          <w:tcPr>
            <w:tcW w:w="1890" w:type="dxa"/>
            <w:shd w:val="clear" w:color="auto" w:fill="auto"/>
            <w:vAlign w:val="center"/>
          </w:tcPr>
          <w:p w14:paraId="5CBC06A3" w14:textId="77777777" w:rsidR="008A6AAC" w:rsidRPr="00751FEC" w:rsidRDefault="008A6AAC" w:rsidP="006B06C4">
            <w:pPr>
              <w:jc w:val="center"/>
            </w:pPr>
            <w:r w:rsidRPr="00751FEC">
              <w:t>Linear Elastic</w:t>
            </w:r>
          </w:p>
        </w:tc>
        <w:tc>
          <w:tcPr>
            <w:tcW w:w="2970" w:type="dxa"/>
            <w:shd w:val="clear" w:color="auto" w:fill="auto"/>
            <w:vAlign w:val="center"/>
          </w:tcPr>
          <w:p w14:paraId="345770EF" w14:textId="77777777" w:rsidR="008A6AAC" w:rsidRPr="00751FEC" w:rsidRDefault="008A6AAC" w:rsidP="006B06C4">
            <w:pPr>
              <w:jc w:val="center"/>
            </w:pPr>
            <w:r w:rsidRPr="00751FEC">
              <w:t>E=1.4 GPa, ν=0.3</w:t>
            </w:r>
          </w:p>
        </w:tc>
        <w:tc>
          <w:tcPr>
            <w:tcW w:w="1260" w:type="dxa"/>
            <w:shd w:val="clear" w:color="auto" w:fill="auto"/>
            <w:vAlign w:val="center"/>
          </w:tcPr>
          <w:p w14:paraId="199452E0" w14:textId="5838CE97" w:rsidR="008A6AAC" w:rsidRPr="00751FEC" w:rsidRDefault="008A6AAC" w:rsidP="004E5C5F">
            <w:pPr>
              <w:jc w:val="center"/>
            </w:pPr>
            <w:r w:rsidRPr="00751FEC">
              <w:fldChar w:fldCharType="begin"/>
            </w:r>
            <w:r w:rsidR="004E5C5F">
              <w:instrText xml:space="preserve"> ADDIN EN.CITE &lt;EndNote&gt;&lt;Cite&gt;&lt;Author&gt;Yeh&lt;/Author&gt;&lt;Year&gt;2005&lt;/Year&gt;&lt;RecNum&gt;319&lt;/RecNum&gt;&lt;DisplayText&gt;[6]&lt;/DisplayText&gt;&lt;record&gt;&lt;rec-number&gt;319&lt;/rec-number&gt;&lt;foreign-keys&gt;&lt;key app="EN" db-id="ves5f5rrqzswsbet02lvvsdizarxt2vrdps2" timestamp="1641162269"&gt;319&lt;/key&gt;&lt;/foreign-keys&gt;&lt;ref-type name="Journal Article"&gt;17&lt;/ref-type&gt;&lt;contributors&gt;&lt;authors&gt;&lt;author&gt;Yeh, Ming-Long&lt;/author&gt;&lt;author&gt;Lintner, David&lt;/author&gt;&lt;author&gt;Luo, Zong-Ping&lt;/author&gt;&lt;/authors&gt;&lt;/contributors&gt;&lt;titles&gt;&lt;title&gt;Stress distribution in the superior labrum during throwing motion&lt;/title&gt;&lt;secondary-title&gt;The American journal of sports medicine&lt;/secondary-title&gt;&lt;/titles&gt;&lt;periodical&gt;&lt;full-title&gt;the american journal of sports medicine&lt;/full-title&gt;&lt;/periodical&gt;&lt;pages&gt;395-401&lt;/pages&gt;&lt;volume&gt;33&lt;/volume&gt;&lt;number&gt;3&lt;/number&gt;&lt;dates&gt;&lt;year&gt;2005&lt;/year&gt;&lt;/dates&gt;&lt;isbn&gt;0363-5465&lt;/isbn&gt;&lt;urls&gt;&lt;/urls&gt;&lt;electronic-resource-num&gt;&lt;style face="underline" font="default" size="100%"&gt;https://doi.org/10.1177/0363546504268404&lt;/style&gt;&lt;/electronic-resource-num&gt;&lt;/record&gt;&lt;/Cite&gt;&lt;/EndNote&gt;</w:instrText>
            </w:r>
            <w:r w:rsidRPr="00751FEC">
              <w:fldChar w:fldCharType="separate"/>
            </w:r>
            <w:r w:rsidR="004E5C5F">
              <w:rPr>
                <w:noProof/>
              </w:rPr>
              <w:t>[6]</w:t>
            </w:r>
            <w:r w:rsidRPr="00751FEC">
              <w:fldChar w:fldCharType="end"/>
            </w:r>
          </w:p>
        </w:tc>
      </w:tr>
      <w:tr w:rsidR="008A6AAC" w:rsidRPr="00751FEC" w14:paraId="46DDF2C9" w14:textId="77777777" w:rsidTr="00321B32">
        <w:trPr>
          <w:trHeight w:val="288"/>
        </w:trPr>
        <w:tc>
          <w:tcPr>
            <w:tcW w:w="3060" w:type="dxa"/>
            <w:shd w:val="clear" w:color="auto" w:fill="auto"/>
            <w:vAlign w:val="center"/>
          </w:tcPr>
          <w:p w14:paraId="1C7A39B9" w14:textId="77777777" w:rsidR="008A6AAC" w:rsidRPr="00751FEC" w:rsidRDefault="008A6AAC" w:rsidP="00321B32">
            <w:pPr>
              <w:jc w:val="center"/>
            </w:pPr>
            <w:r w:rsidRPr="00751FEC">
              <w:t>Acromioclavicular (AC) Ligament</w:t>
            </w:r>
          </w:p>
        </w:tc>
        <w:tc>
          <w:tcPr>
            <w:tcW w:w="1890" w:type="dxa"/>
            <w:shd w:val="clear" w:color="auto" w:fill="auto"/>
            <w:vAlign w:val="center"/>
          </w:tcPr>
          <w:p w14:paraId="18053BD6" w14:textId="77777777" w:rsidR="008A6AAC" w:rsidRPr="00751FEC" w:rsidRDefault="008A6AAC" w:rsidP="006B06C4">
            <w:pPr>
              <w:jc w:val="center"/>
            </w:pPr>
            <w:r w:rsidRPr="00751FEC">
              <w:t>Hyper-elastic</w:t>
            </w:r>
          </w:p>
        </w:tc>
        <w:tc>
          <w:tcPr>
            <w:tcW w:w="2970" w:type="dxa"/>
            <w:shd w:val="clear" w:color="auto" w:fill="auto"/>
            <w:vAlign w:val="center"/>
          </w:tcPr>
          <w:p w14:paraId="1BD53B1D" w14:textId="77777777" w:rsidR="008A6AAC" w:rsidRPr="00751FEC" w:rsidRDefault="008A6AAC" w:rsidP="006B06C4">
            <w:pPr>
              <w:jc w:val="center"/>
            </w:pPr>
            <w:r w:rsidRPr="00751FEC">
              <w:t>C10=1.125 MPa, D1=0.19</w:t>
            </w:r>
          </w:p>
        </w:tc>
        <w:tc>
          <w:tcPr>
            <w:tcW w:w="1260" w:type="dxa"/>
            <w:shd w:val="clear" w:color="auto" w:fill="auto"/>
            <w:vAlign w:val="center"/>
          </w:tcPr>
          <w:p w14:paraId="5E498E1E" w14:textId="73DC7374" w:rsidR="008A6AAC" w:rsidRPr="00751FEC" w:rsidRDefault="008A6AAC" w:rsidP="004E5C5F">
            <w:pPr>
              <w:jc w:val="center"/>
              <w:rPr>
                <w:noProof/>
              </w:rPr>
            </w:pPr>
            <w:r w:rsidRPr="00751FEC">
              <w:rPr>
                <w:noProof/>
              </w:rPr>
              <w:fldChar w:fldCharType="begin"/>
            </w:r>
            <w:r w:rsidR="004E5C5F">
              <w:rPr>
                <w:noProof/>
              </w:rPr>
              <w:instrText xml:space="preserve"> ADDIN EN.CITE &lt;EndNote&gt;&lt;Cite&gt;&lt;Author&gt;Sung-Woo&lt;/Author&gt;&lt;Year&gt;2004&lt;/Year&gt;&lt;RecNum&gt;166&lt;/RecNum&gt;&lt;DisplayText&gt;[7]&lt;/DisplayText&gt;&lt;record&gt;&lt;rec-number&gt;166&lt;/rec-number&gt;&lt;foreign-keys&gt;&lt;key app="EN" db-id="ves5f5rrqzswsbet02lvvsdizarxt2vrdps2" timestamp="1628785068"&gt;166&lt;/key&gt;&lt;/foreign-keys&gt;&lt;ref-type name="Journal Article"&gt;17&lt;/ref-type&gt;&lt;contributors&gt;&lt;authors&gt;&lt;author&gt;Sung-Woo, Koh&lt;/author&gt;&lt;author&gt;Cavanaugh, John M&lt;/author&gt;&lt;author&gt;Leach, James P&lt;/author&gt;&lt;author&gt;Rouhana, Stephen W&lt;/author&gt;&lt;/authors&gt;&lt;/contributors&gt;&lt;titles&gt;&lt;title&gt;Mechanical properties of the shoulder ligaments under dynamic loading&lt;/title&gt;&lt;secondary-title&gt;Stapp Car Crash Journal&lt;/secondary-title&gt;&lt;/titles&gt;&lt;periodical&gt;&lt;full-title&gt;Stapp Car Crash Journal&lt;/full-title&gt;&lt;/periodical&gt;&lt;pages&gt;125&lt;/pages&gt;&lt;volume&gt;48&lt;/volume&gt;&lt;dates&gt;&lt;year&gt;2004&lt;/year&gt;&lt;/dates&gt;&lt;isbn&gt;1532-8546&lt;/isbn&gt;&lt;urls&gt;&lt;/urls&gt;&lt;/record&gt;&lt;/Cite&gt;&lt;/EndNote&gt;</w:instrText>
            </w:r>
            <w:r w:rsidRPr="00751FEC">
              <w:rPr>
                <w:noProof/>
              </w:rPr>
              <w:fldChar w:fldCharType="separate"/>
            </w:r>
            <w:r w:rsidR="004E5C5F">
              <w:rPr>
                <w:noProof/>
              </w:rPr>
              <w:t>[7]</w:t>
            </w:r>
            <w:r w:rsidRPr="00751FEC">
              <w:rPr>
                <w:noProof/>
              </w:rPr>
              <w:fldChar w:fldCharType="end"/>
            </w:r>
          </w:p>
        </w:tc>
      </w:tr>
      <w:tr w:rsidR="008A6AAC" w:rsidRPr="00751FEC" w14:paraId="7B2CE2FF" w14:textId="77777777" w:rsidTr="00321B32">
        <w:trPr>
          <w:trHeight w:val="288"/>
        </w:trPr>
        <w:tc>
          <w:tcPr>
            <w:tcW w:w="3060" w:type="dxa"/>
            <w:shd w:val="clear" w:color="auto" w:fill="auto"/>
            <w:vAlign w:val="center"/>
          </w:tcPr>
          <w:p w14:paraId="4BB7D359" w14:textId="77777777" w:rsidR="008A6AAC" w:rsidRPr="00751FEC" w:rsidRDefault="008A6AAC" w:rsidP="00321B32">
            <w:pPr>
              <w:jc w:val="center"/>
            </w:pPr>
            <w:r w:rsidRPr="00751FEC">
              <w:t>Glenoid Cartilage</w:t>
            </w:r>
          </w:p>
        </w:tc>
        <w:tc>
          <w:tcPr>
            <w:tcW w:w="1890" w:type="dxa"/>
            <w:shd w:val="clear" w:color="auto" w:fill="auto"/>
            <w:vAlign w:val="center"/>
          </w:tcPr>
          <w:p w14:paraId="6633DE5D" w14:textId="77777777" w:rsidR="008A6AAC" w:rsidRPr="00751FEC" w:rsidRDefault="008A6AAC" w:rsidP="006B06C4">
            <w:pPr>
              <w:jc w:val="center"/>
            </w:pPr>
            <w:r w:rsidRPr="00751FEC">
              <w:t>Hyper-elastic</w:t>
            </w:r>
          </w:p>
        </w:tc>
        <w:tc>
          <w:tcPr>
            <w:tcW w:w="2970" w:type="dxa"/>
            <w:shd w:val="clear" w:color="auto" w:fill="auto"/>
            <w:vAlign w:val="center"/>
          </w:tcPr>
          <w:p w14:paraId="6EE6783D" w14:textId="77777777" w:rsidR="008A6AAC" w:rsidRPr="00751FEC" w:rsidRDefault="008A6AAC" w:rsidP="006B06C4">
            <w:pPr>
              <w:jc w:val="center"/>
            </w:pPr>
            <w:r w:rsidRPr="00751FEC">
              <w:t>C10=1.79 MPa, D1=0.12</w:t>
            </w:r>
          </w:p>
        </w:tc>
        <w:tc>
          <w:tcPr>
            <w:tcW w:w="1260" w:type="dxa"/>
            <w:shd w:val="clear" w:color="auto" w:fill="auto"/>
            <w:vAlign w:val="center"/>
          </w:tcPr>
          <w:p w14:paraId="1A9FAFED" w14:textId="17711E7B" w:rsidR="008A6AAC" w:rsidRPr="00751FEC" w:rsidRDefault="008A6AAC" w:rsidP="004E5C5F">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 </w:instrText>
            </w:r>
            <w:r w:rsidR="004E5C5F">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EN.CITE.DATA </w:instrText>
            </w:r>
            <w:r w:rsidR="004E5C5F">
              <w:fldChar w:fldCharType="end"/>
            </w:r>
            <w:r w:rsidRPr="00751FEC">
              <w:fldChar w:fldCharType="separate"/>
            </w:r>
            <w:r w:rsidR="004E5C5F">
              <w:rPr>
                <w:noProof/>
              </w:rPr>
              <w:t>[8, 9]</w:t>
            </w:r>
            <w:r w:rsidRPr="00751FEC">
              <w:fldChar w:fldCharType="end"/>
            </w:r>
          </w:p>
        </w:tc>
      </w:tr>
      <w:tr w:rsidR="008A6AAC" w:rsidRPr="00751FEC" w14:paraId="7FBAA697" w14:textId="77777777" w:rsidTr="00321B32">
        <w:trPr>
          <w:trHeight w:val="198"/>
        </w:trPr>
        <w:tc>
          <w:tcPr>
            <w:tcW w:w="3060" w:type="dxa"/>
            <w:shd w:val="clear" w:color="auto" w:fill="auto"/>
            <w:vAlign w:val="center"/>
          </w:tcPr>
          <w:p w14:paraId="040D50EB" w14:textId="77777777" w:rsidR="008A6AAC" w:rsidRPr="00751FEC" w:rsidRDefault="008A6AAC" w:rsidP="00321B32">
            <w:pPr>
              <w:jc w:val="center"/>
            </w:pPr>
            <w:r w:rsidRPr="00751FEC">
              <w:t>Humeral Cartilage</w:t>
            </w:r>
          </w:p>
        </w:tc>
        <w:tc>
          <w:tcPr>
            <w:tcW w:w="1890" w:type="dxa"/>
            <w:shd w:val="clear" w:color="auto" w:fill="auto"/>
            <w:vAlign w:val="center"/>
          </w:tcPr>
          <w:p w14:paraId="0DE5F9A7" w14:textId="77777777" w:rsidR="008A6AAC" w:rsidRPr="00751FEC" w:rsidRDefault="008A6AAC" w:rsidP="006B06C4">
            <w:pPr>
              <w:jc w:val="center"/>
            </w:pPr>
            <w:r w:rsidRPr="00751FEC">
              <w:t>Hyper-elastic</w:t>
            </w:r>
          </w:p>
        </w:tc>
        <w:tc>
          <w:tcPr>
            <w:tcW w:w="2970" w:type="dxa"/>
            <w:shd w:val="clear" w:color="auto" w:fill="auto"/>
            <w:vAlign w:val="center"/>
          </w:tcPr>
          <w:p w14:paraId="4AA72A93" w14:textId="77777777" w:rsidR="008A6AAC" w:rsidRPr="00751FEC" w:rsidRDefault="008A6AAC" w:rsidP="006B06C4">
            <w:pPr>
              <w:jc w:val="center"/>
            </w:pPr>
            <w:r w:rsidRPr="00751FEC">
              <w:t>C10=1.79 MPa, D1=0.12</w:t>
            </w:r>
          </w:p>
        </w:tc>
        <w:tc>
          <w:tcPr>
            <w:tcW w:w="1260" w:type="dxa"/>
            <w:shd w:val="clear" w:color="auto" w:fill="auto"/>
            <w:vAlign w:val="center"/>
          </w:tcPr>
          <w:p w14:paraId="0A191801" w14:textId="21BD58DF" w:rsidR="008A6AAC" w:rsidRPr="00751FEC" w:rsidRDefault="008A6AAC" w:rsidP="004E5C5F">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 </w:instrText>
            </w:r>
            <w:r w:rsidR="004E5C5F">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rsidR="004E5C5F">
              <w:instrText xml:space="preserve"> ADDIN EN.CITE.DATA </w:instrText>
            </w:r>
            <w:r w:rsidR="004E5C5F">
              <w:fldChar w:fldCharType="end"/>
            </w:r>
            <w:r w:rsidRPr="00751FEC">
              <w:fldChar w:fldCharType="separate"/>
            </w:r>
            <w:r w:rsidR="004E5C5F">
              <w:rPr>
                <w:noProof/>
              </w:rPr>
              <w:t>[8, 9]</w:t>
            </w:r>
            <w:r w:rsidRPr="00751FEC">
              <w:fldChar w:fldCharType="end"/>
            </w:r>
          </w:p>
        </w:tc>
      </w:tr>
      <w:tr w:rsidR="008A6AAC" w:rsidRPr="00751FEC" w14:paraId="31439269" w14:textId="77777777" w:rsidTr="00321B32">
        <w:trPr>
          <w:trHeight w:val="288"/>
        </w:trPr>
        <w:tc>
          <w:tcPr>
            <w:tcW w:w="3060" w:type="dxa"/>
            <w:tcBorders>
              <w:bottom w:val="single" w:sz="4" w:space="0" w:color="auto"/>
            </w:tcBorders>
            <w:shd w:val="clear" w:color="auto" w:fill="auto"/>
            <w:vAlign w:val="center"/>
          </w:tcPr>
          <w:p w14:paraId="3695F2F4" w14:textId="77777777" w:rsidR="008A6AAC" w:rsidRPr="00751FEC" w:rsidRDefault="008A6AAC" w:rsidP="00321B32">
            <w:pPr>
              <w:jc w:val="center"/>
            </w:pPr>
            <w:r w:rsidRPr="00751FEC">
              <w:br w:type="page"/>
              <w:t>Labrum</w:t>
            </w:r>
          </w:p>
        </w:tc>
        <w:tc>
          <w:tcPr>
            <w:tcW w:w="1890" w:type="dxa"/>
            <w:tcBorders>
              <w:bottom w:val="single" w:sz="4" w:space="0" w:color="auto"/>
            </w:tcBorders>
            <w:shd w:val="clear" w:color="auto" w:fill="auto"/>
            <w:vAlign w:val="center"/>
          </w:tcPr>
          <w:p w14:paraId="31965D79" w14:textId="77777777" w:rsidR="008A6AAC" w:rsidRPr="00751FEC" w:rsidRDefault="008A6AAC" w:rsidP="006B06C4">
            <w:pPr>
              <w:jc w:val="center"/>
            </w:pPr>
            <w:r w:rsidRPr="00751FEC">
              <w:t>Hyper-elastic</w:t>
            </w:r>
          </w:p>
        </w:tc>
        <w:tc>
          <w:tcPr>
            <w:tcW w:w="2970" w:type="dxa"/>
            <w:tcBorders>
              <w:bottom w:val="single" w:sz="4" w:space="0" w:color="auto"/>
            </w:tcBorders>
            <w:shd w:val="clear" w:color="auto" w:fill="auto"/>
            <w:vAlign w:val="center"/>
          </w:tcPr>
          <w:p w14:paraId="708CB4D5" w14:textId="77777777" w:rsidR="008A6AAC" w:rsidRPr="00751FEC" w:rsidRDefault="008A6AAC" w:rsidP="006B06C4">
            <w:pPr>
              <w:jc w:val="center"/>
            </w:pPr>
            <w:r w:rsidRPr="00751FEC">
              <w:t>C10=12.5 MPa, D1=0.017</w:t>
            </w:r>
          </w:p>
        </w:tc>
        <w:tc>
          <w:tcPr>
            <w:tcW w:w="1260" w:type="dxa"/>
            <w:tcBorders>
              <w:bottom w:val="single" w:sz="4" w:space="0" w:color="auto"/>
            </w:tcBorders>
            <w:shd w:val="clear" w:color="auto" w:fill="auto"/>
            <w:vAlign w:val="center"/>
          </w:tcPr>
          <w:p w14:paraId="61025353" w14:textId="4FFA79A3" w:rsidR="008A6AAC" w:rsidRPr="00751FEC" w:rsidRDefault="008A6AAC" w:rsidP="004E5C5F">
            <w:pPr>
              <w:jc w:val="center"/>
            </w:pPr>
            <w:r w:rsidRPr="00751FEC">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rsidR="004E5C5F">
              <w:instrText xml:space="preserve"> ADDIN EN.CITE </w:instrText>
            </w:r>
            <w:r w:rsidR="004E5C5F">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rsidR="004E5C5F">
              <w:instrText xml:space="preserve"> ADDIN EN.CITE.DATA </w:instrText>
            </w:r>
            <w:r w:rsidR="004E5C5F">
              <w:fldChar w:fldCharType="end"/>
            </w:r>
            <w:r w:rsidRPr="00751FEC">
              <w:fldChar w:fldCharType="separate"/>
            </w:r>
            <w:r w:rsidR="004E5C5F">
              <w:rPr>
                <w:noProof/>
              </w:rPr>
              <w:t>[10]</w:t>
            </w:r>
            <w:r w:rsidRPr="00751FEC">
              <w:fldChar w:fldCharType="end"/>
            </w:r>
          </w:p>
        </w:tc>
      </w:tr>
    </w:tbl>
    <w:p w14:paraId="5AA92C6E" w14:textId="77777777" w:rsidR="009D73B1" w:rsidRDefault="009D73B1" w:rsidP="0044407C">
      <w:pPr>
        <w:spacing w:before="240" w:after="0" w:line="240" w:lineRule="auto"/>
        <w:jc w:val="both"/>
        <w:rPr>
          <w:b/>
          <w:bCs/>
        </w:rPr>
      </w:pPr>
      <w:r w:rsidRPr="009D73B1">
        <w:rPr>
          <w:b/>
          <w:bCs/>
        </w:rPr>
        <w:t>Interactions</w:t>
      </w:r>
    </w:p>
    <w:p w14:paraId="63589D2D" w14:textId="24EBA00F" w:rsidR="005A0C66" w:rsidRPr="002B5CE1" w:rsidRDefault="00321B32" w:rsidP="0044407C">
      <w:pPr>
        <w:spacing w:after="0" w:line="240" w:lineRule="auto"/>
        <w:jc w:val="both"/>
      </w:pPr>
      <w:r>
        <w:t>S</w:t>
      </w:r>
      <w:r w:rsidR="002B5CE1">
        <w:t>urface-to-surface interaction</w:t>
      </w:r>
      <w:r w:rsidR="00C93181">
        <w:t>s</w:t>
      </w:r>
      <w:r w:rsidR="002B5CE1">
        <w:t xml:space="preserve"> </w:t>
      </w:r>
      <w:r w:rsidR="00C60A84">
        <w:t xml:space="preserve">with finite sliding </w:t>
      </w:r>
      <w:r w:rsidR="00C93181">
        <w:t xml:space="preserve">(tangential behavior: penalty, </w:t>
      </w:r>
      <w:r w:rsidR="002B5CE1">
        <w:t>coefficient of friction</w:t>
      </w:r>
      <w:r w:rsidR="00C93181">
        <w:t>=</w:t>
      </w:r>
      <w:r w:rsidR="002B5CE1">
        <w:t>0.01</w:t>
      </w:r>
      <w:r w:rsidR="00C93181">
        <w:t xml:space="preserve">, normal behavior: “Hard” contact pressure-overclosure) were </w:t>
      </w:r>
      <w:r w:rsidR="002B5CE1">
        <w:t xml:space="preserve">applied to the contacts between humeral and glenoid cartilages and between humeral cartilage and labrum. Tie </w:t>
      </w:r>
      <w:r w:rsidR="0040506E">
        <w:t>constraints</w:t>
      </w:r>
      <w:r w:rsidR="002B5CE1">
        <w:t xml:space="preserve"> were </w:t>
      </w:r>
      <w:r w:rsidR="002B5CE1">
        <w:lastRenderedPageBreak/>
        <w:t xml:space="preserve">used for connecting humeral </w:t>
      </w:r>
      <w:r w:rsidR="00230ADC">
        <w:t>cartilage to the humeral head bone, glenoid cartilage</w:t>
      </w:r>
      <w:r w:rsidR="002B5CE1">
        <w:t xml:space="preserve"> to the glenoid </w:t>
      </w:r>
      <w:r w:rsidR="00230ADC">
        <w:t>bone</w:t>
      </w:r>
      <w:r w:rsidR="0040506E">
        <w:t>,</w:t>
      </w:r>
      <w:r w:rsidR="002B5CE1">
        <w:t xml:space="preserve"> </w:t>
      </w:r>
      <w:r w:rsidR="00230ADC">
        <w:t xml:space="preserve">and the ends of </w:t>
      </w:r>
      <w:r w:rsidR="00A4663A">
        <w:t xml:space="preserve">the </w:t>
      </w:r>
      <w:r w:rsidR="00230ADC">
        <w:t>acromioclavicular ligament to the clavicle and acromion.</w:t>
      </w:r>
    </w:p>
    <w:p w14:paraId="271A697B" w14:textId="77777777" w:rsidR="009D73B1" w:rsidRDefault="009D73B1" w:rsidP="0044407C">
      <w:pPr>
        <w:spacing w:before="240" w:after="0" w:line="240" w:lineRule="auto"/>
        <w:jc w:val="both"/>
        <w:rPr>
          <w:b/>
          <w:bCs/>
        </w:rPr>
      </w:pPr>
      <w:r>
        <w:rPr>
          <w:b/>
          <w:bCs/>
        </w:rPr>
        <w:t xml:space="preserve">Steps, </w:t>
      </w:r>
      <w:r w:rsidRPr="009D73B1">
        <w:rPr>
          <w:b/>
          <w:bCs/>
        </w:rPr>
        <w:t>Loads</w:t>
      </w:r>
      <w:r>
        <w:rPr>
          <w:b/>
          <w:bCs/>
        </w:rPr>
        <w:t xml:space="preserve">, and </w:t>
      </w:r>
      <w:r w:rsidRPr="009D73B1">
        <w:rPr>
          <w:b/>
          <w:bCs/>
        </w:rPr>
        <w:t>Boundary Conditions</w:t>
      </w:r>
    </w:p>
    <w:p w14:paraId="5992A0D9" w14:textId="75AF2BE0" w:rsidR="005A0C66" w:rsidRDefault="005A0C66" w:rsidP="0044407C">
      <w:pPr>
        <w:spacing w:after="0" w:line="240" w:lineRule="auto"/>
        <w:jc w:val="both"/>
      </w:pPr>
      <w:r w:rsidRPr="005A0C66">
        <w:t>The model consists of two</w:t>
      </w:r>
      <w:r w:rsidR="00397232">
        <w:t xml:space="preserve"> Dynamic, Explicit</w:t>
      </w:r>
      <w:r w:rsidRPr="005A0C66">
        <w:t xml:space="preserve"> steps. </w:t>
      </w:r>
      <w:r w:rsidR="00321B32">
        <w:t>I</w:t>
      </w:r>
      <w:r w:rsidR="00CC1879" w:rsidRPr="005A0C66">
        <w:t xml:space="preserve">n </w:t>
      </w:r>
      <w:r w:rsidRPr="005A0C66">
        <w:t>the first step, a compressive displacement boundary condition</w:t>
      </w:r>
      <w:r w:rsidR="00397232">
        <w:t xml:space="preserve"> (BC)</w:t>
      </w:r>
      <w:r w:rsidRPr="005A0C66">
        <w:t xml:space="preserve"> </w:t>
      </w:r>
      <w:r w:rsidR="00AF1DF4">
        <w:t xml:space="preserve">of 0.8 mm </w:t>
      </w:r>
      <w:r w:rsidRPr="005A0C66">
        <w:t xml:space="preserve">was applied </w:t>
      </w:r>
      <w:r w:rsidR="00AF1DF4">
        <w:t xml:space="preserve">in the </w:t>
      </w:r>
      <w:r w:rsidR="003A5932">
        <w:t>z</w:t>
      </w:r>
      <w:r w:rsidR="00AF1DF4">
        <w:t xml:space="preserve"> direction of the glenohumeral joint axis (LOADAXIS) </w:t>
      </w:r>
      <w:r w:rsidRPr="005A0C66">
        <w:t>to bring the</w:t>
      </w:r>
      <w:r w:rsidR="006A5E64">
        <w:t xml:space="preserve"> humeral and glenoid</w:t>
      </w:r>
      <w:r w:rsidRPr="005A0C66">
        <w:t xml:space="preserve"> cartilages in contact. </w:t>
      </w:r>
      <w:r w:rsidR="00397232">
        <w:t>In the second step</w:t>
      </w:r>
      <w:r w:rsidR="003D4CC7">
        <w:t>,</w:t>
      </w:r>
      <w:r w:rsidR="00397232">
        <w:t xml:space="preserve"> </w:t>
      </w:r>
      <w:r w:rsidR="007F4E78">
        <w:t>100</w:t>
      </w:r>
      <w:r w:rsidR="007F4E78" w:rsidRPr="007F4E78">
        <w:rPr>
          <w:vertAlign w:val="superscript"/>
        </w:rPr>
        <w:t>о</w:t>
      </w:r>
      <w:r w:rsidR="007F4E78">
        <w:t xml:space="preserve"> abduction </w:t>
      </w:r>
      <w:r w:rsidR="00F866E2">
        <w:t xml:space="preserve">rotational BC </w:t>
      </w:r>
      <w:r w:rsidR="007F4E78">
        <w:t>was applied</w:t>
      </w:r>
      <w:r w:rsidR="00F866E2">
        <w:t xml:space="preserve"> over</w:t>
      </w:r>
      <w:r w:rsidR="00321B32">
        <w:t xml:space="preserve"> the</w:t>
      </w:r>
      <w:r w:rsidR="00F866E2">
        <w:t xml:space="preserve"> y axis of the LOADAXIS coordinate system</w:t>
      </w:r>
      <w:r w:rsidR="00397232">
        <w:t xml:space="preserve">. Other degrees of freedom in the model were fixed. Muscle forces were also applied in the second step via connector </w:t>
      </w:r>
      <w:r w:rsidR="00E15287">
        <w:t>force</w:t>
      </w:r>
      <w:r w:rsidR="00397232">
        <w:t xml:space="preserve"> with amplitudes from the literature. </w:t>
      </w:r>
      <w:r w:rsidR="00CC1879">
        <w:t xml:space="preserve">The abduction was </w:t>
      </w:r>
      <w:r w:rsidR="00D31E65">
        <w:t>used</w:t>
      </w:r>
      <w:r w:rsidR="00CC1879">
        <w:t xml:space="preserve"> to validate the model outputs against in vivo experiments </w:t>
      </w:r>
      <w:r w:rsidR="00CC1879">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rsidR="00F866E2">
        <w:instrText xml:space="preserve"> ADDIN EN.CITE </w:instrText>
      </w:r>
      <w:r w:rsidR="00F866E2">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rsidR="00F866E2">
        <w:instrText xml:space="preserve"> ADDIN EN.CITE.DATA </w:instrText>
      </w:r>
      <w:r w:rsidR="00F866E2">
        <w:fldChar w:fldCharType="end"/>
      </w:r>
      <w:r w:rsidR="00CC1879">
        <w:fldChar w:fldCharType="separate"/>
      </w:r>
      <w:r w:rsidR="00F866E2">
        <w:rPr>
          <w:noProof/>
        </w:rPr>
        <w:t>[11, 12]</w:t>
      </w:r>
      <w:r w:rsidR="00CC1879">
        <w:fldChar w:fldCharType="end"/>
      </w:r>
      <w:r w:rsidR="00CC1879">
        <w:t xml:space="preserve"> and compare with other </w:t>
      </w:r>
      <w:r w:rsidR="00D31E65">
        <w:t>simulations</w:t>
      </w:r>
      <w:r w:rsidR="00CC1879">
        <w:t xml:space="preserve"> </w:t>
      </w:r>
      <w:r w:rsidR="00CC1879">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sidR="00F866E2">
        <w:rPr>
          <w:color w:val="000000"/>
        </w:rPr>
        <w:instrText xml:space="preserve"> ADDIN EN.CITE </w:instrText>
      </w:r>
      <w:r w:rsidR="00F866E2">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sidR="00F866E2">
        <w:rPr>
          <w:color w:val="000000"/>
        </w:rPr>
        <w:instrText xml:space="preserve"> ADDIN EN.CITE.DATA </w:instrText>
      </w:r>
      <w:r w:rsidR="00F866E2">
        <w:rPr>
          <w:color w:val="000000"/>
        </w:rPr>
      </w:r>
      <w:r w:rsidR="00F866E2">
        <w:rPr>
          <w:color w:val="000000"/>
        </w:rPr>
        <w:fldChar w:fldCharType="end"/>
      </w:r>
      <w:r w:rsidR="00CC1879">
        <w:rPr>
          <w:color w:val="000000"/>
        </w:rPr>
      </w:r>
      <w:r w:rsidR="00CC1879">
        <w:rPr>
          <w:color w:val="000000"/>
        </w:rPr>
        <w:fldChar w:fldCharType="separate"/>
      </w:r>
      <w:r w:rsidR="00F866E2">
        <w:rPr>
          <w:noProof/>
          <w:color w:val="000000"/>
        </w:rPr>
        <w:t>[13-17]</w:t>
      </w:r>
      <w:r w:rsidR="00CC1879">
        <w:rPr>
          <w:color w:val="000000"/>
        </w:rPr>
        <w:fldChar w:fldCharType="end"/>
      </w:r>
      <w:r w:rsidR="00CC1879">
        <w:rPr>
          <w:color w:val="000000"/>
        </w:rPr>
        <w:t xml:space="preserve"> </w:t>
      </w:r>
      <w:r w:rsidR="00D31E65">
        <w:t>which modeled</w:t>
      </w:r>
      <w:r w:rsidR="00CC1879">
        <w:t xml:space="preserve"> abduction. </w:t>
      </w:r>
    </w:p>
    <w:p w14:paraId="0B596C1B" w14:textId="6EFD2B3D" w:rsidR="00547A35" w:rsidRDefault="00547A35" w:rsidP="0044407C">
      <w:pPr>
        <w:spacing w:before="240" w:after="0" w:line="240" w:lineRule="auto"/>
        <w:jc w:val="both"/>
        <w:rPr>
          <w:b/>
          <w:bCs/>
        </w:rPr>
      </w:pPr>
      <w:r>
        <w:rPr>
          <w:b/>
          <w:bCs/>
        </w:rPr>
        <w:t>Mass Scaling</w:t>
      </w:r>
    </w:p>
    <w:p w14:paraId="0094FEBC" w14:textId="633AB13A" w:rsidR="00547A35" w:rsidRPr="00817773" w:rsidRDefault="00547A35" w:rsidP="0044407C">
      <w:pPr>
        <w:spacing w:after="0" w:line="240" w:lineRule="auto"/>
      </w:pPr>
      <w:r>
        <w:t xml:space="preserve">Mass scaling </w:t>
      </w:r>
      <w:r w:rsidR="00D31E65">
        <w:t>may be used</w:t>
      </w:r>
      <w:r>
        <w:t xml:space="preserve"> in </w:t>
      </w:r>
      <w:r w:rsidR="00C5364C">
        <w:t>Abaqus/</w:t>
      </w:r>
      <w:r>
        <w:t>Explicit analyses to increase computational efficiency</w:t>
      </w:r>
      <w:r w:rsidR="00247869">
        <w:t xml:space="preserve"> with the potential consequence of decreased accuracy</w:t>
      </w:r>
      <w:r>
        <w:t xml:space="preserve">. </w:t>
      </w:r>
      <w:r w:rsidR="00247869">
        <w:t>T</w:t>
      </w:r>
      <w:r w:rsidR="00C5364C">
        <w:t>o choose a proper mass scaling for</w:t>
      </w:r>
      <w:r>
        <w:t xml:space="preserve"> this model, the energy outputs were monitored </w:t>
      </w:r>
      <w:r w:rsidR="00E13F45">
        <w:t>to make sure they satisfy the energy balance criteria mentioned in the Abaqus documentation</w:t>
      </w:r>
      <w:r w:rsidR="00086974">
        <w:t xml:space="preserve"> (</w:t>
      </w:r>
      <w:r w:rsidR="00EB5F63">
        <w:t>Abaqus 6.14 user</w:t>
      </w:r>
      <w:r w:rsidR="00C5364C">
        <w:t xml:space="preserve"> </w:t>
      </w:r>
      <w:r w:rsidR="00EB5F63">
        <w:t>manual, sec. 6.3.3</w:t>
      </w:r>
      <w:r w:rsidR="00086974">
        <w:t>)</w:t>
      </w:r>
      <w:r w:rsidR="00E13F45">
        <w:t xml:space="preserve">. </w:t>
      </w:r>
    </w:p>
    <w:p w14:paraId="5B306737" w14:textId="6AF4A0A3" w:rsidR="00317557" w:rsidRDefault="00317557" w:rsidP="0044407C">
      <w:pPr>
        <w:spacing w:before="240" w:after="0" w:line="240" w:lineRule="auto"/>
        <w:jc w:val="both"/>
        <w:rPr>
          <w:b/>
          <w:bCs/>
        </w:rPr>
      </w:pPr>
      <w:r w:rsidRPr="00317557">
        <w:rPr>
          <w:b/>
          <w:bCs/>
        </w:rPr>
        <w:t>Outputs</w:t>
      </w:r>
    </w:p>
    <w:p w14:paraId="45C3907D" w14:textId="3F7020D8" w:rsidR="00317557" w:rsidRDefault="00317557" w:rsidP="0044407C">
      <w:pPr>
        <w:spacing w:after="0" w:line="240" w:lineRule="auto"/>
        <w:jc w:val="both"/>
      </w:pPr>
      <w:r w:rsidRPr="00317557">
        <w:t xml:space="preserve">The main output of the model </w:t>
      </w:r>
      <w:r w:rsidR="00E60105">
        <w:t>is</w:t>
      </w:r>
      <w:r w:rsidR="00E60105" w:rsidRPr="00317557">
        <w:t xml:space="preserve"> </w:t>
      </w:r>
      <w:r w:rsidRPr="00317557">
        <w:t xml:space="preserve">glenohumeral contact force. However, other outputs such as stress, strain, contact area, and contact pressure can </w:t>
      </w:r>
      <w:r w:rsidR="00512AC3">
        <w:t xml:space="preserve">also </w:t>
      </w:r>
      <w:r w:rsidRPr="00317557">
        <w:t xml:space="preserve">be extracted from the model. </w:t>
      </w:r>
    </w:p>
    <w:p w14:paraId="4FEAE66C" w14:textId="202181B4" w:rsidR="00E60105" w:rsidRPr="00547A35" w:rsidRDefault="00E60105" w:rsidP="0044407C">
      <w:pPr>
        <w:spacing w:before="240" w:after="0" w:line="240" w:lineRule="auto"/>
        <w:jc w:val="both"/>
        <w:rPr>
          <w:b/>
          <w:bCs/>
        </w:rPr>
      </w:pPr>
      <w:r w:rsidRPr="00547A35">
        <w:rPr>
          <w:b/>
          <w:bCs/>
        </w:rPr>
        <w:t>Verification</w:t>
      </w:r>
    </w:p>
    <w:p w14:paraId="4079AA16" w14:textId="218C723B" w:rsidR="00E60105" w:rsidRDefault="00E60105" w:rsidP="0044407C">
      <w:pPr>
        <w:spacing w:after="0" w:line="240" w:lineRule="auto"/>
        <w:jc w:val="both"/>
      </w:pPr>
      <w:r>
        <w:t>Simulation outputs are provided</w:t>
      </w:r>
      <w:r w:rsidR="00817773">
        <w:t xml:space="preserve"> in the added spreadsheet</w:t>
      </w:r>
      <w:r>
        <w:t>. Users are encouraged to compare these outputs to those generated on their software/hardware.</w:t>
      </w:r>
    </w:p>
    <w:p w14:paraId="4B69F3AA" w14:textId="6B5B7EDA" w:rsidR="00C758FE" w:rsidRDefault="00C758FE" w:rsidP="0044407C">
      <w:pPr>
        <w:spacing w:before="240" w:after="0" w:line="240" w:lineRule="auto"/>
        <w:jc w:val="both"/>
        <w:rPr>
          <w:b/>
          <w:bCs/>
        </w:rPr>
      </w:pPr>
      <w:r w:rsidRPr="00C758FE">
        <w:rPr>
          <w:b/>
          <w:bCs/>
        </w:rPr>
        <w:t>Runtime</w:t>
      </w:r>
    </w:p>
    <w:p w14:paraId="65969EA1" w14:textId="2407035F" w:rsidR="00C758FE" w:rsidRDefault="00C758FE" w:rsidP="0044407C">
      <w:pPr>
        <w:spacing w:after="0" w:line="240" w:lineRule="auto"/>
        <w:jc w:val="both"/>
      </w:pPr>
      <w:r w:rsidRPr="00C758FE">
        <w:t xml:space="preserve">The time for the simulation to complete was </w:t>
      </w:r>
      <w:r>
        <w:t xml:space="preserve">approximately 15, </w:t>
      </w:r>
      <w:r w:rsidR="0092585D">
        <w:t>17</w:t>
      </w:r>
      <w:r w:rsidR="00C33940">
        <w:t>.5</w:t>
      </w:r>
      <w:r w:rsidR="0092585D">
        <w:t xml:space="preserve">, </w:t>
      </w:r>
      <w:r>
        <w:t xml:space="preserve">22, </w:t>
      </w:r>
      <w:r w:rsidR="0092585D">
        <w:t xml:space="preserve">and </w:t>
      </w:r>
      <w:r>
        <w:t xml:space="preserve">23 </w:t>
      </w:r>
      <w:r w:rsidRPr="00C758FE">
        <w:t xml:space="preserve">hours for </w:t>
      </w:r>
      <w:r>
        <w:t xml:space="preserve">84cpus-single precision, </w:t>
      </w:r>
      <w:r w:rsidR="0092585D">
        <w:t xml:space="preserve">8cpus-single precision, </w:t>
      </w:r>
      <w:r>
        <w:t>84cpus-double precision analysis</w:t>
      </w:r>
      <w:r w:rsidRPr="00C758FE">
        <w:t>,</w:t>
      </w:r>
      <w:r>
        <w:t xml:space="preserve"> </w:t>
      </w:r>
      <w:r w:rsidR="00E01F89">
        <w:t xml:space="preserve">and </w:t>
      </w:r>
      <w:r>
        <w:t>84cpus-</w:t>
      </w:r>
      <w:r w:rsidR="0092585D">
        <w:t>double</w:t>
      </w:r>
      <w:r>
        <w:t xml:space="preserve"> precision analysis </w:t>
      </w:r>
      <w:r w:rsidR="00283BD0">
        <w:t xml:space="preserve">and </w:t>
      </w:r>
      <w:r>
        <w:t xml:space="preserve">packager, </w:t>
      </w:r>
      <w:r w:rsidRPr="00C758FE">
        <w:t>respectively</w:t>
      </w:r>
      <w:r w:rsidR="0092585D">
        <w:t xml:space="preserve">. </w:t>
      </w:r>
    </w:p>
    <w:p w14:paraId="7B5ACDF7" w14:textId="5AA0E644" w:rsidR="00283BD0" w:rsidRPr="00547A35" w:rsidRDefault="00283BD0" w:rsidP="0044407C">
      <w:pPr>
        <w:spacing w:before="240" w:after="0" w:line="240" w:lineRule="auto"/>
        <w:jc w:val="both"/>
        <w:rPr>
          <w:b/>
          <w:bCs/>
        </w:rPr>
      </w:pPr>
      <w:r w:rsidRPr="00547A35">
        <w:rPr>
          <w:b/>
          <w:bCs/>
        </w:rPr>
        <w:t>Additional Information</w:t>
      </w:r>
    </w:p>
    <w:p w14:paraId="2627586C" w14:textId="4AFDDF6A" w:rsidR="00EA0563" w:rsidRDefault="00283BD0" w:rsidP="0044407C">
      <w:pPr>
        <w:spacing w:after="0" w:line="240" w:lineRule="auto"/>
        <w:jc w:val="both"/>
      </w:pPr>
      <w:r>
        <w:t>Full details on the development of this model are published</w:t>
      </w:r>
      <w:r w:rsidR="00C32569">
        <w:t xml:space="preserve"> in Annals of Biomedical Engineering: </w:t>
      </w:r>
      <w:hyperlink r:id="rId7" w:history="1">
        <w:r w:rsidR="00C32569" w:rsidRPr="00EA37A7">
          <w:rPr>
            <w:rStyle w:val="Hyperlink"/>
          </w:rPr>
          <w:t>https://link.springer.com/article/10.1007/s10439-022-03018-8</w:t>
        </w:r>
      </w:hyperlink>
      <w:r w:rsidR="00C32569">
        <w:t xml:space="preserve">. </w:t>
      </w:r>
    </w:p>
    <w:p w14:paraId="67700564" w14:textId="77777777" w:rsidR="00EA0563" w:rsidRDefault="00EA0563" w:rsidP="0044407C">
      <w:pPr>
        <w:spacing w:after="0" w:line="240" w:lineRule="auto"/>
        <w:jc w:val="both"/>
      </w:pPr>
    </w:p>
    <w:p w14:paraId="0545F512" w14:textId="4E77DD42" w:rsidR="002E0DBC" w:rsidRDefault="002E0DBC" w:rsidP="0044407C">
      <w:pPr>
        <w:spacing w:after="0" w:line="240" w:lineRule="auto"/>
        <w:jc w:val="both"/>
      </w:pPr>
      <w:r>
        <w:br w:type="page"/>
      </w:r>
    </w:p>
    <w:p w14:paraId="377EDD2F" w14:textId="6479DC25" w:rsidR="008A6AAC" w:rsidRPr="0044407C" w:rsidRDefault="002E0DBC" w:rsidP="0044407C">
      <w:pPr>
        <w:spacing w:after="0" w:line="240" w:lineRule="auto"/>
        <w:jc w:val="both"/>
        <w:rPr>
          <w:b/>
          <w:bCs/>
        </w:rPr>
      </w:pPr>
      <w:r w:rsidRPr="002E0DBC">
        <w:rPr>
          <w:b/>
          <w:bCs/>
        </w:rPr>
        <w:lastRenderedPageBreak/>
        <w:t>References</w:t>
      </w:r>
    </w:p>
    <w:p w14:paraId="18A825EE" w14:textId="77777777" w:rsidR="00F866E2" w:rsidRPr="00F866E2" w:rsidRDefault="008A6AAC" w:rsidP="0044407C">
      <w:pPr>
        <w:pStyle w:val="EndNoteBibliography"/>
        <w:spacing w:after="0"/>
        <w:ind w:left="720" w:hanging="720"/>
      </w:pPr>
      <w:r>
        <w:fldChar w:fldCharType="begin"/>
      </w:r>
      <w:r>
        <w:instrText xml:space="preserve"> ADDIN EN.REFLIST </w:instrText>
      </w:r>
      <w:r>
        <w:fldChar w:fldCharType="separate"/>
      </w:r>
      <w:r w:rsidR="00F866E2" w:rsidRPr="00F866E2">
        <w:t>[1]</w:t>
      </w:r>
      <w:r w:rsidR="00F866E2" w:rsidRPr="00F866E2">
        <w:tab/>
        <w:t>J. A. Fox</w:t>
      </w:r>
      <w:r w:rsidR="00F866E2" w:rsidRPr="00F866E2">
        <w:rPr>
          <w:i/>
        </w:rPr>
        <w:t xml:space="preserve"> et al.</w:t>
      </w:r>
      <w:r w:rsidR="00F866E2" w:rsidRPr="00F866E2">
        <w:t xml:space="preserve">, "Articular cartilage thickness of the humeral head: an anatomic study," </w:t>
      </w:r>
      <w:r w:rsidR="00F866E2" w:rsidRPr="00F866E2">
        <w:rPr>
          <w:i/>
        </w:rPr>
        <w:t xml:space="preserve">Orthopedics, </w:t>
      </w:r>
      <w:r w:rsidR="00F866E2" w:rsidRPr="00F866E2">
        <w:t>vol. 31, no. 3, p. 216, Mar 2008.</w:t>
      </w:r>
    </w:p>
    <w:p w14:paraId="733F2F1D" w14:textId="77777777" w:rsidR="00F866E2" w:rsidRPr="00F866E2" w:rsidRDefault="00F866E2" w:rsidP="0044407C">
      <w:pPr>
        <w:pStyle w:val="EndNoteBibliography"/>
        <w:spacing w:after="0"/>
        <w:ind w:left="720" w:hanging="720"/>
      </w:pPr>
      <w:r w:rsidRPr="00F866E2">
        <w:t>[2]</w:t>
      </w:r>
      <w:r w:rsidRPr="00F866E2">
        <w:tab/>
        <w:t xml:space="preserve">C. Schleich, B. Bittersohl, G. Antoch, R. Krauspe, C. Zilkens, and J. Kircher, "Thickness Distribution of Glenohumeral Joint Cartilage: A Normal Value Study on Asymptomatic Volunteers Using 3-Tesla Magnetic Resonance Tomography," (in English), </w:t>
      </w:r>
      <w:r w:rsidRPr="00F866E2">
        <w:rPr>
          <w:i/>
        </w:rPr>
        <w:t xml:space="preserve">Cartilage, </w:t>
      </w:r>
      <w:r w:rsidRPr="00F866E2">
        <w:t>vol. 8, no. 2, pp. 105-111, Apr 2017.</w:t>
      </w:r>
    </w:p>
    <w:p w14:paraId="7FD4B711" w14:textId="77777777" w:rsidR="00F866E2" w:rsidRPr="00F866E2" w:rsidRDefault="00F866E2" w:rsidP="0044407C">
      <w:pPr>
        <w:pStyle w:val="EndNoteBibliography"/>
        <w:spacing w:after="0"/>
        <w:ind w:left="720" w:hanging="720"/>
      </w:pPr>
      <w:r w:rsidRPr="00F866E2">
        <w:t>[3]</w:t>
      </w:r>
      <w:r w:rsidRPr="00F866E2">
        <w:tab/>
        <w:t xml:space="preserve">B. Couteau, P. Mansat, E. Estivalezes, R. Darmana, M. Mansat, and J. Egan, "Finite element analysis of the mechanical behavior of a scapula implanted with a glenoid prosthesis," </w:t>
      </w:r>
      <w:r w:rsidRPr="00F866E2">
        <w:rPr>
          <w:i/>
        </w:rPr>
        <w:t xml:space="preserve">Clin Biomech (Bristol, Avon), </w:t>
      </w:r>
      <w:r w:rsidRPr="00F866E2">
        <w:t>vol. 16, no. 7, pp. 566-75, Aug 2001.</w:t>
      </w:r>
    </w:p>
    <w:p w14:paraId="1E885990" w14:textId="77777777" w:rsidR="00F866E2" w:rsidRPr="00F866E2" w:rsidRDefault="00F866E2" w:rsidP="0044407C">
      <w:pPr>
        <w:pStyle w:val="EndNoteBibliography"/>
        <w:spacing w:after="0"/>
        <w:ind w:left="720" w:hanging="720"/>
      </w:pPr>
      <w:r w:rsidRPr="00F866E2">
        <w:t>[4]</w:t>
      </w:r>
      <w:r w:rsidRPr="00F866E2">
        <w:tab/>
        <w:t xml:space="preserve">P. Clavert, M. Zerah, J. Krier, P. Mille, J. F. Kempf, and J. L. Kahn, "Finite element analysis of the strain distribution in the humeral head tubercles during abduction: comparison of young and osteoporotic bone," </w:t>
      </w:r>
      <w:r w:rsidRPr="00F866E2">
        <w:rPr>
          <w:i/>
        </w:rPr>
        <w:t xml:space="preserve">Surg Radiol Anat, </w:t>
      </w:r>
      <w:r w:rsidRPr="00F866E2">
        <w:t>vol. 28, no. 6, pp. 581-7, Dec 2006.</w:t>
      </w:r>
    </w:p>
    <w:p w14:paraId="18774BE3" w14:textId="77777777" w:rsidR="00F866E2" w:rsidRPr="00F866E2" w:rsidRDefault="00F866E2" w:rsidP="0044407C">
      <w:pPr>
        <w:pStyle w:val="EndNoteBibliography"/>
        <w:spacing w:after="0"/>
        <w:ind w:left="720" w:hanging="720"/>
      </w:pPr>
      <w:r w:rsidRPr="00F866E2">
        <w:t>[5]</w:t>
      </w:r>
      <w:r w:rsidRPr="00F866E2">
        <w:tab/>
        <w:t xml:space="preserve">P. Favre, P. Kloen, D. L. Helfet, and C. M. Werner, "Superior versus anteroinferior plating of the clavicle: a finite element study," </w:t>
      </w:r>
      <w:r w:rsidRPr="00F866E2">
        <w:rPr>
          <w:i/>
        </w:rPr>
        <w:t xml:space="preserve">J Orthop Trauma, </w:t>
      </w:r>
      <w:r w:rsidRPr="00F866E2">
        <w:t>vol. 25, no. 11, pp. 661-5, Nov 2011.</w:t>
      </w:r>
    </w:p>
    <w:p w14:paraId="31FD2AF9" w14:textId="77777777" w:rsidR="00F866E2" w:rsidRPr="00F866E2" w:rsidRDefault="00F866E2" w:rsidP="0044407C">
      <w:pPr>
        <w:pStyle w:val="EndNoteBibliography"/>
        <w:spacing w:after="0"/>
        <w:ind w:left="720" w:hanging="720"/>
      </w:pPr>
      <w:r w:rsidRPr="00F866E2">
        <w:t>[6]</w:t>
      </w:r>
      <w:r w:rsidRPr="00F866E2">
        <w:tab/>
        <w:t xml:space="preserve">M.-L. Yeh, D. Lintner, and Z.-P. Luo, "Stress distribution in the superior labrum during throwing motion," </w:t>
      </w:r>
      <w:r w:rsidRPr="00F866E2">
        <w:rPr>
          <w:i/>
        </w:rPr>
        <w:t xml:space="preserve">The American journal of sports medicine, </w:t>
      </w:r>
      <w:r w:rsidRPr="00F866E2">
        <w:t>vol. 33, no. 3, pp. 395-401, 2005.</w:t>
      </w:r>
    </w:p>
    <w:p w14:paraId="6833A0DF" w14:textId="77777777" w:rsidR="00F866E2" w:rsidRPr="00F866E2" w:rsidRDefault="00F866E2" w:rsidP="0044407C">
      <w:pPr>
        <w:pStyle w:val="EndNoteBibliography"/>
        <w:spacing w:after="0"/>
        <w:ind w:left="720" w:hanging="720"/>
      </w:pPr>
      <w:r w:rsidRPr="00F866E2">
        <w:t>[7]</w:t>
      </w:r>
      <w:r w:rsidRPr="00F866E2">
        <w:tab/>
        <w:t xml:space="preserve">K. Sung-Woo, J. M. Cavanaugh, J. P. Leach, and S. W. Rouhana, "Mechanical properties of the shoulder ligaments under dynamic loading," </w:t>
      </w:r>
      <w:r w:rsidRPr="00F866E2">
        <w:rPr>
          <w:i/>
        </w:rPr>
        <w:t xml:space="preserve">Stapp Car Crash Journal, </w:t>
      </w:r>
      <w:r w:rsidRPr="00F866E2">
        <w:t>vol. 48, p. 125, 2004.</w:t>
      </w:r>
    </w:p>
    <w:p w14:paraId="49CFB4F4" w14:textId="77777777" w:rsidR="00F866E2" w:rsidRPr="00F866E2" w:rsidRDefault="00F866E2" w:rsidP="0044407C">
      <w:pPr>
        <w:pStyle w:val="EndNoteBibliography"/>
        <w:spacing w:after="0"/>
        <w:ind w:left="720" w:hanging="720"/>
      </w:pPr>
      <w:r w:rsidRPr="00F866E2">
        <w:t>[8]</w:t>
      </w:r>
      <w:r w:rsidRPr="00F866E2">
        <w:tab/>
        <w:t xml:space="preserve">C.-Y. Huang, A. Stankiewicz, G. A. Ateshian, and V. C. Mow, "Anisotropy, inhomogeneity, and tension–compression nonlinearity of human glenohumeral cartilage in finite deformation," </w:t>
      </w:r>
      <w:r w:rsidRPr="00F866E2">
        <w:rPr>
          <w:i/>
        </w:rPr>
        <w:t xml:space="preserve">Journal of biomechanics, </w:t>
      </w:r>
      <w:r w:rsidRPr="00F866E2">
        <w:t>vol. 38, no. 4, pp. 799-809, 2005.</w:t>
      </w:r>
    </w:p>
    <w:p w14:paraId="46B6AA9F" w14:textId="77777777" w:rsidR="00F866E2" w:rsidRPr="00F866E2" w:rsidRDefault="00F866E2" w:rsidP="0044407C">
      <w:pPr>
        <w:pStyle w:val="EndNoteBibliography"/>
        <w:spacing w:after="0"/>
        <w:ind w:left="720" w:hanging="720"/>
      </w:pPr>
      <w:r w:rsidRPr="00F866E2">
        <w:t>[9]</w:t>
      </w:r>
      <w:r w:rsidRPr="00F866E2">
        <w:tab/>
        <w:t xml:space="preserve">P. Buchler, N. A. Ramaniraka, L. R. Rakotomanana, J. P. Iannotti, and A. Farron, "A finite element model of the shoulder: application to the comparison of normal and osteoarthritic joints," (in English), </w:t>
      </w:r>
      <w:r w:rsidRPr="00F866E2">
        <w:rPr>
          <w:i/>
        </w:rPr>
        <w:t xml:space="preserve">Clinical Biomechanics, </w:t>
      </w:r>
      <w:r w:rsidRPr="00F866E2">
        <w:t>vol. 17, no. 9-10, pp. 630-639, Nov-Dec 2002.</w:t>
      </w:r>
    </w:p>
    <w:p w14:paraId="0FE47995" w14:textId="77777777" w:rsidR="00F866E2" w:rsidRPr="00F866E2" w:rsidRDefault="00F866E2" w:rsidP="0044407C">
      <w:pPr>
        <w:pStyle w:val="EndNoteBibliography"/>
        <w:spacing w:after="0"/>
        <w:ind w:left="720" w:hanging="720"/>
      </w:pPr>
      <w:r w:rsidRPr="00F866E2">
        <w:t>[10]</w:t>
      </w:r>
      <w:r w:rsidRPr="00F866E2">
        <w:tab/>
        <w:t xml:space="preserve">C. D. Smith, S. D. Masouros, A. M. Hill, A. L. Wallace, A. A. Amis, and A. M. J. Bull, "The Compressive Behavior of the Human Glenoid Labrum May Explain the Common Patterns of SLAP Lesions," (in English), </w:t>
      </w:r>
      <w:r w:rsidRPr="00F866E2">
        <w:rPr>
          <w:i/>
        </w:rPr>
        <w:t xml:space="preserve">Arthroscopy-the Journal of Arthroscopic and Related Surgery, </w:t>
      </w:r>
      <w:r w:rsidRPr="00F866E2">
        <w:t>vol. 25, no. 5, pp. 504-509, May 2009.</w:t>
      </w:r>
    </w:p>
    <w:p w14:paraId="13B3CA86" w14:textId="77777777" w:rsidR="00F866E2" w:rsidRPr="00F866E2" w:rsidRDefault="00F866E2" w:rsidP="0044407C">
      <w:pPr>
        <w:pStyle w:val="EndNoteBibliography"/>
        <w:spacing w:after="0"/>
        <w:ind w:left="720" w:hanging="720"/>
      </w:pPr>
      <w:r w:rsidRPr="00F866E2">
        <w:t>[11]</w:t>
      </w:r>
      <w:r w:rsidRPr="00F866E2">
        <w:tab/>
        <w:t xml:space="preserve">G. Bergmann, F. Graichen, A. Bender, M. Kaab, A. Rohlmann, and P. Westerhoff, "In vivo glenohumeral contact forces--measurements in the first patient 7 months postoperatively," </w:t>
      </w:r>
      <w:r w:rsidRPr="00F866E2">
        <w:rPr>
          <w:i/>
        </w:rPr>
        <w:t xml:space="preserve">J Biomech, </w:t>
      </w:r>
      <w:r w:rsidRPr="00F866E2">
        <w:t>vol. 40, no. 10, pp. 2139-49, 2007.</w:t>
      </w:r>
    </w:p>
    <w:p w14:paraId="40ABD309" w14:textId="77777777" w:rsidR="00F866E2" w:rsidRPr="00F866E2" w:rsidRDefault="00F866E2" w:rsidP="0044407C">
      <w:pPr>
        <w:pStyle w:val="EndNoteBibliography"/>
        <w:spacing w:after="0"/>
        <w:ind w:left="720" w:hanging="720"/>
      </w:pPr>
      <w:r w:rsidRPr="00F866E2">
        <w:t>[12]</w:t>
      </w:r>
      <w:r w:rsidRPr="00F866E2">
        <w:tab/>
        <w:t>G. Bergmann</w:t>
      </w:r>
      <w:r w:rsidRPr="00F866E2">
        <w:rPr>
          <w:i/>
        </w:rPr>
        <w:t xml:space="preserve"> et al.</w:t>
      </w:r>
      <w:r w:rsidRPr="00F866E2">
        <w:t xml:space="preserve">, "In vivo gleno-humeral joint loads during forward flexion and abduction," </w:t>
      </w:r>
      <w:r w:rsidRPr="00F866E2">
        <w:rPr>
          <w:i/>
        </w:rPr>
        <w:t xml:space="preserve">J Biomech, </w:t>
      </w:r>
      <w:r w:rsidRPr="00F866E2">
        <w:t>vol. 44, no. 8, pp. 1543-52, May 17 2011.</w:t>
      </w:r>
    </w:p>
    <w:p w14:paraId="0D1AFB2D" w14:textId="77777777" w:rsidR="00F866E2" w:rsidRPr="00F866E2" w:rsidRDefault="00F866E2" w:rsidP="0044407C">
      <w:pPr>
        <w:pStyle w:val="EndNoteBibliography"/>
        <w:spacing w:after="0"/>
        <w:ind w:left="720" w:hanging="720"/>
      </w:pPr>
      <w:r w:rsidRPr="00F866E2">
        <w:t>[13]</w:t>
      </w:r>
      <w:r w:rsidRPr="00F866E2">
        <w:tab/>
        <w:t xml:space="preserve">F. C. Van der Helm, "Analysis of the kinematic and dynamic behavior of the shoulder mechanism," </w:t>
      </w:r>
      <w:r w:rsidRPr="00F866E2">
        <w:rPr>
          <w:i/>
        </w:rPr>
        <w:t xml:space="preserve">Journal of biomechanics, </w:t>
      </w:r>
      <w:r w:rsidRPr="00F866E2">
        <w:t>vol. 27, no. 5, pp. 527-550, 1994.</w:t>
      </w:r>
    </w:p>
    <w:p w14:paraId="700F080F" w14:textId="77777777" w:rsidR="00F866E2" w:rsidRPr="00F866E2" w:rsidRDefault="00F866E2" w:rsidP="0044407C">
      <w:pPr>
        <w:pStyle w:val="EndNoteBibliography"/>
        <w:spacing w:after="0"/>
        <w:ind w:left="720" w:hanging="720"/>
      </w:pPr>
      <w:r w:rsidRPr="00F866E2">
        <w:t>[14]</w:t>
      </w:r>
      <w:r w:rsidRPr="00F866E2">
        <w:tab/>
        <w:t xml:space="preserve">A. Terrier, A. Vogel, M. Capezzali, and A. Farron, "An algorithm to allow humerus translation in the indeterminate problem of shoulder abduction," </w:t>
      </w:r>
      <w:r w:rsidRPr="00F866E2">
        <w:rPr>
          <w:i/>
        </w:rPr>
        <w:t xml:space="preserve">Med Eng Phys, </w:t>
      </w:r>
      <w:r w:rsidRPr="00F866E2">
        <w:t>vol. 30, no. 6, pp. 710-6, Jul 2008.</w:t>
      </w:r>
    </w:p>
    <w:p w14:paraId="3E26D5C8" w14:textId="77777777" w:rsidR="00F866E2" w:rsidRPr="00F866E2" w:rsidRDefault="00F866E2" w:rsidP="0044407C">
      <w:pPr>
        <w:pStyle w:val="EndNoteBibliography"/>
        <w:spacing w:after="0"/>
        <w:ind w:left="720" w:hanging="720"/>
      </w:pPr>
      <w:r w:rsidRPr="00F866E2">
        <w:t>[15]</w:t>
      </w:r>
      <w:r w:rsidRPr="00F866E2">
        <w:tab/>
        <w:t xml:space="preserve">P. Favre, M. Senteler, J. Hipp, S. Scherrer, C. Gerber, and J. G. Snedeker, "An integrated model of active glenohumeral stability," </w:t>
      </w:r>
      <w:r w:rsidRPr="00F866E2">
        <w:rPr>
          <w:i/>
        </w:rPr>
        <w:t xml:space="preserve">J Biomech, </w:t>
      </w:r>
      <w:r w:rsidRPr="00F866E2">
        <w:t>vol. 45, no. 13, pp. 2248-55, Aug 31 2012.</w:t>
      </w:r>
    </w:p>
    <w:p w14:paraId="58A2B8EB" w14:textId="77777777" w:rsidR="00F866E2" w:rsidRPr="00F866E2" w:rsidRDefault="00F866E2" w:rsidP="0044407C">
      <w:pPr>
        <w:pStyle w:val="EndNoteBibliography"/>
        <w:spacing w:after="0"/>
        <w:ind w:left="720" w:hanging="720"/>
      </w:pPr>
      <w:r w:rsidRPr="00F866E2">
        <w:t>[16]</w:t>
      </w:r>
      <w:r w:rsidRPr="00F866E2">
        <w:tab/>
        <w:t xml:space="preserve">L. Sins, P. Tétreault, N. Hagemeister, and N. Nuño, "Adaptation of the AnyBody™ musculoskeletal shoulder model to the nonconforming total shoulder arthroplasty context," </w:t>
      </w:r>
      <w:r w:rsidRPr="00F866E2">
        <w:rPr>
          <w:i/>
        </w:rPr>
        <w:t xml:space="preserve">Journal of biomechanical engineering, </w:t>
      </w:r>
      <w:r w:rsidRPr="00F866E2">
        <w:t>vol. 137, no. 10, 2015.</w:t>
      </w:r>
    </w:p>
    <w:p w14:paraId="74A88952" w14:textId="77777777" w:rsidR="00F866E2" w:rsidRPr="00F866E2" w:rsidRDefault="00F866E2" w:rsidP="0044407C">
      <w:pPr>
        <w:pStyle w:val="EndNoteBibliography"/>
        <w:spacing w:after="0"/>
        <w:ind w:left="720" w:hanging="720"/>
      </w:pPr>
      <w:r w:rsidRPr="00F866E2">
        <w:t>[17]</w:t>
      </w:r>
      <w:r w:rsidRPr="00F866E2">
        <w:tab/>
        <w:t xml:space="preserve">M. X. Zheng, Z. H. Qian, Z. M. Zou, C. Peach, and L. Ren, "Subject-Specific Finite Element Modeling of the Human Shoulder Complex Part 2: Quantitative Evaluation of the Effect of Rotator Cuff Tear Propagation on Glenohumeral Joint Stability," (in English), </w:t>
      </w:r>
      <w:r w:rsidRPr="00F866E2">
        <w:rPr>
          <w:i/>
        </w:rPr>
        <w:t xml:space="preserve">Ieee Access, </w:t>
      </w:r>
      <w:r w:rsidRPr="00F866E2">
        <w:t>vol. 7, pp. 34068-34077, 2019.</w:t>
      </w:r>
    </w:p>
    <w:p w14:paraId="69AE93F9" w14:textId="3CFB9811" w:rsidR="00283BD0" w:rsidRPr="00C758FE" w:rsidRDefault="008A6AAC" w:rsidP="0044407C">
      <w:pPr>
        <w:spacing w:after="0" w:line="240" w:lineRule="auto"/>
        <w:jc w:val="both"/>
      </w:pPr>
      <w:r>
        <w:fldChar w:fldCharType="end"/>
      </w:r>
    </w:p>
    <w:sectPr w:rsidR="00283BD0" w:rsidRPr="00C7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61"/>
    <w:multiLevelType w:val="hybridMultilevel"/>
    <w:tmpl w:val="FA6A4D62"/>
    <w:lvl w:ilvl="0" w:tplc="968AC3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s5f5rrqzswsbet02lvvsdizarxt2vrdps2&quot;&gt;My EndNote Library-Saved&lt;record-ids&gt;&lt;item&gt;162&lt;/item&gt;&lt;item&gt;163&lt;/item&gt;&lt;item&gt;164&lt;/item&gt;&lt;item&gt;165&lt;/item&gt;&lt;item&gt;166&lt;/item&gt;&lt;item&gt;172&lt;/item&gt;&lt;item&gt;173&lt;/item&gt;&lt;item&gt;178&lt;/item&gt;&lt;item&gt;185&lt;/item&gt;&lt;item&gt;186&lt;/item&gt;&lt;item&gt;187&lt;/item&gt;&lt;item&gt;188&lt;/item&gt;&lt;item&gt;190&lt;/item&gt;&lt;item&gt;196&lt;/item&gt;&lt;item&gt;198&lt;/item&gt;&lt;item&gt;319&lt;/item&gt;&lt;item&gt;332&lt;/item&gt;&lt;/record-ids&gt;&lt;/item&gt;&lt;/Libraries&gt;"/>
  </w:docVars>
  <w:rsids>
    <w:rsidRoot w:val="002C037E"/>
    <w:rsid w:val="00002455"/>
    <w:rsid w:val="0004479D"/>
    <w:rsid w:val="00054B68"/>
    <w:rsid w:val="00086974"/>
    <w:rsid w:val="001137CF"/>
    <w:rsid w:val="001728C7"/>
    <w:rsid w:val="00191851"/>
    <w:rsid w:val="001954BB"/>
    <w:rsid w:val="001E53AB"/>
    <w:rsid w:val="00230ADC"/>
    <w:rsid w:val="00247869"/>
    <w:rsid w:val="00283BD0"/>
    <w:rsid w:val="002B5CE1"/>
    <w:rsid w:val="002C037E"/>
    <w:rsid w:val="002E0DBC"/>
    <w:rsid w:val="00316209"/>
    <w:rsid w:val="00317557"/>
    <w:rsid w:val="00321B32"/>
    <w:rsid w:val="00366603"/>
    <w:rsid w:val="00397232"/>
    <w:rsid w:val="003A5932"/>
    <w:rsid w:val="003D4CC7"/>
    <w:rsid w:val="003E2DA3"/>
    <w:rsid w:val="003F64C4"/>
    <w:rsid w:val="0040506E"/>
    <w:rsid w:val="0044407C"/>
    <w:rsid w:val="004826D1"/>
    <w:rsid w:val="00484813"/>
    <w:rsid w:val="00486CD5"/>
    <w:rsid w:val="004B49B2"/>
    <w:rsid w:val="004E5C5F"/>
    <w:rsid w:val="00503105"/>
    <w:rsid w:val="00512AC3"/>
    <w:rsid w:val="00547A35"/>
    <w:rsid w:val="005A0C66"/>
    <w:rsid w:val="00627DD2"/>
    <w:rsid w:val="00661280"/>
    <w:rsid w:val="0067424E"/>
    <w:rsid w:val="006A5E64"/>
    <w:rsid w:val="0079014A"/>
    <w:rsid w:val="007B026D"/>
    <w:rsid w:val="007F20EA"/>
    <w:rsid w:val="007F4C4C"/>
    <w:rsid w:val="007F4E78"/>
    <w:rsid w:val="00814ED8"/>
    <w:rsid w:val="00817773"/>
    <w:rsid w:val="008237B9"/>
    <w:rsid w:val="008A6AAC"/>
    <w:rsid w:val="008E33A3"/>
    <w:rsid w:val="008E7387"/>
    <w:rsid w:val="00901B25"/>
    <w:rsid w:val="0092585D"/>
    <w:rsid w:val="0097211C"/>
    <w:rsid w:val="009A7BB2"/>
    <w:rsid w:val="009D58DA"/>
    <w:rsid w:val="009D73B1"/>
    <w:rsid w:val="00A30660"/>
    <w:rsid w:val="00A4663A"/>
    <w:rsid w:val="00AA290B"/>
    <w:rsid w:val="00AD3E68"/>
    <w:rsid w:val="00AF1DF4"/>
    <w:rsid w:val="00B90371"/>
    <w:rsid w:val="00BA58F4"/>
    <w:rsid w:val="00BE3150"/>
    <w:rsid w:val="00C258AB"/>
    <w:rsid w:val="00C32569"/>
    <w:rsid w:val="00C33940"/>
    <w:rsid w:val="00C37643"/>
    <w:rsid w:val="00C5364C"/>
    <w:rsid w:val="00C60A84"/>
    <w:rsid w:val="00C758FE"/>
    <w:rsid w:val="00C93181"/>
    <w:rsid w:val="00C968AF"/>
    <w:rsid w:val="00CC1879"/>
    <w:rsid w:val="00D31E65"/>
    <w:rsid w:val="00D9180D"/>
    <w:rsid w:val="00DE76A4"/>
    <w:rsid w:val="00E01F89"/>
    <w:rsid w:val="00E051A8"/>
    <w:rsid w:val="00E13F45"/>
    <w:rsid w:val="00E15287"/>
    <w:rsid w:val="00E26E9A"/>
    <w:rsid w:val="00E60105"/>
    <w:rsid w:val="00EA0563"/>
    <w:rsid w:val="00EB5F63"/>
    <w:rsid w:val="00ED031D"/>
    <w:rsid w:val="00EE3E4E"/>
    <w:rsid w:val="00EF7A83"/>
    <w:rsid w:val="00F36A6B"/>
    <w:rsid w:val="00F67FD4"/>
    <w:rsid w:val="00F70760"/>
    <w:rsid w:val="00F866E2"/>
    <w:rsid w:val="00FA2430"/>
    <w:rsid w:val="00FE1A12"/>
    <w:rsid w:val="00FE2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ADB3"/>
  <w15:chartTrackingRefBased/>
  <w15:docId w15:val="{7A30E53C-3506-4B5C-A29D-84B19C9D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83"/>
    <w:pPr>
      <w:ind w:left="720"/>
      <w:contextualSpacing/>
    </w:pPr>
  </w:style>
  <w:style w:type="character" w:styleId="CommentReference">
    <w:name w:val="annotation reference"/>
    <w:basedOn w:val="DefaultParagraphFont"/>
    <w:uiPriority w:val="99"/>
    <w:semiHidden/>
    <w:unhideWhenUsed/>
    <w:rsid w:val="00054B68"/>
    <w:rPr>
      <w:sz w:val="16"/>
      <w:szCs w:val="16"/>
    </w:rPr>
  </w:style>
  <w:style w:type="paragraph" w:styleId="CommentText">
    <w:name w:val="annotation text"/>
    <w:basedOn w:val="Normal"/>
    <w:link w:val="CommentTextChar"/>
    <w:uiPriority w:val="99"/>
    <w:unhideWhenUsed/>
    <w:rsid w:val="00054B68"/>
    <w:pPr>
      <w:spacing w:line="240" w:lineRule="auto"/>
    </w:pPr>
    <w:rPr>
      <w:sz w:val="20"/>
      <w:szCs w:val="20"/>
    </w:rPr>
  </w:style>
  <w:style w:type="character" w:customStyle="1" w:styleId="CommentTextChar">
    <w:name w:val="Comment Text Char"/>
    <w:basedOn w:val="DefaultParagraphFont"/>
    <w:link w:val="CommentText"/>
    <w:uiPriority w:val="99"/>
    <w:rsid w:val="00054B68"/>
    <w:rPr>
      <w:sz w:val="20"/>
      <w:szCs w:val="20"/>
    </w:rPr>
  </w:style>
  <w:style w:type="paragraph" w:styleId="CommentSubject">
    <w:name w:val="annotation subject"/>
    <w:basedOn w:val="CommentText"/>
    <w:next w:val="CommentText"/>
    <w:link w:val="CommentSubjectChar"/>
    <w:uiPriority w:val="99"/>
    <w:semiHidden/>
    <w:unhideWhenUsed/>
    <w:rsid w:val="00054B68"/>
    <w:rPr>
      <w:b/>
      <w:bCs/>
    </w:rPr>
  </w:style>
  <w:style w:type="character" w:customStyle="1" w:styleId="CommentSubjectChar">
    <w:name w:val="Comment Subject Char"/>
    <w:basedOn w:val="CommentTextChar"/>
    <w:link w:val="CommentSubject"/>
    <w:uiPriority w:val="99"/>
    <w:semiHidden/>
    <w:rsid w:val="00054B68"/>
    <w:rPr>
      <w:b/>
      <w:bCs/>
      <w:sz w:val="20"/>
      <w:szCs w:val="20"/>
    </w:rPr>
  </w:style>
  <w:style w:type="paragraph" w:styleId="BalloonText">
    <w:name w:val="Balloon Text"/>
    <w:basedOn w:val="Normal"/>
    <w:link w:val="BalloonTextChar"/>
    <w:uiPriority w:val="99"/>
    <w:semiHidden/>
    <w:unhideWhenUsed/>
    <w:rsid w:val="00054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68"/>
    <w:rPr>
      <w:rFonts w:ascii="Segoe UI" w:hAnsi="Segoe UI" w:cs="Segoe UI"/>
      <w:sz w:val="18"/>
      <w:szCs w:val="18"/>
    </w:rPr>
  </w:style>
  <w:style w:type="table" w:styleId="TableGrid">
    <w:name w:val="Table Grid"/>
    <w:basedOn w:val="TableNormal"/>
    <w:uiPriority w:val="59"/>
    <w:rsid w:val="008A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A6AA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A6AAC"/>
    <w:rPr>
      <w:rFonts w:ascii="Calibri" w:hAnsi="Calibri"/>
      <w:noProof/>
    </w:rPr>
  </w:style>
  <w:style w:type="paragraph" w:customStyle="1" w:styleId="EndNoteBibliography">
    <w:name w:val="EndNote Bibliography"/>
    <w:basedOn w:val="Normal"/>
    <w:link w:val="EndNoteBibliographyChar"/>
    <w:rsid w:val="008A6AA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8A6AAC"/>
    <w:rPr>
      <w:rFonts w:ascii="Calibri" w:hAnsi="Calibri"/>
      <w:noProof/>
    </w:rPr>
  </w:style>
  <w:style w:type="paragraph" w:styleId="Caption">
    <w:name w:val="caption"/>
    <w:basedOn w:val="Normal"/>
    <w:next w:val="Normal"/>
    <w:uiPriority w:val="35"/>
    <w:unhideWhenUsed/>
    <w:qFormat/>
    <w:rsid w:val="007901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2569"/>
    <w:rPr>
      <w:color w:val="0563C1" w:themeColor="hyperlink"/>
      <w:u w:val="single"/>
    </w:rPr>
  </w:style>
  <w:style w:type="character" w:styleId="UnresolvedMention">
    <w:name w:val="Unresolved Mention"/>
    <w:basedOn w:val="DefaultParagraphFont"/>
    <w:uiPriority w:val="99"/>
    <w:semiHidden/>
    <w:unhideWhenUsed/>
    <w:rsid w:val="00C3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0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article/10.1007/s10439-022-030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DE408-BCF5-4FFC-8AA3-DDCB4711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Toledo</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Sadeqi, Sara</dc:creator>
  <cp:keywords/>
  <dc:description/>
  <cp:lastModifiedBy>Baumann, Andrew</cp:lastModifiedBy>
  <cp:revision>31</cp:revision>
  <dcterms:created xsi:type="dcterms:W3CDTF">2022-02-08T14:09:00Z</dcterms:created>
  <dcterms:modified xsi:type="dcterms:W3CDTF">2022-09-27T15:55:00Z</dcterms:modified>
</cp:coreProperties>
</file>