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2C1C" w14:textId="787DBA29" w:rsidR="00C6110A" w:rsidRPr="00CA43E6" w:rsidRDefault="00C6110A" w:rsidP="00C6110A">
      <w:pPr>
        <w:pStyle w:val="SOPBodyText"/>
      </w:pPr>
      <w:r w:rsidRPr="00BD107C">
        <w:rPr>
          <w:rFonts w:asciiTheme="minorHAnsi" w:eastAsia="MS Mincho" w:hAnsiTheme="minorHAnsi" w:cstheme="minorHAnsi"/>
          <w:b/>
          <w:bCs/>
          <w:noProof/>
          <w:kern w:val="28"/>
          <w:sz w:val="36"/>
          <w:szCs w:val="28"/>
        </w:rPr>
        <w:t xml:space="preserve">Test considerations for performing </w:t>
      </w:r>
      <w:r w:rsidR="00864F2C" w:rsidRPr="00167ABC">
        <w:rPr>
          <w:rFonts w:asciiTheme="minorHAnsi" w:eastAsia="MS Mincho" w:hAnsiTheme="minorHAnsi" w:cstheme="minorHAnsi"/>
          <w:b/>
          <w:bCs/>
          <w:noProof/>
          <w:kern w:val="28"/>
          <w:sz w:val="36"/>
          <w:szCs w:val="28"/>
        </w:rPr>
        <w:t>platelet and leukocyte count assasys for</w:t>
      </w:r>
      <w:r w:rsidR="00864F2C">
        <w:rPr>
          <w:rFonts w:eastAsia="Calibri"/>
          <w:color w:val="808080" w:themeColor="background1" w:themeShade="80"/>
        </w:rPr>
        <w:t xml:space="preserve"> </w:t>
      </w:r>
      <w:r w:rsidRPr="00BD107C">
        <w:rPr>
          <w:rFonts w:asciiTheme="minorHAnsi" w:eastAsia="MS Mincho" w:hAnsiTheme="minorHAnsi" w:cstheme="minorHAnsi"/>
          <w:b/>
          <w:bCs/>
          <w:noProof/>
          <w:kern w:val="28"/>
          <w:sz w:val="36"/>
          <w:szCs w:val="28"/>
        </w:rPr>
        <w:t>in vitro hemocompatibility assessment of cardiovascular materials per ASTM F2888-19 standard</w:t>
      </w:r>
    </w:p>
    <w:p w14:paraId="1AB2E20B" w14:textId="271A8AE4" w:rsidR="00C86BEA" w:rsidRDefault="00C86BEA"/>
    <w:p w14:paraId="66B16E3F" w14:textId="7A80B7EE" w:rsidR="00C6110A" w:rsidRDefault="00C6110A">
      <w:r>
        <w:t xml:space="preserve">This document provides details that will be helpful in successfully performing </w:t>
      </w:r>
      <w:r w:rsidR="00A57E94">
        <w:t>thrombogenicity</w:t>
      </w:r>
      <w:r>
        <w:t xml:space="preserve"> screening o</w:t>
      </w:r>
      <w:r w:rsidR="00223D8C">
        <w:t>f</w:t>
      </w:r>
      <w:r>
        <w:t xml:space="preserve"> biomaterials and medical devices per ASTM F2888-19. This document augments ASTM F2888-19 and contains the following details</w:t>
      </w:r>
      <w:r w:rsidR="00223D8C">
        <w:t>:</w:t>
      </w:r>
    </w:p>
    <w:p w14:paraId="13149F9A" w14:textId="371D0C6A" w:rsidR="00C6110A" w:rsidRDefault="00C6110A" w:rsidP="00C6110A">
      <w:pPr>
        <w:ind w:firstLine="720"/>
      </w:pPr>
      <w:r>
        <w:t xml:space="preserve"> </w:t>
      </w:r>
      <w:proofErr w:type="spellStart"/>
      <w:r>
        <w:t>i</w:t>
      </w:r>
      <w:proofErr w:type="spellEnd"/>
      <w:r>
        <w:t>)</w:t>
      </w:r>
      <w:r w:rsidR="00223D8C">
        <w:t xml:space="preserve"> </w:t>
      </w:r>
      <w:r w:rsidR="00A0371D">
        <w:t>T</w:t>
      </w:r>
      <w:r>
        <w:t>est methodology for</w:t>
      </w:r>
      <w:r w:rsidR="004139A7">
        <w:t xml:space="preserve"> pe</w:t>
      </w:r>
      <w:r w:rsidR="004F4786">
        <w:t>r</w:t>
      </w:r>
      <w:r w:rsidR="004139A7">
        <w:t>forming</w:t>
      </w:r>
      <w:r>
        <w:t xml:space="preserve"> platelet and leukocyte </w:t>
      </w:r>
      <w:r w:rsidR="00F37B53">
        <w:t xml:space="preserve">count </w:t>
      </w:r>
      <w:r>
        <w:t>assays</w:t>
      </w:r>
    </w:p>
    <w:p w14:paraId="67677809" w14:textId="70720829" w:rsidR="002931AE" w:rsidRDefault="00C6110A" w:rsidP="00C6110A">
      <w:pPr>
        <w:ind w:firstLine="720"/>
      </w:pPr>
      <w:r>
        <w:t xml:space="preserve">ii) </w:t>
      </w:r>
      <w:r w:rsidR="00BA1999">
        <w:t>D</w:t>
      </w:r>
      <w:r w:rsidR="002931AE">
        <w:t>etails about choice of positive controls</w:t>
      </w:r>
    </w:p>
    <w:p w14:paraId="5A419D36" w14:textId="0A71CB80" w:rsidR="000C7348" w:rsidRDefault="002C074F" w:rsidP="00530724">
      <w:pPr>
        <w:ind w:firstLine="720"/>
      </w:pPr>
      <w:r>
        <w:t xml:space="preserve">iii) </w:t>
      </w:r>
      <w:r w:rsidR="000C7348">
        <w:t>Adjustment of blood anticoagulant concentration</w:t>
      </w:r>
    </w:p>
    <w:p w14:paraId="5765A2EC" w14:textId="305B373A" w:rsidR="00D10B54" w:rsidRDefault="002931AE" w:rsidP="00C6110A">
      <w:pPr>
        <w:ind w:firstLine="720"/>
      </w:pPr>
      <w:r>
        <w:t>i</w:t>
      </w:r>
      <w:r w:rsidR="002C074F">
        <w:t>v</w:t>
      </w:r>
      <w:r>
        <w:t xml:space="preserve">) Data for platelet and leukocyte assays for different </w:t>
      </w:r>
      <w:r w:rsidR="00D10B54">
        <w:t xml:space="preserve">anticoagulation strategies </w:t>
      </w:r>
    </w:p>
    <w:p w14:paraId="299F90F0" w14:textId="0D07DB95" w:rsidR="00A57E94" w:rsidRDefault="00C6110A" w:rsidP="00C6110A">
      <w:pPr>
        <w:ind w:firstLine="720"/>
      </w:pPr>
      <w:r>
        <w:t xml:space="preserve"> </w:t>
      </w:r>
      <w:r w:rsidR="00D10B54">
        <w:t>v</w:t>
      </w:r>
      <w:r>
        <w:t xml:space="preserve">) </w:t>
      </w:r>
      <w:r w:rsidR="00D10B54">
        <w:t xml:space="preserve">Discussion </w:t>
      </w:r>
      <w:r w:rsidR="00963E49">
        <w:t xml:space="preserve">on </w:t>
      </w:r>
      <w:r w:rsidR="007D52A4">
        <w:t xml:space="preserve">test </w:t>
      </w:r>
      <w:r w:rsidR="00A57E94">
        <w:t>sensitivity for</w:t>
      </w:r>
      <w:r w:rsidR="00D10B54">
        <w:t xml:space="preserve"> </w:t>
      </w:r>
      <w:r>
        <w:t xml:space="preserve">platelet </w:t>
      </w:r>
      <w:r w:rsidR="00963E49">
        <w:t xml:space="preserve">and </w:t>
      </w:r>
      <w:r>
        <w:t xml:space="preserve">leukocyte </w:t>
      </w:r>
      <w:r w:rsidR="00963E49">
        <w:t xml:space="preserve">count </w:t>
      </w:r>
      <w:r w:rsidR="00A57E94">
        <w:t>assays</w:t>
      </w:r>
    </w:p>
    <w:p w14:paraId="540A97F4" w14:textId="35745930" w:rsidR="00A57E94" w:rsidRDefault="00A57E94" w:rsidP="00C6110A">
      <w:pPr>
        <w:ind w:firstLine="720"/>
      </w:pPr>
    </w:p>
    <w:p w14:paraId="4B8E4F58" w14:textId="6823867D" w:rsidR="00A57E94" w:rsidRDefault="00006A61" w:rsidP="00A57E94">
      <w:pPr>
        <w:pStyle w:val="ListParagraph"/>
        <w:numPr>
          <w:ilvl w:val="0"/>
          <w:numId w:val="1"/>
        </w:numPr>
      </w:pPr>
      <w:r>
        <w:t>Test Metho</w:t>
      </w:r>
      <w:r w:rsidR="000F4BB6">
        <w:t>do</w:t>
      </w:r>
      <w:r>
        <w:t>logy</w:t>
      </w:r>
    </w:p>
    <w:p w14:paraId="530498E7" w14:textId="3EFC652E" w:rsidR="00006A61" w:rsidRDefault="00A749A5" w:rsidP="00006A61">
      <w:pPr>
        <w:pStyle w:val="ListParagraph"/>
        <w:ind w:left="1080"/>
      </w:pPr>
      <w:r>
        <w:t>The “MATERIALS and METHODS” s</w:t>
      </w:r>
      <w:r w:rsidR="0091234B">
        <w:t>ection  of</w:t>
      </w:r>
      <w:r w:rsidR="00334692">
        <w:t xml:space="preserve"> Lu et al. 2021 (</w:t>
      </w:r>
      <w:r w:rsidR="0091234B">
        <w:t xml:space="preserve"> </w:t>
      </w:r>
      <w:hyperlink r:id="rId5" w:history="1">
        <w:r w:rsidR="00CA25E2" w:rsidRPr="00870AB3">
          <w:rPr>
            <w:rStyle w:val="Hyperlink"/>
          </w:rPr>
          <w:t>https://www.ncbi.nlm.nih.gov/pmc/articles/PMC8490275/</w:t>
        </w:r>
      </w:hyperlink>
      <w:r w:rsidR="00CA25E2">
        <w:t xml:space="preserve">) contains all the details about </w:t>
      </w:r>
      <w:r w:rsidR="00EC2D25">
        <w:t>experimental</w:t>
      </w:r>
      <w:r w:rsidR="00CA25E2">
        <w:t xml:space="preserve"> setup, test components, </w:t>
      </w:r>
      <w:r w:rsidR="00C66B19">
        <w:t xml:space="preserve">anticoagulation strategy, </w:t>
      </w:r>
      <w:r w:rsidR="00CA25E2">
        <w:t>and test procedure</w:t>
      </w:r>
      <w:r w:rsidR="0055132B">
        <w:t>s</w:t>
      </w:r>
      <w:r w:rsidR="00CA25E2">
        <w:t xml:space="preserve"> for both platelet and leuko</w:t>
      </w:r>
      <w:r w:rsidR="00A20804">
        <w:t>c</w:t>
      </w:r>
      <w:r w:rsidR="00CA25E2">
        <w:t xml:space="preserve">yte </w:t>
      </w:r>
      <w:r w:rsidR="00795C9B">
        <w:t>count</w:t>
      </w:r>
      <w:r w:rsidR="000A6426">
        <w:t xml:space="preserve"> </w:t>
      </w:r>
      <w:r w:rsidR="00A20804">
        <w:t>assays</w:t>
      </w:r>
    </w:p>
    <w:p w14:paraId="48403913" w14:textId="62DA6C63" w:rsidR="006D358A" w:rsidRDefault="006D358A" w:rsidP="00006A61">
      <w:pPr>
        <w:pStyle w:val="ListParagraph"/>
        <w:ind w:left="1080"/>
      </w:pPr>
    </w:p>
    <w:p w14:paraId="707CEDAD" w14:textId="0FF6018A" w:rsidR="006D358A" w:rsidRDefault="00294053" w:rsidP="006D358A">
      <w:pPr>
        <w:pStyle w:val="ListParagraph"/>
        <w:numPr>
          <w:ilvl w:val="0"/>
          <w:numId w:val="1"/>
        </w:numPr>
      </w:pPr>
      <w:r>
        <w:t>Choice of p</w:t>
      </w:r>
      <w:r w:rsidR="006D358A">
        <w:t>ositive control</w:t>
      </w:r>
      <w:r>
        <w:t xml:space="preserve"> material</w:t>
      </w:r>
      <w:r w:rsidR="00795C9B">
        <w:t>s</w:t>
      </w:r>
    </w:p>
    <w:p w14:paraId="5703AC0E" w14:textId="78B2BBF4" w:rsidR="00294053" w:rsidRDefault="00294053" w:rsidP="00294053">
      <w:pPr>
        <w:pStyle w:val="ListParagraph"/>
        <w:ind w:left="1080"/>
      </w:pPr>
    </w:p>
    <w:p w14:paraId="7BE1804A" w14:textId="73C26E6C" w:rsidR="00294053" w:rsidRDefault="00EF0082" w:rsidP="00294053">
      <w:pPr>
        <w:pStyle w:val="ListParagraph"/>
        <w:ind w:left="1080"/>
      </w:pPr>
      <w:r>
        <w:t>Our study used the following three materials as positive control</w:t>
      </w:r>
      <w:r w:rsidR="0002328A">
        <w:t>s</w:t>
      </w:r>
      <w:r>
        <w:t xml:space="preserve"> for </w:t>
      </w:r>
      <w:r w:rsidR="006E7221">
        <w:t>both platelet and leukocyte count assays</w:t>
      </w:r>
      <w:r w:rsidR="0002328A">
        <w:t>:</w:t>
      </w:r>
      <w:r w:rsidR="006E7221">
        <w:t xml:space="preserve"> </w:t>
      </w:r>
      <w:proofErr w:type="spellStart"/>
      <w:r w:rsidR="006E7221">
        <w:t>i</w:t>
      </w:r>
      <w:proofErr w:type="spellEnd"/>
      <w:r w:rsidR="006E7221">
        <w:t xml:space="preserve">) Buna, ii) Glass, and iii) Latex. </w:t>
      </w:r>
      <w:r w:rsidR="008051DB">
        <w:t>Figure 1 below shows the test results from our study comparing the positive controls with various biomaterials.</w:t>
      </w:r>
      <w:r w:rsidR="000B59EE">
        <w:t xml:space="preserve"> Our results showed that </w:t>
      </w:r>
      <w:r w:rsidR="00BE0165">
        <w:t>the platelet counts for all three positive controls were statistically</w:t>
      </w:r>
      <w:r w:rsidR="00FA1D79">
        <w:t xml:space="preserve"> significantly different when compared to the biomaterials. </w:t>
      </w:r>
      <w:r w:rsidR="00963B52">
        <w:t>We believe that any of these positive control</w:t>
      </w:r>
      <w:r w:rsidR="0055132B">
        <w:t>s</w:t>
      </w:r>
      <w:r w:rsidR="00963B52">
        <w:t xml:space="preserve"> could be used for the platelet count assay</w:t>
      </w:r>
      <w:r w:rsidR="008B0A52">
        <w:t xml:space="preserve"> while following the ASTM F2888-19 standard.</w:t>
      </w:r>
    </w:p>
    <w:p w14:paraId="62CAE1CF" w14:textId="43E5C448" w:rsidR="001E3097" w:rsidRDefault="001E3097" w:rsidP="00294053">
      <w:pPr>
        <w:pStyle w:val="ListParagraph"/>
        <w:ind w:left="1080"/>
      </w:pPr>
    </w:p>
    <w:p w14:paraId="60A7D333" w14:textId="08B36351" w:rsidR="00627257" w:rsidRDefault="00E96572" w:rsidP="00B76714">
      <w:pPr>
        <w:pStyle w:val="ListParagraph"/>
        <w:numPr>
          <w:ilvl w:val="0"/>
          <w:numId w:val="1"/>
        </w:numPr>
      </w:pPr>
      <w:r>
        <w:t>Adjustment</w:t>
      </w:r>
      <w:r w:rsidR="00627257">
        <w:t xml:space="preserve"> of blood anticoagula</w:t>
      </w:r>
      <w:r>
        <w:t>nt concentration</w:t>
      </w:r>
    </w:p>
    <w:p w14:paraId="0CA0F095" w14:textId="4EDDA3FF" w:rsidR="00B76714" w:rsidRDefault="00B76714" w:rsidP="00B76714">
      <w:pPr>
        <w:pStyle w:val="ListParagraph"/>
        <w:ind w:left="1080"/>
      </w:pPr>
    </w:p>
    <w:p w14:paraId="27E94D3F" w14:textId="6A5B2BAB" w:rsidR="00B76714" w:rsidRDefault="00E96572" w:rsidP="00B76714">
      <w:pPr>
        <w:pStyle w:val="ListParagraph"/>
        <w:ind w:left="1080"/>
      </w:pPr>
      <w:r>
        <w:t>T</w:t>
      </w:r>
      <w:r w:rsidR="00B30502">
        <w:t xml:space="preserve">he </w:t>
      </w:r>
      <w:r w:rsidR="00F31344">
        <w:t xml:space="preserve">default </w:t>
      </w:r>
      <w:r w:rsidR="00B30502">
        <w:t xml:space="preserve">blood </w:t>
      </w:r>
      <w:r>
        <w:t>heparin</w:t>
      </w:r>
      <w:r w:rsidR="00B30502">
        <w:t xml:space="preserve"> </w:t>
      </w:r>
      <w:r>
        <w:t xml:space="preserve">concentrations recommended </w:t>
      </w:r>
      <w:r w:rsidR="00187129">
        <w:t>in the AST</w:t>
      </w:r>
      <w:r w:rsidR="00F151E3">
        <w:t>M F2888-19 standard are</w:t>
      </w:r>
      <w:r w:rsidR="004348DC">
        <w:t xml:space="preserve">: (1) </w:t>
      </w:r>
      <w:r w:rsidR="00F31344">
        <w:t xml:space="preserve">2 U/ml for </w:t>
      </w:r>
      <w:r w:rsidR="005573EB">
        <w:t xml:space="preserve">the </w:t>
      </w:r>
      <w:r w:rsidR="00F31344">
        <w:t>reca</w:t>
      </w:r>
      <w:r w:rsidR="00E9415D">
        <w:t>lcified</w:t>
      </w:r>
      <w:r w:rsidR="005573EB">
        <w:t xml:space="preserve"> and heparin</w:t>
      </w:r>
      <w:r w:rsidR="002E0BE0">
        <w:t>ized</w:t>
      </w:r>
      <w:r w:rsidR="005573EB">
        <w:t xml:space="preserve"> </w:t>
      </w:r>
      <w:r w:rsidR="002E0BE0">
        <w:t>citrate blood and</w:t>
      </w:r>
      <w:r w:rsidR="004348DC">
        <w:t xml:space="preserve"> (2)</w:t>
      </w:r>
      <w:r w:rsidR="002E0BE0">
        <w:t xml:space="preserve"> 1 U/ml for </w:t>
      </w:r>
      <w:r w:rsidR="00E91DB2">
        <w:t>directly heparinized blood</w:t>
      </w:r>
      <w:r w:rsidR="002E0BE0">
        <w:t xml:space="preserve">. </w:t>
      </w:r>
      <w:r w:rsidR="00B76714" w:rsidRPr="00530724">
        <w:t xml:space="preserve">Due to inherent donor variability in blood coagulation response to heparin dosage, </w:t>
      </w:r>
      <w:r w:rsidR="00007B03">
        <w:t>it is acceptable to</w:t>
      </w:r>
      <w:r w:rsidR="009F67F6">
        <w:t xml:space="preserve"> use a heparin concentration</w:t>
      </w:r>
      <w:r w:rsidR="00DF38A0">
        <w:t xml:space="preserve"> that is</w:t>
      </w:r>
      <w:r w:rsidR="009F67F6">
        <w:t xml:space="preserve"> </w:t>
      </w:r>
      <w:r w:rsidR="00362C10">
        <w:t>slight</w:t>
      </w:r>
      <w:r w:rsidR="00C673F9">
        <w:t xml:space="preserve">ly </w:t>
      </w:r>
      <w:r w:rsidR="007C209B">
        <w:t>lower</w:t>
      </w:r>
      <w:r w:rsidR="009F67F6">
        <w:t xml:space="preserve"> or </w:t>
      </w:r>
      <w:r w:rsidR="007C209B">
        <w:t>higher</w:t>
      </w:r>
      <w:r w:rsidR="009F67F6">
        <w:t xml:space="preserve"> (</w:t>
      </w:r>
      <w:r w:rsidR="00D02AB6">
        <w:t xml:space="preserve">&lt; </w:t>
      </w:r>
      <w:r w:rsidR="00DF38A0">
        <w:t>1U/ml difference) than the default concentrations</w:t>
      </w:r>
      <w:r w:rsidR="00D02AB6">
        <w:t xml:space="preserve"> to </w:t>
      </w:r>
      <w:r w:rsidR="007C209B">
        <w:t>increase</w:t>
      </w:r>
      <w:r w:rsidR="00B76714" w:rsidRPr="00530724">
        <w:t xml:space="preserve"> test sensitivity </w:t>
      </w:r>
      <w:r w:rsidR="007C209B">
        <w:t xml:space="preserve">or blood stability </w:t>
      </w:r>
      <w:r w:rsidR="00B76714" w:rsidRPr="00530724">
        <w:t>for blood from some donors</w:t>
      </w:r>
      <w:r w:rsidR="007C209B">
        <w:t xml:space="preserve">, as long as the test results for the negative and positive controls </w:t>
      </w:r>
      <w:r w:rsidR="007A7CD9">
        <w:t xml:space="preserve">are within </w:t>
      </w:r>
      <w:r w:rsidR="00864F2C">
        <w:t xml:space="preserve">the </w:t>
      </w:r>
      <w:r w:rsidR="007A7CD9">
        <w:t xml:space="preserve">assay validity range </w:t>
      </w:r>
      <w:r w:rsidR="005414D0">
        <w:t>stated in Clause 14.2 of the ASTM F2888-19 standard</w:t>
      </w:r>
      <w:r w:rsidR="00B76714" w:rsidRPr="00530724">
        <w:t>.</w:t>
      </w:r>
      <w:r w:rsidR="005414D0">
        <w:t xml:space="preserve"> </w:t>
      </w:r>
      <w:r w:rsidR="005A62CD">
        <w:t xml:space="preserve">A detailed discussion on heparin concentration is provided in the </w:t>
      </w:r>
      <w:r w:rsidR="00FF6C7A">
        <w:lastRenderedPageBreak/>
        <w:t>DISCUSSION section of Lu et al. 2021 (</w:t>
      </w:r>
      <w:hyperlink r:id="rId6" w:history="1">
        <w:r w:rsidR="00FF6C7A" w:rsidRPr="00FF6C7A">
          <w:rPr>
            <w:rStyle w:val="Hyperlink"/>
          </w:rPr>
          <w:t>https://www.ncbi.nlm.nih.gov/pmc/articles/PMC8490275/</w:t>
        </w:r>
      </w:hyperlink>
      <w:r w:rsidR="00FF6C7A">
        <w:t>)</w:t>
      </w:r>
    </w:p>
    <w:p w14:paraId="14C899E6" w14:textId="77777777" w:rsidR="00B76714" w:rsidRDefault="00B76714" w:rsidP="00294053">
      <w:pPr>
        <w:pStyle w:val="ListParagraph"/>
        <w:ind w:left="1080"/>
      </w:pPr>
    </w:p>
    <w:p w14:paraId="7A74EAC4" w14:textId="55FC46C1" w:rsidR="00671B39" w:rsidRDefault="00671B39" w:rsidP="00294053">
      <w:pPr>
        <w:pStyle w:val="ListParagraph"/>
        <w:ind w:left="1080"/>
      </w:pPr>
    </w:p>
    <w:p w14:paraId="2328B2A8" w14:textId="77777777" w:rsidR="00F468B6" w:rsidRDefault="00F468B6" w:rsidP="00F468B6">
      <w:pPr>
        <w:pStyle w:val="ListParagraph"/>
        <w:numPr>
          <w:ilvl w:val="0"/>
          <w:numId w:val="1"/>
        </w:numPr>
      </w:pPr>
      <w:r>
        <w:t>Assay data</w:t>
      </w:r>
    </w:p>
    <w:p w14:paraId="6B5A9272" w14:textId="3827C531" w:rsidR="00F468B6" w:rsidRDefault="00F468B6" w:rsidP="00F468B6">
      <w:pPr>
        <w:ind w:left="1080"/>
      </w:pPr>
      <w:r>
        <w:t xml:space="preserve">Figure 1 and 2 </w:t>
      </w:r>
      <w:r w:rsidR="00983FC7">
        <w:t xml:space="preserve">( </w:t>
      </w:r>
      <w:hyperlink r:id="rId7" w:history="1">
        <w:r w:rsidR="00983FC7" w:rsidRPr="00870AB3">
          <w:rPr>
            <w:rStyle w:val="Hyperlink"/>
          </w:rPr>
          <w:t>https://www.ncbi.nlm.nih.gov/pmc/articles/PMC8490275/</w:t>
        </w:r>
      </w:hyperlink>
      <w:r w:rsidR="00983FC7">
        <w:t xml:space="preserve">) </w:t>
      </w:r>
      <w:r>
        <w:t xml:space="preserve">contains platelet and </w:t>
      </w:r>
      <w:r w:rsidR="00A3710F">
        <w:t>leukocyte</w:t>
      </w:r>
      <w:r>
        <w:t xml:space="preserve"> </w:t>
      </w:r>
      <w:r w:rsidR="004E3C53">
        <w:t xml:space="preserve">count </w:t>
      </w:r>
      <w:r>
        <w:t xml:space="preserve">assay data for different </w:t>
      </w:r>
      <w:r w:rsidR="00A3710F">
        <w:t>biomaterials</w:t>
      </w:r>
      <w:r>
        <w:t>, positive controls, and anticoagulation strateg</w:t>
      </w:r>
      <w:r w:rsidR="00A3710F">
        <w:t>ies</w:t>
      </w:r>
      <w:r>
        <w:t xml:space="preserve">. The data could be used </w:t>
      </w:r>
      <w:r w:rsidR="004519AE">
        <w:t xml:space="preserve">as references </w:t>
      </w:r>
      <w:r>
        <w:t>by other test labs while developing their own test procedure</w:t>
      </w:r>
      <w:r w:rsidR="004519AE">
        <w:t>s</w:t>
      </w:r>
      <w:r>
        <w:t xml:space="preserve">. </w:t>
      </w:r>
    </w:p>
    <w:p w14:paraId="4A33464F" w14:textId="051327D7" w:rsidR="00671B39" w:rsidRDefault="00005D8A" w:rsidP="00671B39">
      <w:pPr>
        <w:pStyle w:val="ListParagraph"/>
        <w:numPr>
          <w:ilvl w:val="0"/>
          <w:numId w:val="1"/>
        </w:numPr>
      </w:pPr>
      <w:r>
        <w:t xml:space="preserve">Discussion on </w:t>
      </w:r>
      <w:r w:rsidR="00963E49">
        <w:t xml:space="preserve">test </w:t>
      </w:r>
      <w:r>
        <w:t>s</w:t>
      </w:r>
      <w:r w:rsidR="00671B39">
        <w:t xml:space="preserve">ensitivity of </w:t>
      </w:r>
      <w:r>
        <w:t xml:space="preserve">the </w:t>
      </w:r>
      <w:r w:rsidR="00671B39">
        <w:t>assay</w:t>
      </w:r>
      <w:r w:rsidR="001A2CA4">
        <w:t>s</w:t>
      </w:r>
    </w:p>
    <w:p w14:paraId="2E5A5E69" w14:textId="5BE4BA8F" w:rsidR="00671B39" w:rsidRDefault="00671B39" w:rsidP="00671B39">
      <w:pPr>
        <w:pStyle w:val="ListParagraph"/>
        <w:ind w:left="1080"/>
      </w:pPr>
    </w:p>
    <w:p w14:paraId="70D5E6AC" w14:textId="174AF809" w:rsidR="00671B39" w:rsidRDefault="002F2629" w:rsidP="00671B39">
      <w:pPr>
        <w:pStyle w:val="ListParagraph"/>
        <w:ind w:left="1080"/>
      </w:pPr>
      <w:r>
        <w:t>From our data</w:t>
      </w:r>
      <w:r w:rsidR="005B5AA0">
        <w:t xml:space="preserve"> in Figure</w:t>
      </w:r>
      <w:r w:rsidR="000C58A6">
        <w:t>s</w:t>
      </w:r>
      <w:r w:rsidR="005B5AA0">
        <w:t xml:space="preserve"> 1 and 2 </w:t>
      </w:r>
      <w:proofErr w:type="gramStart"/>
      <w:r w:rsidR="005B5AA0">
        <w:t xml:space="preserve">below, </w:t>
      </w:r>
      <w:r w:rsidR="00DF4ECD">
        <w:t xml:space="preserve"> </w:t>
      </w:r>
      <w:r w:rsidR="005B5AA0">
        <w:t>even</w:t>
      </w:r>
      <w:proofErr w:type="gramEnd"/>
      <w:r w:rsidR="005B5AA0">
        <w:t xml:space="preserve"> though</w:t>
      </w:r>
      <w:r>
        <w:t xml:space="preserve"> the </w:t>
      </w:r>
      <w:r w:rsidRPr="0060393F">
        <w:t>direct</w:t>
      </w:r>
      <w:r>
        <w:t>ly heparinized blood</w:t>
      </w:r>
      <w:r w:rsidRPr="0060393F">
        <w:t xml:space="preserve"> at 1 U/ml </w:t>
      </w:r>
      <w:r>
        <w:t xml:space="preserve">had better </w:t>
      </w:r>
      <w:r w:rsidRPr="0060393F">
        <w:t>leukocyte count differentiation between the positive controls and the biomaterials as compared to</w:t>
      </w:r>
      <w:r>
        <w:t xml:space="preserve"> the recalcified blood</w:t>
      </w:r>
      <w:r w:rsidR="000C58A6">
        <w:t xml:space="preserve">, </w:t>
      </w:r>
      <w:r>
        <w:t xml:space="preserve"> </w:t>
      </w:r>
      <w:r w:rsidR="000C58A6">
        <w:t xml:space="preserve">the </w:t>
      </w:r>
      <w:r w:rsidR="00DF4ECD">
        <w:t xml:space="preserve">test sensitivity </w:t>
      </w:r>
      <w:r w:rsidR="00FC19A8">
        <w:t>associated with the leukocyte counts was</w:t>
      </w:r>
      <w:r w:rsidR="00E521CB">
        <w:t xml:space="preserve"> lower</w:t>
      </w:r>
      <w:r w:rsidR="00FC19A8">
        <w:t xml:space="preserve"> compared to that of the platelet counts </w:t>
      </w:r>
      <w:r w:rsidR="00B93F3C">
        <w:t xml:space="preserve">for both </w:t>
      </w:r>
      <w:r w:rsidR="00D47842">
        <w:t>recal</w:t>
      </w:r>
      <w:r w:rsidR="002413E1">
        <w:t>cified blood and directly heparinized blood</w:t>
      </w:r>
      <w:r w:rsidR="002C035A">
        <w:t xml:space="preserve"> </w:t>
      </w:r>
      <w:r w:rsidR="00280B77">
        <w:t xml:space="preserve">. </w:t>
      </w:r>
      <w:r w:rsidR="00B61820">
        <w:t>Thus, w</w:t>
      </w:r>
      <w:r w:rsidR="00280B77">
        <w:t xml:space="preserve">e believe that leukocyte count </w:t>
      </w:r>
      <w:r w:rsidR="00B61820">
        <w:t xml:space="preserve">alone </w:t>
      </w:r>
      <w:r w:rsidR="00280B77">
        <w:t>should not be used as</w:t>
      </w:r>
      <w:r w:rsidR="00CC7F9C">
        <w:t xml:space="preserve"> an indicator for thrombogenicity evaluation of biomaterials or medical devices</w:t>
      </w:r>
      <w:r w:rsidR="00983FC7">
        <w:t>.</w:t>
      </w:r>
    </w:p>
    <w:p w14:paraId="7742EF25" w14:textId="05A08E26" w:rsidR="001A2CA4" w:rsidRDefault="001A2CA4" w:rsidP="00671B39">
      <w:pPr>
        <w:pStyle w:val="ListParagraph"/>
        <w:ind w:left="1080"/>
      </w:pPr>
    </w:p>
    <w:p w14:paraId="7B79F9A1" w14:textId="31483651" w:rsidR="005237D1" w:rsidRDefault="005237D1" w:rsidP="00671B39">
      <w:pPr>
        <w:pStyle w:val="ListParagraph"/>
        <w:ind w:left="1080"/>
      </w:pPr>
      <w:r>
        <w:t>The study also showed that the assays</w:t>
      </w:r>
      <w:r w:rsidR="00AB31BD">
        <w:t xml:space="preserve"> does not appear to be sensitive enough to distinguish subtle thrombogenicity differences among different biomaterials. Rather, it is suitable only to differentiate the biomaterials from positive controls.</w:t>
      </w:r>
      <w:r w:rsidR="004F5279">
        <w:t xml:space="preserve"> </w:t>
      </w:r>
      <w:r w:rsidR="00D0425E">
        <w:t xml:space="preserve">The users of this </w:t>
      </w:r>
      <w:r w:rsidR="002E1BE2">
        <w:t xml:space="preserve">test method </w:t>
      </w:r>
      <w:r w:rsidR="00D43137">
        <w:t>should be aware of this limitation while trying to differentiate performance of different medical device materials.</w:t>
      </w:r>
    </w:p>
    <w:p w14:paraId="42D3D78F" w14:textId="54015EE4" w:rsidR="005E4C56" w:rsidRDefault="005E4C56" w:rsidP="00671B39">
      <w:pPr>
        <w:pStyle w:val="ListParagraph"/>
        <w:ind w:left="1080"/>
      </w:pPr>
    </w:p>
    <w:p w14:paraId="393C247C" w14:textId="535087FB" w:rsidR="00C06449" w:rsidRDefault="00C06449" w:rsidP="00294053">
      <w:pPr>
        <w:pStyle w:val="ListParagraph"/>
        <w:ind w:left="1080"/>
      </w:pPr>
    </w:p>
    <w:p w14:paraId="537D8757" w14:textId="2469BB3B" w:rsidR="00C06449" w:rsidRDefault="00C06449" w:rsidP="00C06449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8B7874F" wp14:editId="24E5F4CB">
            <wp:extent cx="4279900" cy="469737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86" cy="47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F879" w14:textId="4394B1F2" w:rsidR="00A57E94" w:rsidRPr="006C50DD" w:rsidRDefault="0073258C" w:rsidP="00C6110A">
      <w:pPr>
        <w:ind w:firstLine="720"/>
        <w:rPr>
          <w:i/>
          <w:iCs/>
        </w:rPr>
      </w:pPr>
      <w:r w:rsidRPr="006C50DD">
        <w:rPr>
          <w:rFonts w:ascii="Cambria" w:hAnsi="Cambria"/>
          <w:i/>
          <w:iCs/>
          <w:color w:val="333333"/>
          <w:shd w:val="clear" w:color="auto" w:fill="FFFCF0"/>
        </w:rPr>
        <w:t>Figure 1: Platelet (A) and leukocyte (B) count results (normalized to the whole blood negative controls for each blood condition) after blood incubation with the test materials for 1 hour. Blood conditions included sodium citrate anticoagulated blood and recalcified citrated blood with added heparin to a final concentration of 2 U/ml (</w:t>
      </w:r>
      <w:proofErr w:type="spellStart"/>
      <w:r w:rsidRPr="006C50DD">
        <w:rPr>
          <w:rFonts w:ascii="Cambria" w:hAnsi="Cambria"/>
          <w:i/>
          <w:iCs/>
          <w:color w:val="333333"/>
          <w:shd w:val="clear" w:color="auto" w:fill="FFFCF0"/>
        </w:rPr>
        <w:t>ReCa+Hep</w:t>
      </w:r>
      <w:proofErr w:type="spellEnd"/>
      <w:r w:rsidRPr="006C50DD">
        <w:rPr>
          <w:rFonts w:ascii="Cambria" w:hAnsi="Cambria"/>
          <w:i/>
          <w:iCs/>
          <w:color w:val="333333"/>
          <w:shd w:val="clear" w:color="auto" w:fill="FFFCF0"/>
        </w:rPr>
        <w:t xml:space="preserve"> 2U) and 3 U/ml (</w:t>
      </w:r>
      <w:proofErr w:type="spellStart"/>
      <w:r w:rsidRPr="006C50DD">
        <w:rPr>
          <w:rFonts w:ascii="Cambria" w:hAnsi="Cambria"/>
          <w:i/>
          <w:iCs/>
          <w:color w:val="333333"/>
          <w:shd w:val="clear" w:color="auto" w:fill="FFFCF0"/>
        </w:rPr>
        <w:t>ReCa+Hep</w:t>
      </w:r>
      <w:proofErr w:type="spellEnd"/>
      <w:r w:rsidRPr="006C50DD">
        <w:rPr>
          <w:rFonts w:ascii="Cambria" w:hAnsi="Cambria"/>
          <w:i/>
          <w:iCs/>
          <w:color w:val="333333"/>
          <w:shd w:val="clear" w:color="auto" w:fill="FFFCF0"/>
        </w:rPr>
        <w:t xml:space="preserve"> 3U). </w:t>
      </w:r>
    </w:p>
    <w:p w14:paraId="404F0480" w14:textId="6A55CAEC" w:rsidR="00C6110A" w:rsidRDefault="004F4786" w:rsidP="00C6110A">
      <w:pPr>
        <w:ind w:firstLine="720"/>
      </w:pPr>
      <w:r>
        <w:t xml:space="preserve"> </w:t>
      </w:r>
    </w:p>
    <w:p w14:paraId="7856A782" w14:textId="38AC470E" w:rsidR="00A57E94" w:rsidRDefault="005D2103" w:rsidP="00A57E94">
      <w:pPr>
        <w:ind w:firstLine="720"/>
      </w:pPr>
      <w:r>
        <w:rPr>
          <w:noProof/>
        </w:rPr>
        <w:lastRenderedPageBreak/>
        <w:drawing>
          <wp:inline distT="0" distB="0" distL="0" distR="0" wp14:anchorId="763BAA44" wp14:editId="2DEEBE28">
            <wp:extent cx="4698950" cy="56337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07" cy="56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AC3E" w14:textId="4D929D4A" w:rsidR="00C55B63" w:rsidRDefault="00C55B63" w:rsidP="00A57E94">
      <w:pPr>
        <w:ind w:firstLine="720"/>
      </w:pPr>
    </w:p>
    <w:p w14:paraId="0CA906C3" w14:textId="0DA5ED3E" w:rsidR="00C55B63" w:rsidRPr="00C55B63" w:rsidRDefault="00C55B63" w:rsidP="00A57E94">
      <w:pPr>
        <w:ind w:firstLine="720"/>
        <w:rPr>
          <w:i/>
          <w:iCs/>
        </w:rPr>
      </w:pPr>
      <w:r w:rsidRPr="00C55B63">
        <w:rPr>
          <w:rFonts w:ascii="Cambria" w:hAnsi="Cambria"/>
          <w:i/>
          <w:iCs/>
          <w:color w:val="333333"/>
          <w:shd w:val="clear" w:color="auto" w:fill="FFFCF0"/>
        </w:rPr>
        <w:t>Figure 2: Platelet (A) and leukocyte (B) count results (normalized to the whole blood negative controls for each blood condition) after blood incubation with the test materials for 1 hour. Tested with directly heparinized blood to concentrations of 1 U/ml and 2 U/ml. </w:t>
      </w:r>
    </w:p>
    <w:sectPr w:rsidR="00C55B63" w:rsidRPr="00C5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2B85"/>
    <w:multiLevelType w:val="hybridMultilevel"/>
    <w:tmpl w:val="BA6A2A3C"/>
    <w:lvl w:ilvl="0" w:tplc="B92673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A"/>
    <w:rsid w:val="00005D8A"/>
    <w:rsid w:val="00006A61"/>
    <w:rsid w:val="00007B03"/>
    <w:rsid w:val="0002328A"/>
    <w:rsid w:val="00047D76"/>
    <w:rsid w:val="000A6426"/>
    <w:rsid w:val="000B59EE"/>
    <w:rsid w:val="000B5EAF"/>
    <w:rsid w:val="000C58A6"/>
    <w:rsid w:val="000C7348"/>
    <w:rsid w:val="000E1CEF"/>
    <w:rsid w:val="000F4BB6"/>
    <w:rsid w:val="001364CA"/>
    <w:rsid w:val="00187129"/>
    <w:rsid w:val="001A2CA4"/>
    <w:rsid w:val="001E3097"/>
    <w:rsid w:val="00223D8C"/>
    <w:rsid w:val="0024109C"/>
    <w:rsid w:val="002413E1"/>
    <w:rsid w:val="00245FFA"/>
    <w:rsid w:val="00280B77"/>
    <w:rsid w:val="002931AE"/>
    <w:rsid w:val="00294053"/>
    <w:rsid w:val="002C035A"/>
    <w:rsid w:val="002C074F"/>
    <w:rsid w:val="002E0BE0"/>
    <w:rsid w:val="002E1BE2"/>
    <w:rsid w:val="002F2629"/>
    <w:rsid w:val="00321347"/>
    <w:rsid w:val="00334692"/>
    <w:rsid w:val="00362C10"/>
    <w:rsid w:val="003805C3"/>
    <w:rsid w:val="0041351A"/>
    <w:rsid w:val="004139A7"/>
    <w:rsid w:val="004348DC"/>
    <w:rsid w:val="004514B1"/>
    <w:rsid w:val="004519AE"/>
    <w:rsid w:val="00455F9B"/>
    <w:rsid w:val="004E3C53"/>
    <w:rsid w:val="004F4786"/>
    <w:rsid w:val="004F5279"/>
    <w:rsid w:val="005237D1"/>
    <w:rsid w:val="00530724"/>
    <w:rsid w:val="005414D0"/>
    <w:rsid w:val="0055132B"/>
    <w:rsid w:val="005573EB"/>
    <w:rsid w:val="00572B87"/>
    <w:rsid w:val="005966F2"/>
    <w:rsid w:val="005A62CD"/>
    <w:rsid w:val="005B40B3"/>
    <w:rsid w:val="005B5AA0"/>
    <w:rsid w:val="005D2103"/>
    <w:rsid w:val="005E4C56"/>
    <w:rsid w:val="00627257"/>
    <w:rsid w:val="006614AF"/>
    <w:rsid w:val="00671B39"/>
    <w:rsid w:val="006975ED"/>
    <w:rsid w:val="006C50DD"/>
    <w:rsid w:val="006D358A"/>
    <w:rsid w:val="006E7221"/>
    <w:rsid w:val="00731806"/>
    <w:rsid w:val="0073258C"/>
    <w:rsid w:val="0075658D"/>
    <w:rsid w:val="00795C9B"/>
    <w:rsid w:val="007A7CD9"/>
    <w:rsid w:val="007C209B"/>
    <w:rsid w:val="007D52A4"/>
    <w:rsid w:val="008051DB"/>
    <w:rsid w:val="00864F2C"/>
    <w:rsid w:val="008B0A52"/>
    <w:rsid w:val="0091234B"/>
    <w:rsid w:val="00963B52"/>
    <w:rsid w:val="00963E49"/>
    <w:rsid w:val="00983FC7"/>
    <w:rsid w:val="009F67F6"/>
    <w:rsid w:val="00A0371D"/>
    <w:rsid w:val="00A20804"/>
    <w:rsid w:val="00A26A67"/>
    <w:rsid w:val="00A3710F"/>
    <w:rsid w:val="00A57E94"/>
    <w:rsid w:val="00A749A5"/>
    <w:rsid w:val="00AA1D87"/>
    <w:rsid w:val="00AB31BD"/>
    <w:rsid w:val="00B30502"/>
    <w:rsid w:val="00B61820"/>
    <w:rsid w:val="00B76714"/>
    <w:rsid w:val="00B93F3C"/>
    <w:rsid w:val="00BA1999"/>
    <w:rsid w:val="00BE0165"/>
    <w:rsid w:val="00C06449"/>
    <w:rsid w:val="00C55B63"/>
    <w:rsid w:val="00C6110A"/>
    <w:rsid w:val="00C66B19"/>
    <w:rsid w:val="00C673F9"/>
    <w:rsid w:val="00C86BEA"/>
    <w:rsid w:val="00CA25E2"/>
    <w:rsid w:val="00CC7F9C"/>
    <w:rsid w:val="00D02AB6"/>
    <w:rsid w:val="00D0425E"/>
    <w:rsid w:val="00D10B54"/>
    <w:rsid w:val="00D43137"/>
    <w:rsid w:val="00D47842"/>
    <w:rsid w:val="00DF38A0"/>
    <w:rsid w:val="00DF4ECD"/>
    <w:rsid w:val="00E46160"/>
    <w:rsid w:val="00E521CB"/>
    <w:rsid w:val="00E91DB2"/>
    <w:rsid w:val="00E9415D"/>
    <w:rsid w:val="00E96572"/>
    <w:rsid w:val="00EC2D25"/>
    <w:rsid w:val="00EF0082"/>
    <w:rsid w:val="00F151E3"/>
    <w:rsid w:val="00F31344"/>
    <w:rsid w:val="00F3547D"/>
    <w:rsid w:val="00F37B53"/>
    <w:rsid w:val="00F468B6"/>
    <w:rsid w:val="00FA1D79"/>
    <w:rsid w:val="00FC19A8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11C3"/>
  <w15:chartTrackingRefBased/>
  <w15:docId w15:val="{9DEEBF58-EF30-4D2E-AFDB-9B7395AB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PBodyText">
    <w:name w:val="SOP Body Text"/>
    <w:qFormat/>
    <w:rsid w:val="00C6110A"/>
    <w:pPr>
      <w:spacing w:after="120" w:line="240" w:lineRule="auto"/>
    </w:pPr>
    <w:rPr>
      <w:rFonts w:ascii="Calibri" w:eastAsia="Times New Roman" w:hAnsi="Calibri" w:cs="Times New Roman"/>
      <w:sz w:val="24"/>
    </w:rPr>
  </w:style>
  <w:style w:type="paragraph" w:styleId="ListParagraph">
    <w:name w:val="List Paragraph"/>
    <w:basedOn w:val="Normal"/>
    <w:uiPriority w:val="34"/>
    <w:qFormat/>
    <w:rsid w:val="00A57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5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40B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E30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35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84902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849027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rticles/PMC849027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Hariharan, Prasanna</dc:creator>
  <cp:keywords/>
  <dc:description/>
  <cp:lastModifiedBy>Hariharan, Prasanna</cp:lastModifiedBy>
  <cp:revision>2</cp:revision>
  <dcterms:created xsi:type="dcterms:W3CDTF">2023-12-20T20:19:00Z</dcterms:created>
  <dcterms:modified xsi:type="dcterms:W3CDTF">2023-12-20T20:19:00Z</dcterms:modified>
</cp:coreProperties>
</file>