
<file path=[Content_Types].xml><?xml version="1.0" encoding="utf-8"?>
<Types xmlns="http://schemas.openxmlformats.org/package/2006/content-types">
  <Default Extension="xml" ContentType="application/xml"/>
  <Default Extension="xlsb" ContentType="application/vnd.ms-excel.sheet.binary.macroEnabled.12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7DD32" w14:textId="77777777" w:rsidR="00AF66C3" w:rsidRDefault="00AF66C3">
      <w:pPr>
        <w:jc w:val="center"/>
        <w:rPr>
          <w:b/>
          <w:sz w:val="28"/>
          <w:szCs w:val="28"/>
        </w:rPr>
      </w:pPr>
    </w:p>
    <w:p w14:paraId="59DD73D2" w14:textId="77777777" w:rsidR="00AF66C3" w:rsidRDefault="00AF66C3">
      <w:pPr>
        <w:jc w:val="right"/>
        <w:rPr>
          <w:b/>
          <w:sz w:val="28"/>
          <w:szCs w:val="28"/>
        </w:rPr>
      </w:pPr>
    </w:p>
    <w:p w14:paraId="1FB12305" w14:textId="77777777" w:rsidR="00AF66C3" w:rsidRDefault="00AF66C3">
      <w:pPr>
        <w:jc w:val="right"/>
        <w:rPr>
          <w:b/>
          <w:sz w:val="28"/>
          <w:szCs w:val="28"/>
        </w:rPr>
      </w:pPr>
    </w:p>
    <w:p w14:paraId="69994796" w14:textId="77777777" w:rsidR="00AF66C3" w:rsidRDefault="00AF66C3"/>
    <w:p w14:paraId="385C3E5A" w14:textId="77777777" w:rsidR="00AF66C3" w:rsidRDefault="00AF66C3"/>
    <w:p w14:paraId="45D0DC03" w14:textId="77777777" w:rsidR="00AF66C3" w:rsidRPr="007177F6" w:rsidRDefault="007177F6" w:rsidP="00AA125B">
      <w:pPr>
        <w:jc w:val="center"/>
        <w:rPr>
          <w:sz w:val="52"/>
          <w:szCs w:val="52"/>
        </w:rPr>
      </w:pPr>
      <w:r w:rsidRPr="007177F6">
        <w:rPr>
          <w:b/>
          <w:bCs/>
          <w:noProof/>
          <w:color w:val="000000"/>
          <w:sz w:val="52"/>
          <w:szCs w:val="52"/>
        </w:rPr>
        <w:t>Consortium for</w:t>
      </w:r>
      <w:r>
        <w:rPr>
          <w:b/>
          <w:bCs/>
          <w:color w:val="000000"/>
          <w:sz w:val="52"/>
          <w:szCs w:val="52"/>
        </w:rPr>
        <w:t>:</w:t>
      </w:r>
    </w:p>
    <w:p w14:paraId="78952658" w14:textId="77777777" w:rsidR="00AF66C3" w:rsidRDefault="00AF66C3"/>
    <w:p w14:paraId="0CECF436" w14:textId="77777777" w:rsidR="00AA125B" w:rsidRDefault="007177F6">
      <w:pPr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 xml:space="preserve">OPEN SOURCE </w:t>
      </w:r>
      <w:r w:rsidR="00AA125B">
        <w:rPr>
          <w:b/>
          <w:sz w:val="52"/>
          <w:szCs w:val="28"/>
        </w:rPr>
        <w:t>ENTITY RESOLUTION ARCHITECTURE</w:t>
      </w:r>
      <w:r w:rsidR="006A0D22">
        <w:rPr>
          <w:b/>
          <w:sz w:val="52"/>
          <w:szCs w:val="28"/>
        </w:rPr>
        <w:t xml:space="preserve"> FRAMEWORK</w:t>
      </w:r>
    </w:p>
    <w:p w14:paraId="79616101" w14:textId="77777777" w:rsidR="00AF66C3" w:rsidRDefault="00AF66C3">
      <w:pPr>
        <w:jc w:val="center"/>
        <w:rPr>
          <w:b/>
          <w:sz w:val="28"/>
          <w:szCs w:val="28"/>
        </w:rPr>
      </w:pPr>
      <w:r>
        <w:rPr>
          <w:b/>
          <w:bCs/>
          <w:sz w:val="52"/>
        </w:rPr>
        <w:t xml:space="preserve"> </w:t>
      </w:r>
    </w:p>
    <w:p w14:paraId="27D355B5" w14:textId="77777777" w:rsidR="00AF66C3" w:rsidRDefault="006A0D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05/12/2014</w:t>
      </w:r>
    </w:p>
    <w:p w14:paraId="718BBB6C" w14:textId="77777777" w:rsidR="00AA125B" w:rsidRDefault="00AA125B">
      <w:pPr>
        <w:jc w:val="center"/>
        <w:rPr>
          <w:b/>
          <w:sz w:val="28"/>
          <w:szCs w:val="28"/>
        </w:rPr>
      </w:pPr>
    </w:p>
    <w:p w14:paraId="18A200B1" w14:textId="77777777" w:rsidR="00AA125B" w:rsidRDefault="00AA1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Alan Johnson, Qbase</w:t>
      </w:r>
    </w:p>
    <w:p w14:paraId="1A0153DB" w14:textId="77777777" w:rsidR="00AA125B" w:rsidRDefault="00AA1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Gregg Hanold, Qbase</w:t>
      </w:r>
    </w:p>
    <w:p w14:paraId="3FFAABF6" w14:textId="77777777" w:rsidR="00AA125B" w:rsidRDefault="00AA1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James Conklin, CCRi</w:t>
      </w:r>
    </w:p>
    <w:p w14:paraId="0EA3C713" w14:textId="77777777" w:rsidR="00AA125B" w:rsidRDefault="00AA1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Adam Norris, Blue Canopy</w:t>
      </w:r>
    </w:p>
    <w:p w14:paraId="3C18DB0D" w14:textId="77777777" w:rsidR="00AA125B" w:rsidRDefault="00AA1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Cameron Hunt, TRA Holdings</w:t>
      </w:r>
    </w:p>
    <w:p w14:paraId="20984F93" w14:textId="77777777" w:rsidR="00AA125B" w:rsidRDefault="00AA12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Shane Lawson, Ponte Technologies</w:t>
      </w:r>
    </w:p>
    <w:p w14:paraId="0E3189AE" w14:textId="77777777" w:rsidR="00AF66C3" w:rsidRDefault="00AF66C3">
      <w:pPr>
        <w:jc w:val="center"/>
        <w:rPr>
          <w:b/>
        </w:rPr>
      </w:pPr>
    </w:p>
    <w:p w14:paraId="1D7B926F" w14:textId="77777777" w:rsidR="00AF66C3" w:rsidRDefault="00AF66C3">
      <w:pPr>
        <w:rPr>
          <w:b/>
        </w:rPr>
      </w:pPr>
    </w:p>
    <w:p w14:paraId="28AD64F9" w14:textId="77777777" w:rsidR="00633AB4" w:rsidRDefault="00633AB4">
      <w:pPr>
        <w:rPr>
          <w:b/>
        </w:rPr>
      </w:pPr>
    </w:p>
    <w:p w14:paraId="1F076439" w14:textId="77777777" w:rsidR="00633AB4" w:rsidRDefault="00633AB4">
      <w:pPr>
        <w:rPr>
          <w:b/>
        </w:rPr>
      </w:pPr>
    </w:p>
    <w:p w14:paraId="799CA849" w14:textId="77777777" w:rsidR="00633AB4" w:rsidRDefault="00633AB4">
      <w:pPr>
        <w:rPr>
          <w:b/>
        </w:rPr>
      </w:pPr>
    </w:p>
    <w:p w14:paraId="09F0E099" w14:textId="77777777" w:rsidR="00633AB4" w:rsidRDefault="00633AB4">
      <w:pPr>
        <w:rPr>
          <w:b/>
        </w:rPr>
      </w:pPr>
    </w:p>
    <w:p w14:paraId="78E50C98" w14:textId="77777777" w:rsidR="00633AB4" w:rsidRDefault="00633AB4">
      <w:pPr>
        <w:rPr>
          <w:b/>
        </w:rPr>
      </w:pPr>
    </w:p>
    <w:p w14:paraId="06211A35" w14:textId="77777777" w:rsidR="00633AB4" w:rsidRDefault="00633AB4">
      <w:pPr>
        <w:rPr>
          <w:b/>
        </w:rPr>
      </w:pPr>
    </w:p>
    <w:p w14:paraId="3EF727D0" w14:textId="77777777" w:rsidR="00633AB4" w:rsidRDefault="00633AB4">
      <w:pPr>
        <w:rPr>
          <w:b/>
        </w:rPr>
      </w:pPr>
    </w:p>
    <w:p w14:paraId="2ABF381F" w14:textId="77777777" w:rsidR="00633AB4" w:rsidRDefault="00633AB4">
      <w:pPr>
        <w:rPr>
          <w:b/>
        </w:rPr>
      </w:pPr>
    </w:p>
    <w:p w14:paraId="04D8C3C6" w14:textId="77777777" w:rsidR="00633AB4" w:rsidRDefault="00633AB4">
      <w:pPr>
        <w:rPr>
          <w:b/>
        </w:rPr>
      </w:pPr>
    </w:p>
    <w:p w14:paraId="0ADB337D" w14:textId="77777777" w:rsidR="00633AB4" w:rsidRDefault="00633AB4">
      <w:pPr>
        <w:rPr>
          <w:b/>
        </w:rPr>
      </w:pPr>
    </w:p>
    <w:p w14:paraId="1652EA80" w14:textId="77777777" w:rsidR="00633AB4" w:rsidRDefault="00633AB4">
      <w:pPr>
        <w:rPr>
          <w:b/>
        </w:rPr>
      </w:pPr>
    </w:p>
    <w:p w14:paraId="05FAEACC" w14:textId="77777777" w:rsidR="00633AB4" w:rsidRDefault="00633AB4">
      <w:pPr>
        <w:rPr>
          <w:b/>
        </w:rPr>
      </w:pPr>
    </w:p>
    <w:p w14:paraId="060E53BA" w14:textId="77777777" w:rsidR="00633AB4" w:rsidRDefault="00633AB4">
      <w:pPr>
        <w:rPr>
          <w:b/>
        </w:rPr>
      </w:pPr>
    </w:p>
    <w:p w14:paraId="6EAEC236" w14:textId="77777777" w:rsidR="00633AB4" w:rsidRDefault="00633AB4">
      <w:pPr>
        <w:rPr>
          <w:b/>
        </w:rPr>
      </w:pPr>
    </w:p>
    <w:p w14:paraId="415D81EF" w14:textId="77777777" w:rsidR="00633AB4" w:rsidRDefault="00633AB4">
      <w:pPr>
        <w:rPr>
          <w:b/>
        </w:rPr>
      </w:pPr>
    </w:p>
    <w:p w14:paraId="3B4E9274" w14:textId="77777777" w:rsidR="00AF66C3" w:rsidRDefault="00AF66C3">
      <w:pPr>
        <w:rPr>
          <w:b/>
        </w:rPr>
      </w:pPr>
    </w:p>
    <w:p w14:paraId="505543CE" w14:textId="77777777" w:rsidR="003A6A21" w:rsidRDefault="007177F6" w:rsidP="003A6A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Sponsored by </w:t>
      </w:r>
      <w:r w:rsidR="003A6A21">
        <w:rPr>
          <w:b/>
          <w:sz w:val="28"/>
          <w:szCs w:val="28"/>
        </w:rPr>
        <w:t>Qbase, LLC</w:t>
      </w:r>
    </w:p>
    <w:p w14:paraId="7217239A" w14:textId="77777777" w:rsidR="00AF66C3" w:rsidRDefault="003A6A21" w:rsidP="003A6A21">
      <w:pPr>
        <w:jc w:val="center"/>
        <w:rPr>
          <w:b/>
          <w:sz w:val="20"/>
          <w:szCs w:val="20"/>
        </w:rPr>
      </w:pPr>
      <w:r w:rsidRPr="003A6A21">
        <w:rPr>
          <w:b/>
          <w:sz w:val="20"/>
          <w:szCs w:val="20"/>
        </w:rPr>
        <w:t>12018 Sunrise Valley Drive</w:t>
      </w:r>
      <w:r>
        <w:rPr>
          <w:b/>
          <w:sz w:val="20"/>
          <w:szCs w:val="20"/>
        </w:rPr>
        <w:t xml:space="preserve">, </w:t>
      </w:r>
      <w:r w:rsidRPr="003A6A21">
        <w:rPr>
          <w:b/>
          <w:sz w:val="20"/>
          <w:szCs w:val="20"/>
        </w:rPr>
        <w:t>Suite 300</w:t>
      </w:r>
      <w:r>
        <w:rPr>
          <w:b/>
          <w:sz w:val="20"/>
          <w:szCs w:val="20"/>
        </w:rPr>
        <w:t xml:space="preserve">, </w:t>
      </w:r>
      <w:r w:rsidRPr="003A6A21">
        <w:rPr>
          <w:b/>
          <w:sz w:val="20"/>
          <w:szCs w:val="20"/>
        </w:rPr>
        <w:t>Reston, VA  20191</w:t>
      </w:r>
    </w:p>
    <w:p w14:paraId="7CBDCF1E" w14:textId="77777777" w:rsidR="007177F6" w:rsidRDefault="008E4415" w:rsidP="003A6A21">
      <w:pPr>
        <w:jc w:val="center"/>
        <w:rPr>
          <w:b/>
          <w:sz w:val="20"/>
          <w:szCs w:val="20"/>
        </w:rPr>
      </w:pPr>
      <w:r w:rsidRPr="008E4415">
        <w:rPr>
          <w:b/>
          <w:sz w:val="20"/>
          <w:szCs w:val="20"/>
        </w:rPr>
        <w:t>Toll Free: 888 458 0345</w:t>
      </w:r>
    </w:p>
    <w:p w14:paraId="18BF9BA0" w14:textId="77777777" w:rsidR="007177F6" w:rsidRDefault="007177F6">
      <w:pPr>
        <w:rPr>
          <w:b/>
          <w:sz w:val="20"/>
          <w:szCs w:val="20"/>
        </w:rPr>
      </w:pPr>
    </w:p>
    <w:p w14:paraId="09C207FE" w14:textId="77777777" w:rsidR="00AF66C3" w:rsidRDefault="0088687B">
      <w:pPr>
        <w:pStyle w:val="TOC1"/>
        <w:tabs>
          <w:tab w:val="right" w:leader="dot" w:pos="9350"/>
        </w:tabs>
      </w:pPr>
      <w:bookmarkStart w:id="0" w:name="_Toc85855302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2CC62" wp14:editId="24A78DD7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2971800" cy="342900"/>
                <wp:effectExtent l="0" t="3810" r="0" b="0"/>
                <wp:wrapNone/>
                <wp:docPr id="19" name="Text Box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B0039" w14:textId="77777777" w:rsidR="006C14EF" w:rsidRDefault="006C14E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52" o:spid="_x0000_s1026" type="#_x0000_t202" style="position:absolute;margin-left:108pt;margin-top:-8.95pt;width:23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" filled="f" stroked="f">
                <v:textbox>
                  <w:txbxContent>
                    <w:p w14:paraId="6DCB0039" w14:textId="77777777" w:rsidR="006C14EF" w:rsidRDefault="006C14EF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Table of Contents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6EEA5CA" w14:textId="77777777" w:rsidR="00DC068E" w:rsidRDefault="000F333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 w:rsidR="00DC068E" w:rsidRPr="00EC68A0">
        <w:rPr>
          <w:noProof/>
        </w:rPr>
        <w:t>Introduction</w:t>
      </w:r>
      <w:r w:rsidR="00DC068E">
        <w:rPr>
          <w:noProof/>
        </w:rPr>
        <w:tab/>
      </w:r>
      <w:r w:rsidR="00DC068E">
        <w:rPr>
          <w:noProof/>
        </w:rPr>
        <w:fldChar w:fldCharType="begin"/>
      </w:r>
      <w:r w:rsidR="00DC068E">
        <w:rPr>
          <w:noProof/>
        </w:rPr>
        <w:instrText xml:space="preserve"> PAGEREF _Toc261534190 \h </w:instrText>
      </w:r>
      <w:r w:rsidR="00DC068E">
        <w:rPr>
          <w:noProof/>
        </w:rPr>
      </w:r>
      <w:r w:rsidR="00DC068E">
        <w:rPr>
          <w:noProof/>
        </w:rPr>
        <w:fldChar w:fldCharType="separate"/>
      </w:r>
      <w:r w:rsidR="00DC068E">
        <w:rPr>
          <w:noProof/>
        </w:rPr>
        <w:t>3</w:t>
      </w:r>
      <w:r w:rsidR="00DC068E">
        <w:rPr>
          <w:noProof/>
        </w:rPr>
        <w:fldChar w:fldCharType="end"/>
      </w:r>
    </w:p>
    <w:p w14:paraId="3C5B2A86" w14:textId="77777777" w:rsidR="00DC068E" w:rsidRDefault="00DC06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EC68A0"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_Toc261534191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7B1F23" w14:textId="77777777" w:rsidR="00DC068E" w:rsidRDefault="00DC06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EC68A0">
        <w:rPr>
          <w:noProof/>
        </w:rPr>
        <w:t>Technical Demonstration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_Toc261534192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664DFE" w14:textId="77777777" w:rsidR="00DC068E" w:rsidRDefault="00DC068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_Toc261534193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CADFAB" w14:textId="77777777" w:rsidR="00DC068E" w:rsidRDefault="00DC068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Components used in the Technical Demonstration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_Toc261534194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722AF" w14:textId="77777777" w:rsidR="00AF66C3" w:rsidRPr="006677CC" w:rsidRDefault="000F3333" w:rsidP="006677CC">
      <w:pPr>
        <w:jc w:val="center"/>
        <w:rPr>
          <w:b/>
          <w:sz w:val="36"/>
          <w:szCs w:val="36"/>
        </w:rPr>
      </w:pPr>
      <w:r>
        <w:rPr>
          <w:caps/>
          <w:sz w:val="20"/>
          <w:szCs w:val="20"/>
        </w:rPr>
        <w:fldChar w:fldCharType="end"/>
      </w:r>
      <w:r w:rsidR="00DC713F" w:rsidRPr="006677CC">
        <w:rPr>
          <w:b/>
          <w:sz w:val="36"/>
          <w:szCs w:val="36"/>
        </w:rPr>
        <w:t>Table of Figures</w:t>
      </w:r>
    </w:p>
    <w:p w14:paraId="1C8CDFE4" w14:textId="77777777" w:rsidR="000159ED" w:rsidRDefault="00DC713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0F3333">
        <w:rPr>
          <w:b/>
          <w:bCs/>
          <w:sz w:val="22"/>
          <w:szCs w:val="22"/>
        </w:rPr>
        <w:fldChar w:fldCharType="begin"/>
      </w:r>
      <w:r w:rsidRPr="000F3333">
        <w:rPr>
          <w:b/>
          <w:bCs/>
          <w:sz w:val="22"/>
          <w:szCs w:val="22"/>
        </w:rPr>
        <w:instrText xml:space="preserve"> TOC \h \z \t "Caption" \c </w:instrText>
      </w:r>
      <w:r w:rsidRPr="000F3333">
        <w:rPr>
          <w:b/>
          <w:bCs/>
          <w:sz w:val="22"/>
          <w:szCs w:val="22"/>
        </w:rPr>
        <w:fldChar w:fldCharType="separate"/>
      </w:r>
      <w:r w:rsidR="000159ED">
        <w:rPr>
          <w:noProof/>
        </w:rPr>
        <w:t>Figure 1 -OSERAF Operational View (Notional Multi-Level View)</w:t>
      </w:r>
      <w:r w:rsidR="000159ED">
        <w:rPr>
          <w:noProof/>
        </w:rPr>
        <w:tab/>
      </w:r>
      <w:r w:rsidR="000159ED">
        <w:rPr>
          <w:noProof/>
        </w:rPr>
        <w:fldChar w:fldCharType="begin"/>
      </w:r>
      <w:r w:rsidR="000159ED">
        <w:rPr>
          <w:noProof/>
        </w:rPr>
        <w:instrText xml:space="preserve"> PAGEREF _Toc261537018 \h </w:instrText>
      </w:r>
      <w:r w:rsidR="000159ED">
        <w:rPr>
          <w:noProof/>
        </w:rPr>
      </w:r>
      <w:r w:rsidR="000159ED">
        <w:rPr>
          <w:noProof/>
        </w:rPr>
        <w:fldChar w:fldCharType="separate"/>
      </w:r>
      <w:r w:rsidR="000159ED">
        <w:rPr>
          <w:noProof/>
        </w:rPr>
        <w:t>4</w:t>
      </w:r>
      <w:r w:rsidR="000159ED">
        <w:rPr>
          <w:noProof/>
        </w:rPr>
        <w:fldChar w:fldCharType="end"/>
      </w:r>
    </w:p>
    <w:p w14:paraId="6375DEFB" w14:textId="77777777" w:rsidR="000159ED" w:rsidRDefault="000159E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Figure 2 – Reference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_Toc261537019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8AB63" w14:textId="77777777" w:rsidR="001A6400" w:rsidRDefault="00DC713F" w:rsidP="001A6400">
      <w:pPr>
        <w:pStyle w:val="Heading1"/>
        <w:jc w:val="both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0F3333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fldChar w:fldCharType="end"/>
      </w:r>
      <w:bookmarkEnd w:id="0"/>
    </w:p>
    <w:p w14:paraId="7BC3ED5F" w14:textId="77777777" w:rsidR="00804E2B" w:rsidRDefault="00804E2B">
      <w:pPr>
        <w:rPr>
          <w:b/>
          <w:bCs/>
          <w:kern w:val="32"/>
          <w:sz w:val="32"/>
          <w:szCs w:val="32"/>
        </w:rPr>
      </w:pPr>
      <w:r>
        <w:br w:type="page"/>
      </w:r>
    </w:p>
    <w:p w14:paraId="267651BF" w14:textId="77777777" w:rsidR="00AF66C3" w:rsidRPr="00DC713F" w:rsidRDefault="008E4415" w:rsidP="001A6400">
      <w:pPr>
        <w:pStyle w:val="Heading1"/>
        <w:jc w:val="both"/>
        <w:rPr>
          <w:rFonts w:ascii="Times New Roman" w:hAnsi="Times New Roman" w:cs="Times New Roman"/>
        </w:rPr>
      </w:pPr>
      <w:bookmarkStart w:id="1" w:name="_Toc261534190"/>
      <w:r>
        <w:rPr>
          <w:rFonts w:ascii="Times New Roman" w:hAnsi="Times New Roman" w:cs="Times New Roman"/>
        </w:rPr>
        <w:lastRenderedPageBreak/>
        <w:t>Introduction</w:t>
      </w:r>
      <w:bookmarkEnd w:id="1"/>
    </w:p>
    <w:p w14:paraId="242AC629" w14:textId="77777777" w:rsidR="006225E7" w:rsidRPr="00DC068E" w:rsidRDefault="00BA7CDF" w:rsidP="00BA7CDF">
      <w:r w:rsidRPr="00DC068E">
        <w:t xml:space="preserve">This white paper </w:t>
      </w:r>
      <w:r w:rsidR="006A0D22" w:rsidRPr="00DC068E">
        <w:t>proposal outlines the establishment and technical demonstration of an</w:t>
      </w:r>
      <w:r w:rsidRPr="00DC068E">
        <w:t xml:space="preserve"> </w:t>
      </w:r>
      <w:r w:rsidR="007177F6" w:rsidRPr="00DC068E">
        <w:t xml:space="preserve">Open Source </w:t>
      </w:r>
      <w:r w:rsidRPr="00DC068E">
        <w:t>Entity Resolution Architecture</w:t>
      </w:r>
      <w:r w:rsidR="006A0D22" w:rsidRPr="00DC068E">
        <w:t xml:space="preserve"> Framework</w:t>
      </w:r>
      <w:r w:rsidRPr="00DC068E">
        <w:t xml:space="preserve"> </w:t>
      </w:r>
      <w:r w:rsidR="006A0D22" w:rsidRPr="00DC068E">
        <w:t>(OSERAF) implemented with a specific set of prototypical use cases in mind</w:t>
      </w:r>
      <w:r w:rsidR="009A3BDF" w:rsidRPr="00DC068E">
        <w:t xml:space="preserve">.  </w:t>
      </w:r>
      <w:r w:rsidR="007E7EE5" w:rsidRPr="00DC068E">
        <w:t xml:space="preserve">  </w:t>
      </w:r>
      <w:r w:rsidR="00CC3FBB" w:rsidRPr="00DC068E">
        <w:t>Specifically</w:t>
      </w:r>
      <w:r w:rsidR="006A0D22" w:rsidRPr="00DC068E">
        <w:t>,</w:t>
      </w:r>
      <w:r w:rsidR="006225E7" w:rsidRPr="00DC068E">
        <w:t xml:space="preserve"> </w:t>
      </w:r>
      <w:r w:rsidR="006A0D22" w:rsidRPr="00DC068E">
        <w:t>this technical demonstration illustrates</w:t>
      </w:r>
      <w:r w:rsidR="006225E7" w:rsidRPr="00DC068E">
        <w:t>:</w:t>
      </w:r>
    </w:p>
    <w:p w14:paraId="1800C819" w14:textId="77777777" w:rsidR="006A0D22" w:rsidRPr="00DC068E" w:rsidRDefault="006A0D22" w:rsidP="00BA7CDF"/>
    <w:p w14:paraId="71091935" w14:textId="77777777" w:rsidR="006A0D22" w:rsidRPr="00DC068E" w:rsidRDefault="006A0D22" w:rsidP="006A0D22">
      <w:pPr>
        <w:pStyle w:val="ListBulleted"/>
        <w:jc w:val="both"/>
        <w:rPr>
          <w:rFonts w:ascii="Times New Roman" w:hAnsi="Times New Roman"/>
          <w:szCs w:val="24"/>
        </w:rPr>
      </w:pPr>
      <w:r w:rsidRPr="00DC068E">
        <w:rPr>
          <w:rFonts w:ascii="Times New Roman" w:hAnsi="Times New Roman"/>
          <w:szCs w:val="24"/>
        </w:rPr>
        <w:t>The overarching principals and operational architecture of the OSERAF, with specific emphasis on its Entity Resolution Engine via a reference implementation of a select set of its technical components.</w:t>
      </w:r>
    </w:p>
    <w:p w14:paraId="0518F3F4" w14:textId="77777777" w:rsidR="00AF66C3" w:rsidRPr="00DC068E" w:rsidRDefault="001E0F93">
      <w:pPr>
        <w:pStyle w:val="ListBulleted"/>
        <w:jc w:val="both"/>
        <w:rPr>
          <w:rFonts w:ascii="Times New Roman" w:hAnsi="Times New Roman"/>
          <w:szCs w:val="24"/>
        </w:rPr>
      </w:pPr>
      <w:r w:rsidRPr="00DC068E">
        <w:rPr>
          <w:rFonts w:ascii="Times New Roman" w:hAnsi="Times New Roman"/>
          <w:szCs w:val="24"/>
        </w:rPr>
        <w:t>The integration of</w:t>
      </w:r>
      <w:r w:rsidR="00AF66C3" w:rsidRPr="00DC068E">
        <w:rPr>
          <w:rFonts w:ascii="Times New Roman" w:hAnsi="Times New Roman"/>
          <w:szCs w:val="24"/>
        </w:rPr>
        <w:t xml:space="preserve"> </w:t>
      </w:r>
      <w:r w:rsidR="008E4415" w:rsidRPr="00DC068E">
        <w:rPr>
          <w:rFonts w:ascii="Times New Roman" w:hAnsi="Times New Roman"/>
          <w:szCs w:val="24"/>
        </w:rPr>
        <w:t xml:space="preserve">multiple federated data sources, both structured and unstructured, with entity extraction and resolution, </w:t>
      </w:r>
      <w:r w:rsidR="006A0D22" w:rsidRPr="00DC068E">
        <w:rPr>
          <w:rFonts w:ascii="Times New Roman" w:hAnsi="Times New Roman"/>
          <w:szCs w:val="24"/>
        </w:rPr>
        <w:t>which</w:t>
      </w:r>
      <w:r w:rsidR="008E4415" w:rsidRPr="00DC068E">
        <w:rPr>
          <w:rFonts w:ascii="Times New Roman" w:hAnsi="Times New Roman"/>
          <w:szCs w:val="24"/>
        </w:rPr>
        <w:t xml:space="preserve"> provide a fused view into the data and its relationships based on a use case under analysis</w:t>
      </w:r>
      <w:r w:rsidR="00AF66C3" w:rsidRPr="00DC068E">
        <w:rPr>
          <w:rFonts w:ascii="Times New Roman" w:hAnsi="Times New Roman"/>
          <w:i/>
          <w:szCs w:val="24"/>
        </w:rPr>
        <w:t xml:space="preserve">.  </w:t>
      </w:r>
    </w:p>
    <w:p w14:paraId="2953881F" w14:textId="77777777" w:rsidR="00AF66C3" w:rsidRDefault="00AF66C3">
      <w:pPr>
        <w:pStyle w:val="Heading1"/>
        <w:jc w:val="both"/>
        <w:rPr>
          <w:rFonts w:ascii="Times New Roman" w:hAnsi="Times New Roman" w:cs="Times New Roman"/>
        </w:rPr>
      </w:pPr>
      <w:bookmarkStart w:id="2" w:name="_Toc80349514"/>
      <w:bookmarkStart w:id="3" w:name="_Toc85855304"/>
      <w:bookmarkStart w:id="4" w:name="_Toc261534191"/>
      <w:r>
        <w:rPr>
          <w:rFonts w:ascii="Times New Roman" w:hAnsi="Times New Roman" w:cs="Times New Roman"/>
        </w:rPr>
        <w:t>E</w:t>
      </w:r>
      <w:r w:rsidR="001A6400">
        <w:rPr>
          <w:rFonts w:ascii="Times New Roman" w:hAnsi="Times New Roman" w:cs="Times New Roman"/>
        </w:rPr>
        <w:t>xecutive</w:t>
      </w:r>
      <w:r>
        <w:rPr>
          <w:rFonts w:ascii="Times New Roman" w:hAnsi="Times New Roman" w:cs="Times New Roman"/>
        </w:rPr>
        <w:t xml:space="preserve"> S</w:t>
      </w:r>
      <w:bookmarkEnd w:id="2"/>
      <w:bookmarkEnd w:id="3"/>
      <w:r w:rsidR="001A6400">
        <w:rPr>
          <w:rFonts w:ascii="Times New Roman" w:hAnsi="Times New Roman" w:cs="Times New Roman"/>
        </w:rPr>
        <w:t>ummary</w:t>
      </w:r>
      <w:bookmarkEnd w:id="4"/>
    </w:p>
    <w:p w14:paraId="0499D4BF" w14:textId="77777777" w:rsidR="00582AE9" w:rsidRDefault="00AF66C3" w:rsidP="00CC3FBB">
      <w:r>
        <w:t xml:space="preserve">This </w:t>
      </w:r>
      <w:r w:rsidR="005804B3">
        <w:t>white paper</w:t>
      </w:r>
      <w:r>
        <w:t xml:space="preserve"> </w:t>
      </w:r>
      <w:r w:rsidR="001E0F93">
        <w:t>defines</w:t>
      </w:r>
      <w:r w:rsidR="005804B3">
        <w:t xml:space="preserve"> an </w:t>
      </w:r>
      <w:r w:rsidR="00803205">
        <w:t xml:space="preserve">Open Source </w:t>
      </w:r>
      <w:r w:rsidR="005804B3">
        <w:t>Entity Resolution Architecture</w:t>
      </w:r>
      <w:r w:rsidR="006A0D22">
        <w:t xml:space="preserve"> Framework</w:t>
      </w:r>
      <w:r w:rsidR="005804B3">
        <w:t xml:space="preserve"> (</w:t>
      </w:r>
      <w:r w:rsidR="006A0D22">
        <w:t>OSERAF</w:t>
      </w:r>
      <w:r w:rsidR="005804B3">
        <w:t xml:space="preserve">) that provides for the fusion and analysis of </w:t>
      </w:r>
      <w:r w:rsidR="006A0D22">
        <w:t xml:space="preserve">content derived from </w:t>
      </w:r>
      <w:r w:rsidR="005804B3">
        <w:t>multiple federated data sources that may be structured or unstructured</w:t>
      </w:r>
      <w:r w:rsidR="006A0D22">
        <w:t xml:space="preserve">, potentially accessed </w:t>
      </w:r>
      <w:r w:rsidR="005804B3">
        <w:t>across multiple network domains</w:t>
      </w:r>
      <w:r w:rsidR="006A0D22">
        <w:t>.</w:t>
      </w:r>
      <w:r w:rsidR="005804B3">
        <w:t xml:space="preserve"> </w:t>
      </w:r>
    </w:p>
    <w:p w14:paraId="1C8361CE" w14:textId="77777777" w:rsidR="00582AE9" w:rsidRDefault="00582AE9" w:rsidP="00CC3FBB"/>
    <w:p w14:paraId="774BDB13" w14:textId="77777777" w:rsidR="00CC3FBB" w:rsidRDefault="00803205" w:rsidP="00CC3FBB">
      <w:r>
        <w:t>A</w:t>
      </w:r>
      <w:r w:rsidR="005804B3">
        <w:t xml:space="preserve"> consortium of experts in the fields of Semantic Web, Natural Language Processing, System Security, Big Data Analytics, and Software and Hardware architectures as well as </w:t>
      </w:r>
      <w:r w:rsidR="00AF66C3">
        <w:t>academia</w:t>
      </w:r>
      <w:r>
        <w:t xml:space="preserve"> has been established that</w:t>
      </w:r>
      <w:r w:rsidR="00AF66C3">
        <w:t xml:space="preserve"> is uniquely positioned to apply methodologies, processes, and proven </w:t>
      </w:r>
      <w:r w:rsidR="005804B3">
        <w:t>system security</w:t>
      </w:r>
      <w:r w:rsidR="00AF66C3">
        <w:t xml:space="preserve"> capabilities essential for </w:t>
      </w:r>
      <w:r w:rsidR="005804B3">
        <w:t xml:space="preserve">solving the complex use cases surrounding data and information analysis vital </w:t>
      </w:r>
      <w:r w:rsidR="001A6400">
        <w:t xml:space="preserve">to the commercial sector, </w:t>
      </w:r>
      <w:r w:rsidR="005804B3">
        <w:t>our national security</w:t>
      </w:r>
      <w:r w:rsidR="001A6400">
        <w:t>,</w:t>
      </w:r>
      <w:r w:rsidR="005804B3">
        <w:t xml:space="preserve"> and to the first response elements of our local</w:t>
      </w:r>
      <w:r w:rsidR="001A6400">
        <w:t>,</w:t>
      </w:r>
      <w:r w:rsidR="005804B3">
        <w:t xml:space="preserve"> state and federal </w:t>
      </w:r>
      <w:r w:rsidR="00861497">
        <w:t xml:space="preserve">emergency responders. </w:t>
      </w:r>
      <w:r w:rsidR="00AF66C3">
        <w:t xml:space="preserve">The </w:t>
      </w:r>
      <w:r w:rsidR="006A0D22">
        <w:t>OSERAF</w:t>
      </w:r>
      <w:r w:rsidR="00582AE9">
        <w:t xml:space="preserve"> defined </w:t>
      </w:r>
      <w:r w:rsidR="006A0D22">
        <w:t xml:space="preserve">and proposed </w:t>
      </w:r>
      <w:r w:rsidR="00AF66C3">
        <w:t xml:space="preserve">in this </w:t>
      </w:r>
      <w:r w:rsidR="00861497">
        <w:t>white paper</w:t>
      </w:r>
      <w:r w:rsidR="006A0D22">
        <w:t xml:space="preserve"> </w:t>
      </w:r>
      <w:r w:rsidR="00861497">
        <w:t>demonstrates the capabilities of the consortium assembled to;</w:t>
      </w:r>
      <w:r w:rsidR="00AF66C3">
        <w:t xml:space="preserve"> conduct technology assessments to identify effective technologies; develop and integrate processes and technologies; test and evaluate systems</w:t>
      </w:r>
      <w:r w:rsidR="001A6400">
        <w:t>;</w:t>
      </w:r>
      <w:r w:rsidR="00AF66C3">
        <w:t xml:space="preserve"> and transfer and integrate processes and technologies </w:t>
      </w:r>
      <w:r w:rsidR="00861497">
        <w:t>across multiple and diverse communities operating on multiple network domains.</w:t>
      </w:r>
    </w:p>
    <w:p w14:paraId="34204D6E" w14:textId="77777777" w:rsidR="00582AE9" w:rsidRDefault="00582AE9" w:rsidP="00CC3FBB"/>
    <w:p w14:paraId="56475398" w14:textId="77777777" w:rsidR="00CC3FBB" w:rsidRDefault="00CC3FBB" w:rsidP="00CC3FBB">
      <w:r w:rsidRPr="00861497">
        <w:t xml:space="preserve">The </w:t>
      </w:r>
      <w:r w:rsidR="006A0D22">
        <w:t>OSERAF</w:t>
      </w:r>
      <w:r w:rsidRPr="00861497">
        <w:t xml:space="preserve"> </w:t>
      </w:r>
      <w:r w:rsidR="00582AE9" w:rsidRPr="00861497">
        <w:rPr>
          <w:iCs/>
        </w:rPr>
        <w:t>e</w:t>
      </w:r>
      <w:r w:rsidRPr="00861497">
        <w:rPr>
          <w:iCs/>
        </w:rPr>
        <w:t>stablishe</w:t>
      </w:r>
      <w:r w:rsidR="00582AE9" w:rsidRPr="00861497">
        <w:rPr>
          <w:iCs/>
        </w:rPr>
        <w:t>s</w:t>
      </w:r>
      <w:r w:rsidRPr="00861497">
        <w:rPr>
          <w:iCs/>
        </w:rPr>
        <w:t xml:space="preserve"> </w:t>
      </w:r>
      <w:r w:rsidR="00582AE9" w:rsidRPr="00861497">
        <w:rPr>
          <w:iCs/>
        </w:rPr>
        <w:t xml:space="preserve">the operational </w:t>
      </w:r>
      <w:r w:rsidR="001A6400">
        <w:rPr>
          <w:iCs/>
        </w:rPr>
        <w:t>architecture</w:t>
      </w:r>
      <w:r w:rsidRPr="00861497">
        <w:rPr>
          <w:iCs/>
        </w:rPr>
        <w:t>, processes, and systems that can be reproduced and adapted</w:t>
      </w:r>
      <w:r w:rsidR="00861497">
        <w:rPr>
          <w:iCs/>
        </w:rPr>
        <w:t xml:space="preserve"> or subscribed to</w:t>
      </w:r>
      <w:r w:rsidRPr="00861497">
        <w:rPr>
          <w:iCs/>
        </w:rPr>
        <w:t xml:space="preserve"> by </w:t>
      </w:r>
      <w:r w:rsidR="00D502BA">
        <w:rPr>
          <w:iCs/>
        </w:rPr>
        <w:t xml:space="preserve">commercial, </w:t>
      </w:r>
      <w:r w:rsidRPr="00861497">
        <w:rPr>
          <w:iCs/>
        </w:rPr>
        <w:t>local, state, and federal organizations involved in information sharing and analysis, civil infra</w:t>
      </w:r>
      <w:r w:rsidR="006A0D22">
        <w:rPr>
          <w:iCs/>
        </w:rPr>
        <w:t xml:space="preserve">structure protection, emergency </w:t>
      </w:r>
      <w:r w:rsidRPr="00861497">
        <w:rPr>
          <w:iCs/>
        </w:rPr>
        <w:t>management, and Homeland Defense.</w:t>
      </w:r>
      <w:r w:rsidRPr="00861497">
        <w:t xml:space="preserve">  Further, the </w:t>
      </w:r>
      <w:r w:rsidR="006A0D22">
        <w:t>OSERAF</w:t>
      </w:r>
      <w:r w:rsidR="00E92949" w:rsidRPr="00861497">
        <w:t xml:space="preserve"> provides for </w:t>
      </w:r>
      <w:r w:rsidRPr="00861497">
        <w:t xml:space="preserve">establishing </w:t>
      </w:r>
      <w:r w:rsidR="00E92949" w:rsidRPr="00861497">
        <w:t>c</w:t>
      </w:r>
      <w:r w:rsidRPr="00861497">
        <w:t>onnectivity</w:t>
      </w:r>
      <w:r w:rsidR="00D94369" w:rsidRPr="00861497">
        <w:t xml:space="preserve"> to</w:t>
      </w:r>
      <w:r w:rsidRPr="00861497">
        <w:t xml:space="preserve"> such organizations as</w:t>
      </w:r>
      <w:r>
        <w:t xml:space="preserve"> the private sector Information Sharing and Analysis Centers (ISACs), </w:t>
      </w:r>
      <w:r w:rsidR="0048117F">
        <w:t xml:space="preserve">social networks, </w:t>
      </w:r>
      <w:r>
        <w:t>Joint Terrorism Task Forces (JTTFs), emergency management</w:t>
      </w:r>
      <w:r w:rsidR="0048117F">
        <w:t xml:space="preserve"> portals</w:t>
      </w:r>
      <w:r>
        <w:t>, law enforcement operations centers</w:t>
      </w:r>
      <w:r w:rsidR="0048117F">
        <w:t>, state fusion centers</w:t>
      </w:r>
      <w:r>
        <w:t xml:space="preserve">, and military information operations centers.  </w:t>
      </w:r>
      <w:r w:rsidR="008B72A1">
        <w:t xml:space="preserve">The operational view of the </w:t>
      </w:r>
      <w:r w:rsidR="006A0D22">
        <w:t>OSERAF</w:t>
      </w:r>
      <w:r w:rsidR="008B72A1">
        <w:t xml:space="preserve"> is depicted in Figure 1</w:t>
      </w:r>
      <w:r w:rsidR="001F5390">
        <w:t>.</w:t>
      </w:r>
    </w:p>
    <w:p w14:paraId="095ED7DF" w14:textId="77777777" w:rsidR="001E0F93" w:rsidRDefault="001E0F93" w:rsidP="00CC3FBB"/>
    <w:p w14:paraId="168C3DD6" w14:textId="77777777" w:rsidR="001D5B11" w:rsidRPr="001C7D8A" w:rsidRDefault="00D502BA" w:rsidP="001D5B11">
      <w:pPr>
        <w:keepNext/>
      </w:pPr>
      <w:r w:rsidRPr="00D502BA">
        <w:rPr>
          <w:noProof/>
        </w:rPr>
        <w:lastRenderedPageBreak/>
        <w:drawing>
          <wp:inline distT="0" distB="0" distL="0" distR="0" wp14:anchorId="4AF93A76" wp14:editId="56449409">
            <wp:extent cx="5943600" cy="473930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FA95" w14:textId="77777777" w:rsidR="001E0F93" w:rsidRPr="001E0F93" w:rsidRDefault="001D5B11" w:rsidP="005B65E1">
      <w:pPr>
        <w:pStyle w:val="Caption"/>
        <w:jc w:val="center"/>
      </w:pPr>
      <w:bookmarkStart w:id="5" w:name="_Toc261537018"/>
      <w:r>
        <w:t xml:space="preserve">Figure </w:t>
      </w:r>
      <w:fldSimple w:instr=" SEQ Figure \* ARABIC ">
        <w:r w:rsidR="0019689A">
          <w:rPr>
            <w:noProof/>
          </w:rPr>
          <w:t>1</w:t>
        </w:r>
      </w:fldSimple>
      <w:r>
        <w:t xml:space="preserve"> -</w:t>
      </w:r>
      <w:r w:rsidR="006A0D22">
        <w:t>OSERAF</w:t>
      </w:r>
      <w:r>
        <w:t xml:space="preserve"> Operational View</w:t>
      </w:r>
      <w:r w:rsidR="006A0D22">
        <w:t xml:space="preserve"> (Notional Multi-Level View)</w:t>
      </w:r>
      <w:bookmarkEnd w:id="5"/>
    </w:p>
    <w:p w14:paraId="6195F6AD" w14:textId="77777777" w:rsidR="00E92949" w:rsidRDefault="00E92949" w:rsidP="00CC3FBB"/>
    <w:p w14:paraId="306A6CD6" w14:textId="644AFDF1" w:rsidR="001E64FD" w:rsidRPr="00C14CB4" w:rsidRDefault="00CA1CD6" w:rsidP="00C14CB4">
      <w:pPr>
        <w:pStyle w:val="Heading1"/>
        <w:jc w:val="both"/>
        <w:rPr>
          <w:rFonts w:ascii="Times New Roman" w:hAnsi="Times New Roman" w:cs="Times New Roman"/>
        </w:rPr>
      </w:pPr>
      <w:bookmarkStart w:id="6" w:name="_Toc261534192"/>
      <w:r>
        <w:rPr>
          <w:rFonts w:ascii="Times New Roman" w:hAnsi="Times New Roman" w:cs="Times New Roman"/>
        </w:rPr>
        <w:t>Technical Demonstration</w:t>
      </w:r>
      <w:bookmarkEnd w:id="6"/>
    </w:p>
    <w:p w14:paraId="7DDE1452" w14:textId="533984A1" w:rsidR="00C14CB4" w:rsidRPr="00804E2B" w:rsidRDefault="00546094" w:rsidP="00804E2B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t xml:space="preserve">The proposed technical demonstration of the </w:t>
      </w:r>
      <w:r w:rsidR="00C14CB4" w:rsidRPr="00804E2B">
        <w:t>Open Source Entity Resolution Architecture</w:t>
      </w:r>
      <w:r w:rsidR="00953750">
        <w:t xml:space="preserve"> Framework </w:t>
      </w:r>
      <w:r w:rsidR="006D62FF" w:rsidRPr="00804E2B">
        <w:t>(</w:t>
      </w:r>
      <w:r w:rsidR="006A0D22">
        <w:t>OSERAF</w:t>
      </w:r>
      <w:r w:rsidR="006D62FF" w:rsidRPr="00804E2B">
        <w:t>)</w:t>
      </w:r>
      <w:r w:rsidR="00C14CB4" w:rsidRPr="00804E2B">
        <w:t xml:space="preserve"> –implements, through Open Source Software (OSS), </w:t>
      </w:r>
      <w:r>
        <w:t>a subset of the total</w:t>
      </w:r>
      <w:r w:rsidR="00C14CB4" w:rsidRPr="00804E2B">
        <w:t xml:space="preserve"> components necessary to support information dominance and address the current and future challenges </w:t>
      </w:r>
      <w:r w:rsidR="006D62FF" w:rsidRPr="00804E2B">
        <w:t>identified with</w:t>
      </w:r>
      <w:r w:rsidR="00C14CB4" w:rsidRPr="00804E2B">
        <w:t xml:space="preserve"> entity extraction, resolution, processing and analysis</w:t>
      </w:r>
      <w:r w:rsidR="006D62FF" w:rsidRPr="00804E2B">
        <w:t xml:space="preserve">.  The </w:t>
      </w:r>
      <w:r w:rsidR="00953750">
        <w:t xml:space="preserve">proposed implementation of the </w:t>
      </w:r>
      <w:r w:rsidR="006A0D22">
        <w:t>OSERAF</w:t>
      </w:r>
      <w:r w:rsidR="006D62FF" w:rsidRPr="00804E2B">
        <w:t xml:space="preserve"> framework </w:t>
      </w:r>
      <w:r w:rsidR="00953750">
        <w:t>will be configured in a</w:t>
      </w:r>
      <w:r w:rsidR="006D62FF" w:rsidRPr="00804E2B">
        <w:t xml:space="preserve"> hosted</w:t>
      </w:r>
      <w:r w:rsidR="00953750">
        <w:t xml:space="preserve"> fashion via</w:t>
      </w:r>
      <w:r w:rsidR="006D62FF" w:rsidRPr="00804E2B">
        <w:t xml:space="preserve"> private Amazon EC2 compliant data centers.  The reference </w:t>
      </w:r>
      <w:r>
        <w:t xml:space="preserve">implementation for the technical demonstration </w:t>
      </w:r>
      <w:r w:rsidR="006D62FF" w:rsidRPr="00804E2B">
        <w:t xml:space="preserve">(Figure 2) consists of the following </w:t>
      </w:r>
      <w:r w:rsidR="00DC068E">
        <w:t>key elements</w:t>
      </w:r>
      <w:r w:rsidR="006D62FF" w:rsidRPr="00804E2B">
        <w:t>:</w:t>
      </w:r>
    </w:p>
    <w:p w14:paraId="4BBE920A" w14:textId="77777777" w:rsidR="006D62FF" w:rsidRDefault="006D62FF" w:rsidP="0077145A">
      <w:pPr>
        <w:pStyle w:val="ListParagraph"/>
        <w:numPr>
          <w:ilvl w:val="0"/>
          <w:numId w:val="5"/>
        </w:numPr>
      </w:pPr>
      <w:r>
        <w:t>Collaboration Layer</w:t>
      </w:r>
    </w:p>
    <w:p w14:paraId="68F55409" w14:textId="77777777" w:rsidR="006D62FF" w:rsidRDefault="006D62FF" w:rsidP="0077145A">
      <w:pPr>
        <w:pStyle w:val="ListParagraph"/>
        <w:numPr>
          <w:ilvl w:val="0"/>
          <w:numId w:val="5"/>
        </w:numPr>
      </w:pPr>
      <w:r>
        <w:t>Visualization Layer</w:t>
      </w:r>
    </w:p>
    <w:p w14:paraId="26A5C546" w14:textId="77777777" w:rsidR="006D62FF" w:rsidRDefault="006D62FF" w:rsidP="0077145A">
      <w:pPr>
        <w:pStyle w:val="ListParagraph"/>
        <w:numPr>
          <w:ilvl w:val="0"/>
          <w:numId w:val="5"/>
        </w:numPr>
      </w:pPr>
      <w:r>
        <w:t>Data Access Layer</w:t>
      </w:r>
    </w:p>
    <w:p w14:paraId="1A012B32" w14:textId="77777777" w:rsidR="006D62FF" w:rsidRDefault="006D62FF" w:rsidP="0077145A">
      <w:pPr>
        <w:pStyle w:val="ListParagraph"/>
        <w:numPr>
          <w:ilvl w:val="0"/>
          <w:numId w:val="5"/>
        </w:numPr>
      </w:pPr>
      <w:r>
        <w:t>Common Access Layer</w:t>
      </w:r>
    </w:p>
    <w:p w14:paraId="39E2E578" w14:textId="77777777" w:rsidR="006D62FF" w:rsidRDefault="006D62FF" w:rsidP="0077145A">
      <w:pPr>
        <w:pStyle w:val="ListParagraph"/>
        <w:numPr>
          <w:ilvl w:val="0"/>
          <w:numId w:val="5"/>
        </w:numPr>
      </w:pPr>
      <w:r>
        <w:t>Enrichment Engine</w:t>
      </w:r>
    </w:p>
    <w:p w14:paraId="508A114C" w14:textId="77777777" w:rsidR="006D62FF" w:rsidRDefault="006D62FF" w:rsidP="0077145A">
      <w:pPr>
        <w:pStyle w:val="ListParagraph"/>
        <w:numPr>
          <w:ilvl w:val="0"/>
          <w:numId w:val="5"/>
        </w:numPr>
      </w:pPr>
      <w:r>
        <w:t>Processing Engine</w:t>
      </w:r>
    </w:p>
    <w:p w14:paraId="5BC66F3E" w14:textId="77777777" w:rsidR="006D62FF" w:rsidRDefault="006D62FF" w:rsidP="0077145A">
      <w:pPr>
        <w:pStyle w:val="ListParagraph"/>
        <w:numPr>
          <w:ilvl w:val="0"/>
          <w:numId w:val="5"/>
        </w:numPr>
      </w:pPr>
      <w:r>
        <w:lastRenderedPageBreak/>
        <w:t>Analysis Engine</w:t>
      </w:r>
    </w:p>
    <w:p w14:paraId="66A6872C" w14:textId="64C0624B" w:rsidR="006D62FF" w:rsidRDefault="006D62FF" w:rsidP="0077145A">
      <w:pPr>
        <w:pStyle w:val="ListParagraph"/>
        <w:numPr>
          <w:ilvl w:val="0"/>
          <w:numId w:val="5"/>
        </w:numPr>
      </w:pPr>
      <w:r>
        <w:t>Data Stores (Graph)</w:t>
      </w:r>
    </w:p>
    <w:p w14:paraId="1D9C812C" w14:textId="77777777" w:rsidR="006D62FF" w:rsidRPr="00A62947" w:rsidRDefault="00E375D9" w:rsidP="00A62947">
      <w:pPr>
        <w:jc w:val="center"/>
        <w:rPr>
          <w:color w:val="FF0000"/>
        </w:rPr>
      </w:pPr>
      <w:r w:rsidRPr="00E375D9">
        <w:rPr>
          <w:noProof/>
        </w:rPr>
        <w:drawing>
          <wp:inline distT="0" distB="0" distL="0" distR="0" wp14:anchorId="1FF00EF0" wp14:editId="5779D5B8">
            <wp:extent cx="5943600" cy="352278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34D3" w14:textId="77777777" w:rsidR="006D62FF" w:rsidRPr="001E0F93" w:rsidRDefault="006D62FF" w:rsidP="006D62FF">
      <w:pPr>
        <w:pStyle w:val="Caption"/>
        <w:jc w:val="center"/>
      </w:pPr>
      <w:bookmarkStart w:id="7" w:name="_Toc26153701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Reference </w:t>
      </w:r>
      <w:commentRangeStart w:id="8"/>
      <w:r>
        <w:t>Architecture</w:t>
      </w:r>
      <w:commentRangeEnd w:id="8"/>
      <w:r w:rsidR="00E14C6A">
        <w:rPr>
          <w:rStyle w:val="CommentReference"/>
          <w:b w:val="0"/>
          <w:bCs w:val="0"/>
        </w:rPr>
        <w:commentReference w:id="8"/>
      </w:r>
      <w:bookmarkEnd w:id="7"/>
    </w:p>
    <w:p w14:paraId="5A3B5333" w14:textId="32A67C92" w:rsidR="000E48A5" w:rsidRDefault="00847F50" w:rsidP="00546094">
      <w:pPr>
        <w:spacing w:before="120"/>
      </w:pPr>
      <w:r>
        <w:t xml:space="preserve">The </w:t>
      </w:r>
      <w:r w:rsidR="006A0D22">
        <w:t>OSERAF</w:t>
      </w:r>
      <w:r>
        <w:t xml:space="preserve"> </w:t>
      </w:r>
      <w:r w:rsidR="00546094">
        <w:t xml:space="preserve">that will be demonstrated </w:t>
      </w:r>
      <w:r w:rsidR="000E48A5">
        <w:t>provides the following key capabilities:</w:t>
      </w:r>
    </w:p>
    <w:p w14:paraId="30F3AF7C" w14:textId="77777777" w:rsidR="000E48A5" w:rsidRDefault="000E48A5" w:rsidP="000E48A5"/>
    <w:p w14:paraId="0F9FE75D" w14:textId="77777777" w:rsidR="000E48A5" w:rsidRPr="000E48A5" w:rsidRDefault="000E48A5" w:rsidP="0077145A">
      <w:pPr>
        <w:pStyle w:val="ListParagraph"/>
        <w:numPr>
          <w:ilvl w:val="0"/>
          <w:numId w:val="7"/>
        </w:numPr>
      </w:pPr>
      <w:r w:rsidRPr="000E48A5">
        <w:t>High Performance, Multi-Modal Data Ingestion</w:t>
      </w:r>
    </w:p>
    <w:p w14:paraId="047BA0EC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Structured</w:t>
      </w:r>
    </w:p>
    <w:p w14:paraId="23C1E347" w14:textId="398B455A" w:rsidR="000E48A5" w:rsidRPr="000E48A5" w:rsidRDefault="000E48A5" w:rsidP="00546094">
      <w:pPr>
        <w:numPr>
          <w:ilvl w:val="0"/>
          <w:numId w:val="8"/>
        </w:numPr>
      </w:pPr>
      <w:r w:rsidRPr="000E48A5">
        <w:t>Unstructured</w:t>
      </w:r>
    </w:p>
    <w:p w14:paraId="6038F0BC" w14:textId="77777777" w:rsidR="000E48A5" w:rsidRPr="000E48A5" w:rsidRDefault="000E48A5" w:rsidP="00546094">
      <w:pPr>
        <w:pStyle w:val="ListParagraph"/>
        <w:numPr>
          <w:ilvl w:val="0"/>
          <w:numId w:val="7"/>
        </w:numPr>
        <w:spacing w:before="120"/>
      </w:pPr>
      <w:r w:rsidRPr="000E48A5">
        <w:t>High Performance Data Processing, with a pluggable architecture</w:t>
      </w:r>
    </w:p>
    <w:p w14:paraId="03784341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Open API that supports a rich ecosystem of processing regimes</w:t>
      </w:r>
    </w:p>
    <w:p w14:paraId="446E4838" w14:textId="77777777" w:rsidR="000E48A5" w:rsidRPr="000E48A5" w:rsidRDefault="000E48A5" w:rsidP="00546094">
      <w:pPr>
        <w:pStyle w:val="ListParagraph"/>
        <w:numPr>
          <w:ilvl w:val="0"/>
          <w:numId w:val="7"/>
        </w:numPr>
        <w:spacing w:before="120"/>
      </w:pPr>
      <w:r w:rsidRPr="000E48A5">
        <w:t>Data Storage that is</w:t>
      </w:r>
    </w:p>
    <w:p w14:paraId="55D575C4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High Performance/High Volume</w:t>
      </w:r>
    </w:p>
    <w:p w14:paraId="7913CFD8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Multi-faceted, flexible, Extensible</w:t>
      </w:r>
    </w:p>
    <w:p w14:paraId="0819840A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Reliable and Secure (ACID)</w:t>
      </w:r>
    </w:p>
    <w:p w14:paraId="55EB1CC4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Interoperable</w:t>
      </w:r>
    </w:p>
    <w:p w14:paraId="37BB80B1" w14:textId="77777777" w:rsidR="006D62FF" w:rsidRDefault="000E48A5" w:rsidP="0077145A">
      <w:pPr>
        <w:numPr>
          <w:ilvl w:val="0"/>
          <w:numId w:val="8"/>
        </w:numPr>
      </w:pPr>
      <w:r w:rsidRPr="000E48A5">
        <w:t>Open</w:t>
      </w:r>
    </w:p>
    <w:p w14:paraId="2F44D8F3" w14:textId="77777777" w:rsidR="000E48A5" w:rsidRPr="000E48A5" w:rsidRDefault="000E48A5" w:rsidP="00546094">
      <w:pPr>
        <w:pStyle w:val="ListParagraph"/>
        <w:numPr>
          <w:ilvl w:val="0"/>
          <w:numId w:val="7"/>
        </w:numPr>
        <w:spacing w:before="120"/>
      </w:pPr>
      <w:r w:rsidRPr="000E48A5">
        <w:t>High Performance Data Analysis, also with a pluggable architecture</w:t>
      </w:r>
    </w:p>
    <w:p w14:paraId="7F43A329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Open API that supports a rich ecosystem of processing regimes</w:t>
      </w:r>
    </w:p>
    <w:p w14:paraId="42AFA8EA" w14:textId="77777777" w:rsidR="000E48A5" w:rsidRPr="000E48A5" w:rsidRDefault="000E48A5" w:rsidP="00546094">
      <w:pPr>
        <w:pStyle w:val="ListParagraph"/>
        <w:numPr>
          <w:ilvl w:val="0"/>
          <w:numId w:val="7"/>
        </w:numPr>
        <w:spacing w:before="120"/>
      </w:pPr>
      <w:r w:rsidRPr="000E48A5">
        <w:t>Highly appealing, user friendly Data Visualization and Collaboration environment that is/has</w:t>
      </w:r>
    </w:p>
    <w:p w14:paraId="67EFE489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lastRenderedPageBreak/>
        <w:t>Extremely compelling user experience</w:t>
      </w:r>
    </w:p>
    <w:p w14:paraId="791F3934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 xml:space="preserve">Open, interoperable and pluggable </w:t>
      </w:r>
    </w:p>
    <w:p w14:paraId="3DE26D23" w14:textId="77777777" w:rsidR="000E48A5" w:rsidRPr="000E48A5" w:rsidRDefault="000E48A5" w:rsidP="0077145A">
      <w:pPr>
        <w:numPr>
          <w:ilvl w:val="0"/>
          <w:numId w:val="8"/>
        </w:numPr>
      </w:pPr>
      <w:r w:rsidRPr="000E48A5">
        <w:t>Appealing to a broad range of users (novice to expert)</w:t>
      </w:r>
    </w:p>
    <w:p w14:paraId="3281AB43" w14:textId="77777777" w:rsidR="000E48A5" w:rsidRPr="006D62FF" w:rsidRDefault="000E48A5" w:rsidP="0077145A">
      <w:pPr>
        <w:numPr>
          <w:ilvl w:val="0"/>
          <w:numId w:val="8"/>
        </w:numPr>
      </w:pPr>
      <w:r w:rsidRPr="000E48A5">
        <w:t>Accessible in a variety of manners (UI, Command Line, multiple APIs)</w:t>
      </w:r>
    </w:p>
    <w:p w14:paraId="3393F11F" w14:textId="77777777" w:rsidR="00086045" w:rsidRDefault="00086045" w:rsidP="008132FB">
      <w:pPr>
        <w:pStyle w:val="Heading2"/>
      </w:pPr>
      <w:bookmarkStart w:id="9" w:name="_Toc261534193"/>
      <w:r>
        <w:t>Infrastructure</w:t>
      </w:r>
      <w:bookmarkEnd w:id="9"/>
    </w:p>
    <w:p w14:paraId="4D960C8D" w14:textId="5F4A068D" w:rsidR="00086045" w:rsidRPr="00363CA9" w:rsidRDefault="00086045" w:rsidP="00363CA9">
      <w:pPr>
        <w:pStyle w:val="Text"/>
        <w:rPr>
          <w:rFonts w:ascii="Times New Roman" w:hAnsi="Times New Roman"/>
          <w:szCs w:val="24"/>
        </w:rPr>
      </w:pPr>
      <w:r w:rsidRPr="00363CA9">
        <w:rPr>
          <w:rFonts w:ascii="Times New Roman" w:hAnsi="Times New Roman"/>
          <w:szCs w:val="24"/>
        </w:rPr>
        <w:t xml:space="preserve">The </w:t>
      </w:r>
      <w:r w:rsidR="006A0D22">
        <w:rPr>
          <w:rFonts w:ascii="Times New Roman" w:hAnsi="Times New Roman"/>
          <w:szCs w:val="24"/>
        </w:rPr>
        <w:t>OSERAF</w:t>
      </w:r>
      <w:r w:rsidRPr="00363CA9">
        <w:rPr>
          <w:rFonts w:ascii="Times New Roman" w:hAnsi="Times New Roman"/>
          <w:szCs w:val="24"/>
        </w:rPr>
        <w:t xml:space="preserve"> is built in an Amazon VPC consisting of three Amazon EC2 micro server instances, each with 30G of EBS.  The </w:t>
      </w:r>
      <w:r w:rsidR="00D866D5">
        <w:rPr>
          <w:rFonts w:ascii="Times New Roman" w:hAnsi="Times New Roman"/>
          <w:szCs w:val="24"/>
        </w:rPr>
        <w:t>Domain Fusion Infrastructure</w:t>
      </w:r>
      <w:r w:rsidRPr="00363CA9">
        <w:rPr>
          <w:rFonts w:ascii="Times New Roman" w:hAnsi="Times New Roman"/>
          <w:szCs w:val="24"/>
        </w:rPr>
        <w:t xml:space="preserve"> micro-server is configured with the Collaboration Layer, Visualization Layer and Data Access Layer components.  </w:t>
      </w:r>
      <w:r w:rsidR="008749A9">
        <w:rPr>
          <w:rFonts w:ascii="Times New Roman" w:hAnsi="Times New Roman"/>
          <w:szCs w:val="24"/>
        </w:rPr>
        <w:t>Given that t</w:t>
      </w:r>
      <w:r w:rsidRPr="00363CA9">
        <w:rPr>
          <w:rFonts w:ascii="Times New Roman" w:hAnsi="Times New Roman"/>
          <w:szCs w:val="24"/>
        </w:rPr>
        <w:t xml:space="preserve">he trusted agents necessary for </w:t>
      </w:r>
      <w:r w:rsidR="008749A9">
        <w:rPr>
          <w:rFonts w:ascii="Times New Roman" w:hAnsi="Times New Roman"/>
          <w:szCs w:val="24"/>
        </w:rPr>
        <w:t>a multi-domain implementation of the OSERAF</w:t>
      </w:r>
      <w:r w:rsidRPr="00363CA9">
        <w:rPr>
          <w:rFonts w:ascii="Times New Roman" w:hAnsi="Times New Roman"/>
          <w:szCs w:val="24"/>
        </w:rPr>
        <w:t xml:space="preserve"> require SE Linux extensions </w:t>
      </w:r>
      <w:r w:rsidR="008749A9">
        <w:rPr>
          <w:rFonts w:ascii="Times New Roman" w:hAnsi="Times New Roman"/>
          <w:szCs w:val="24"/>
        </w:rPr>
        <w:t xml:space="preserve">be </w:t>
      </w:r>
      <w:r w:rsidRPr="00363CA9">
        <w:rPr>
          <w:rFonts w:ascii="Times New Roman" w:hAnsi="Times New Roman"/>
          <w:szCs w:val="24"/>
        </w:rPr>
        <w:t>applied in the AWS-EC2 Operating Systems</w:t>
      </w:r>
      <w:r w:rsidR="008749A9">
        <w:rPr>
          <w:rFonts w:ascii="Times New Roman" w:hAnsi="Times New Roman"/>
          <w:szCs w:val="24"/>
        </w:rPr>
        <w:t>,</w:t>
      </w:r>
      <w:r w:rsidR="001C5138" w:rsidRPr="00363CA9">
        <w:rPr>
          <w:rFonts w:ascii="Times New Roman" w:hAnsi="Times New Roman"/>
          <w:szCs w:val="24"/>
        </w:rPr>
        <w:t xml:space="preserve"> this is not </w:t>
      </w:r>
      <w:r w:rsidR="008749A9">
        <w:rPr>
          <w:rFonts w:ascii="Times New Roman" w:hAnsi="Times New Roman"/>
          <w:szCs w:val="24"/>
        </w:rPr>
        <w:t xml:space="preserve">a part of the technical demonstration proposed here.  </w:t>
      </w:r>
      <w:r w:rsidRPr="00363CA9">
        <w:rPr>
          <w:rFonts w:ascii="Times New Roman" w:hAnsi="Times New Roman"/>
          <w:szCs w:val="24"/>
        </w:rPr>
        <w:t xml:space="preserve">The multi-domain </w:t>
      </w:r>
      <w:r w:rsidR="00D866D5">
        <w:rPr>
          <w:rFonts w:ascii="Times New Roman" w:hAnsi="Times New Roman"/>
          <w:szCs w:val="24"/>
        </w:rPr>
        <w:t>Infrastructure micro-</w:t>
      </w:r>
      <w:r w:rsidRPr="00363CA9">
        <w:rPr>
          <w:rFonts w:ascii="Times New Roman" w:hAnsi="Times New Roman"/>
          <w:szCs w:val="24"/>
        </w:rPr>
        <w:t>server is configured wit</w:t>
      </w:r>
      <w:r w:rsidR="00865E2D" w:rsidRPr="00363CA9">
        <w:rPr>
          <w:rFonts w:ascii="Times New Roman" w:hAnsi="Times New Roman"/>
          <w:szCs w:val="24"/>
        </w:rPr>
        <w:t xml:space="preserve">h the </w:t>
      </w:r>
      <w:r w:rsidRPr="00363CA9">
        <w:rPr>
          <w:rFonts w:ascii="Times New Roman" w:hAnsi="Times New Roman"/>
          <w:szCs w:val="24"/>
        </w:rPr>
        <w:t>protection layer</w:t>
      </w:r>
      <w:r w:rsidR="00865E2D" w:rsidRPr="00363CA9">
        <w:rPr>
          <w:rFonts w:ascii="Times New Roman" w:hAnsi="Times New Roman"/>
          <w:szCs w:val="24"/>
        </w:rPr>
        <w:t xml:space="preserve">, common access layer, processing engine, enrichment engine and analysis engine </w:t>
      </w:r>
      <w:r w:rsidRPr="00363CA9">
        <w:rPr>
          <w:rFonts w:ascii="Times New Roman" w:hAnsi="Times New Roman"/>
          <w:szCs w:val="24"/>
        </w:rPr>
        <w:t>components and services.</w:t>
      </w:r>
      <w:r w:rsidR="00865E2D" w:rsidRPr="00363CA9">
        <w:rPr>
          <w:rFonts w:ascii="Times New Roman" w:hAnsi="Times New Roman"/>
          <w:szCs w:val="24"/>
        </w:rPr>
        <w:t xml:space="preserve"> The data </w:t>
      </w:r>
      <w:r w:rsidR="00D866D5">
        <w:rPr>
          <w:rFonts w:ascii="Times New Roman" w:hAnsi="Times New Roman"/>
          <w:szCs w:val="24"/>
        </w:rPr>
        <w:t>Infrastructure micro-</w:t>
      </w:r>
      <w:r w:rsidR="00865E2D" w:rsidRPr="00363CA9">
        <w:rPr>
          <w:rFonts w:ascii="Times New Roman" w:hAnsi="Times New Roman"/>
          <w:szCs w:val="24"/>
        </w:rPr>
        <w:t>server is configured with the relational, document and graph database components and their respective service.</w:t>
      </w:r>
    </w:p>
    <w:p w14:paraId="5F75C3C6" w14:textId="244F536B" w:rsidR="000A648F" w:rsidRPr="00CA1CD6" w:rsidRDefault="00CA1CD6" w:rsidP="008132FB">
      <w:pPr>
        <w:pStyle w:val="Heading2"/>
      </w:pPr>
      <w:bookmarkStart w:id="10" w:name="_Toc261534194"/>
      <w:r w:rsidRPr="00CA1CD6">
        <w:t>Components used in the Technical Demonstration</w:t>
      </w:r>
      <w:bookmarkEnd w:id="10"/>
    </w:p>
    <w:p w14:paraId="6B79819C" w14:textId="77777777" w:rsidR="00134F33" w:rsidRDefault="00134F33" w:rsidP="00AA58E9">
      <w:pPr>
        <w:ind w:firstLine="720"/>
      </w:pPr>
    </w:p>
    <w:p w14:paraId="2F6E3DBA" w14:textId="412C6813" w:rsidR="00805906" w:rsidRDefault="00CA1CD6" w:rsidP="00145CBD">
      <w:r>
        <w:t>To demonstration the OSERAF, the following components will be employed in the</w:t>
      </w:r>
      <w:r w:rsidR="00DC068E">
        <w:t xml:space="preserve"> associated layers, as described above:</w:t>
      </w:r>
    </w:p>
    <w:p w14:paraId="7B616E69" w14:textId="77777777" w:rsidR="00DC068E" w:rsidRDefault="00DC068E" w:rsidP="00145CBD"/>
    <w:p w14:paraId="16C7B1F6" w14:textId="63787205" w:rsidR="00DC068E" w:rsidRDefault="00DC068E" w:rsidP="00DC068E">
      <w:pPr>
        <w:pStyle w:val="ListParagraph"/>
        <w:numPr>
          <w:ilvl w:val="0"/>
          <w:numId w:val="5"/>
        </w:numPr>
      </w:pPr>
      <w:r>
        <w:t>Collaboration Layer, Visualization Layer</w:t>
      </w:r>
    </w:p>
    <w:p w14:paraId="25591686" w14:textId="5AEC23E0" w:rsidR="00DC068E" w:rsidRDefault="00DC068E" w:rsidP="00DC068E">
      <w:pPr>
        <w:pStyle w:val="ListParagraph"/>
        <w:numPr>
          <w:ilvl w:val="1"/>
          <w:numId w:val="5"/>
        </w:numPr>
      </w:pPr>
      <w:r>
        <w:t>Liferay Portal</w:t>
      </w:r>
    </w:p>
    <w:p w14:paraId="65C1E7F2" w14:textId="022E8D5C" w:rsidR="00DC068E" w:rsidRDefault="00DC068E" w:rsidP="00DC068E">
      <w:pPr>
        <w:pStyle w:val="ListParagraph"/>
        <w:numPr>
          <w:ilvl w:val="1"/>
          <w:numId w:val="5"/>
        </w:numPr>
      </w:pPr>
      <w:r>
        <w:t>Ikanow Visualization</w:t>
      </w:r>
    </w:p>
    <w:p w14:paraId="277B0AF4" w14:textId="77777777" w:rsidR="00DC068E" w:rsidRDefault="00DC068E" w:rsidP="00DC068E">
      <w:pPr>
        <w:pStyle w:val="ListParagraph"/>
        <w:numPr>
          <w:ilvl w:val="0"/>
          <w:numId w:val="5"/>
        </w:numPr>
      </w:pPr>
      <w:r>
        <w:t>Data Access Layer, Common Access Layer</w:t>
      </w:r>
    </w:p>
    <w:p w14:paraId="396F7D56" w14:textId="36600104" w:rsidR="00DC068E" w:rsidRDefault="00DC068E" w:rsidP="00DC068E">
      <w:pPr>
        <w:pStyle w:val="ListParagraph"/>
        <w:numPr>
          <w:ilvl w:val="1"/>
          <w:numId w:val="5"/>
        </w:numPr>
      </w:pPr>
      <w:r>
        <w:t>OrientDB Native Java, JDBC and Javascript API</w:t>
      </w:r>
    </w:p>
    <w:p w14:paraId="6FABAC69" w14:textId="1CF49A71" w:rsidR="00DC068E" w:rsidRDefault="00DC068E" w:rsidP="00DC068E">
      <w:pPr>
        <w:pStyle w:val="ListParagraph"/>
        <w:numPr>
          <w:ilvl w:val="0"/>
          <w:numId w:val="5"/>
        </w:numPr>
      </w:pPr>
      <w:r>
        <w:t>Enrichment Engine, Processing Engine</w:t>
      </w:r>
    </w:p>
    <w:p w14:paraId="0492A2FC" w14:textId="2EEDDA31" w:rsidR="00DC068E" w:rsidRDefault="00DC068E" w:rsidP="00DC068E">
      <w:pPr>
        <w:pStyle w:val="ListParagraph"/>
        <w:numPr>
          <w:ilvl w:val="1"/>
          <w:numId w:val="5"/>
        </w:numPr>
      </w:pPr>
      <w:r>
        <w:t>Ikanow Enrichment</w:t>
      </w:r>
    </w:p>
    <w:p w14:paraId="1C13D025" w14:textId="07CCCF44" w:rsidR="00DC068E" w:rsidRDefault="00DC068E" w:rsidP="00DC068E">
      <w:pPr>
        <w:pStyle w:val="ListParagraph"/>
        <w:numPr>
          <w:ilvl w:val="1"/>
          <w:numId w:val="5"/>
        </w:numPr>
      </w:pPr>
      <w:r>
        <w:t>Duke Link Analysis</w:t>
      </w:r>
    </w:p>
    <w:p w14:paraId="75D8589F" w14:textId="57380EC9" w:rsidR="00DC068E" w:rsidRDefault="00DC068E" w:rsidP="00DC068E">
      <w:pPr>
        <w:pStyle w:val="ListParagraph"/>
        <w:numPr>
          <w:ilvl w:val="1"/>
          <w:numId w:val="5"/>
        </w:numPr>
      </w:pPr>
      <w:r>
        <w:t>Open System for Entity Resolution (OySTER)</w:t>
      </w:r>
    </w:p>
    <w:p w14:paraId="77A02701" w14:textId="77777777" w:rsidR="00DC068E" w:rsidRDefault="00DC068E" w:rsidP="00DC068E">
      <w:pPr>
        <w:pStyle w:val="ListParagraph"/>
        <w:numPr>
          <w:ilvl w:val="0"/>
          <w:numId w:val="5"/>
        </w:numPr>
      </w:pPr>
      <w:r>
        <w:t>Analysis Engine</w:t>
      </w:r>
    </w:p>
    <w:p w14:paraId="6ED59ECA" w14:textId="38FCE124" w:rsidR="00DC068E" w:rsidRDefault="00DC068E" w:rsidP="00DC068E">
      <w:pPr>
        <w:pStyle w:val="ListParagraph"/>
        <w:numPr>
          <w:ilvl w:val="1"/>
          <w:numId w:val="5"/>
        </w:numPr>
      </w:pPr>
      <w:r>
        <w:t>Ikanow Analytics</w:t>
      </w:r>
    </w:p>
    <w:p w14:paraId="5605534A" w14:textId="77777777" w:rsidR="00DC068E" w:rsidRDefault="00DC068E" w:rsidP="00DC068E">
      <w:pPr>
        <w:pStyle w:val="ListParagraph"/>
        <w:numPr>
          <w:ilvl w:val="0"/>
          <w:numId w:val="5"/>
        </w:numPr>
      </w:pPr>
      <w:r>
        <w:t>Data Stores (Graph)</w:t>
      </w:r>
    </w:p>
    <w:p w14:paraId="5855EAC2" w14:textId="12AC1E6D" w:rsidR="00DC068E" w:rsidRDefault="00DC068E" w:rsidP="00DC068E">
      <w:pPr>
        <w:pStyle w:val="ListParagraph"/>
        <w:numPr>
          <w:ilvl w:val="1"/>
          <w:numId w:val="5"/>
        </w:numPr>
      </w:pPr>
      <w:r>
        <w:t>OrientDB</w:t>
      </w:r>
    </w:p>
    <w:p w14:paraId="731BF5A8" w14:textId="77777777" w:rsidR="00DC068E" w:rsidRDefault="00DC068E" w:rsidP="00DC068E">
      <w:pPr>
        <w:ind w:left="1080"/>
      </w:pPr>
    </w:p>
    <w:p w14:paraId="4DE44BA9" w14:textId="2AF75937" w:rsidR="00DC068E" w:rsidRDefault="00DC068E" w:rsidP="00DC068E">
      <w:r>
        <w:t xml:space="preserve">These particular capabilities are but a few of the many options that can be employed into the OSERAF; </w:t>
      </w:r>
      <w:r w:rsidR="000B5F06">
        <w:t>these have been chosen to effectively demonstration the technical approach in the quickest manner possible.</w:t>
      </w:r>
    </w:p>
    <w:p w14:paraId="6E266AB8" w14:textId="77777777" w:rsidR="000B5F06" w:rsidRDefault="000B5F06" w:rsidP="00DC068E"/>
    <w:p w14:paraId="52D90995" w14:textId="2EB465C4" w:rsidR="000B5F06" w:rsidRDefault="000B5F06" w:rsidP="008132FB">
      <w:pPr>
        <w:pStyle w:val="Heading2"/>
      </w:pPr>
      <w:r>
        <w:lastRenderedPageBreak/>
        <w:t>Use Cases Considered</w:t>
      </w:r>
    </w:p>
    <w:p w14:paraId="6B5172F7" w14:textId="77777777" w:rsidR="000B5F06" w:rsidRDefault="000B5F06" w:rsidP="00DC068E"/>
    <w:p w14:paraId="59B0E9BE" w14:textId="77777777" w:rsidR="000B5F06" w:rsidRDefault="000B5F06" w:rsidP="00DC068E">
      <w:r>
        <w:t>The Technical Demonstration of the OSERAF will focus on the following use cases thought to be of interest to the ISSO community:</w:t>
      </w:r>
    </w:p>
    <w:p w14:paraId="7994C08A" w14:textId="77777777" w:rsidR="000B5F06" w:rsidRDefault="000B5F06" w:rsidP="00DC068E"/>
    <w:p w14:paraId="5AAB6BB6" w14:textId="7D500F70" w:rsidR="000B5F06" w:rsidRDefault="000B5F06" w:rsidP="008132FB">
      <w:pPr>
        <w:ind w:firstLine="360"/>
      </w:pPr>
      <w:r>
        <w:t>Basic</w:t>
      </w:r>
    </w:p>
    <w:p w14:paraId="7303FA2F" w14:textId="77777777" w:rsidR="000B5F06" w:rsidRDefault="000B5F06" w:rsidP="00DC068E"/>
    <w:p w14:paraId="0D398CCC" w14:textId="24C62BB0" w:rsidR="000B5F06" w:rsidRPr="000B5F06" w:rsidRDefault="000B5F06" w:rsidP="000B5F06">
      <w:pPr>
        <w:pStyle w:val="ListParagraph"/>
        <w:numPr>
          <w:ilvl w:val="0"/>
          <w:numId w:val="12"/>
        </w:numPr>
      </w:pPr>
      <w:r>
        <w:t>Demonstration of E</w:t>
      </w:r>
      <w:r w:rsidRPr="000B5F06">
        <w:t>ntity/relationship extraction/</w:t>
      </w:r>
      <w:r>
        <w:t>resolution</w:t>
      </w:r>
      <w:r w:rsidRPr="000B5F06">
        <w:t xml:space="preserve"> from Iranian scientific documents (</w:t>
      </w:r>
      <w:r>
        <w:t xml:space="preserve">with </w:t>
      </w:r>
      <w:r w:rsidRPr="000B5F06">
        <w:t xml:space="preserve">emphasis on </w:t>
      </w:r>
      <w:r>
        <w:t xml:space="preserve">document related to potential </w:t>
      </w:r>
      <w:r w:rsidRPr="000B5F06">
        <w:t>W</w:t>
      </w:r>
      <w:r>
        <w:t xml:space="preserve">eapons of </w:t>
      </w:r>
      <w:r w:rsidRPr="000B5F06">
        <w:t>M</w:t>
      </w:r>
      <w:r>
        <w:t xml:space="preserve">ass </w:t>
      </w:r>
      <w:r w:rsidRPr="000B5F06">
        <w:t>D</w:t>
      </w:r>
      <w:r>
        <w:t>estruction (WMD)</w:t>
      </w:r>
      <w:r w:rsidRPr="000B5F06">
        <w:t>).</w:t>
      </w:r>
    </w:p>
    <w:p w14:paraId="73DB3942" w14:textId="1C8661CF" w:rsidR="000B5F06" w:rsidRPr="000B5F06" w:rsidRDefault="000B5F06" w:rsidP="000B5F06">
      <w:pPr>
        <w:pStyle w:val="ListParagraph"/>
        <w:numPr>
          <w:ilvl w:val="0"/>
          <w:numId w:val="12"/>
        </w:numPr>
      </w:pPr>
      <w:r w:rsidRPr="000B5F06">
        <w:t>Inter</w:t>
      </w:r>
      <w:r>
        <w:t xml:space="preserve">operability demonstration between Ikanow and the balance of the </w:t>
      </w:r>
      <w:r w:rsidRPr="000B5F06">
        <w:t>OSERAF</w:t>
      </w:r>
    </w:p>
    <w:p w14:paraId="1AF2D367" w14:textId="4E732B61" w:rsidR="000B5F06" w:rsidRPr="000B5F06" w:rsidRDefault="000B5F06" w:rsidP="000B5F06">
      <w:pPr>
        <w:pStyle w:val="ListParagraph"/>
        <w:numPr>
          <w:ilvl w:val="0"/>
          <w:numId w:val="12"/>
        </w:numPr>
      </w:pPr>
      <w:r>
        <w:t>Visual data representation, to include</w:t>
      </w:r>
      <w:r w:rsidRPr="000B5F06">
        <w:t xml:space="preserve"> </w:t>
      </w:r>
      <w:r>
        <w:t>geospatial representations as well as link diagrams</w:t>
      </w:r>
    </w:p>
    <w:p w14:paraId="7DDF1C7B" w14:textId="77777777" w:rsidR="000B5F06" w:rsidRPr="000B5F06" w:rsidRDefault="000B5F06" w:rsidP="000B5F06"/>
    <w:p w14:paraId="73548933" w14:textId="77777777" w:rsidR="000B5F06" w:rsidRPr="000B5F06" w:rsidRDefault="000B5F06" w:rsidP="008132FB">
      <w:pPr>
        <w:ind w:firstLine="360"/>
      </w:pPr>
      <w:r w:rsidRPr="000B5F06">
        <w:t>Expanded:</w:t>
      </w:r>
    </w:p>
    <w:p w14:paraId="2F1201DB" w14:textId="77777777" w:rsidR="000B5F06" w:rsidRPr="000B5F06" w:rsidRDefault="000B5F06" w:rsidP="000B5F06"/>
    <w:p w14:paraId="7AA1C6F2" w14:textId="70DCB45A" w:rsidR="000B5F06" w:rsidRDefault="000B5F06" w:rsidP="000B5F06">
      <w:pPr>
        <w:pStyle w:val="ListParagraph"/>
        <w:numPr>
          <w:ilvl w:val="0"/>
          <w:numId w:val="14"/>
        </w:numPr>
      </w:pPr>
      <w:r w:rsidRPr="000B5F06">
        <w:t>Demonstration of various security models applicable to a property graph based storage paradigm, to include:</w:t>
      </w:r>
    </w:p>
    <w:p w14:paraId="27B1660F" w14:textId="77777777" w:rsidR="000B5F06" w:rsidRPr="000B5F06" w:rsidRDefault="000B5F06" w:rsidP="000B5F06">
      <w:pPr>
        <w:pStyle w:val="ListParagraph"/>
      </w:pPr>
    </w:p>
    <w:p w14:paraId="27AE9D7E" w14:textId="517C507D" w:rsidR="000B5F06" w:rsidRPr="000B5F06" w:rsidRDefault="000B5F06" w:rsidP="000B5F06">
      <w:pPr>
        <w:pStyle w:val="ListParagraph"/>
        <w:numPr>
          <w:ilvl w:val="1"/>
          <w:numId w:val="14"/>
        </w:numPr>
      </w:pPr>
      <w:r w:rsidRPr="000B5F06">
        <w:t>Role Based Access Control</w:t>
      </w:r>
    </w:p>
    <w:p w14:paraId="5DFFDFC6" w14:textId="56D13693" w:rsidR="000B5F06" w:rsidRPr="000B5F06" w:rsidRDefault="000B5F06" w:rsidP="000B5F06">
      <w:pPr>
        <w:pStyle w:val="ListParagraph"/>
        <w:numPr>
          <w:ilvl w:val="1"/>
          <w:numId w:val="14"/>
        </w:numPr>
      </w:pPr>
      <w:r w:rsidRPr="000B5F06">
        <w:t>Label Based Access Control (notional)</w:t>
      </w:r>
    </w:p>
    <w:p w14:paraId="0E0AD5F1" w14:textId="0ED4A5BF" w:rsidR="000B5F06" w:rsidRDefault="000B5F06" w:rsidP="000B5F06">
      <w:pPr>
        <w:pStyle w:val="ListParagraph"/>
        <w:numPr>
          <w:ilvl w:val="1"/>
          <w:numId w:val="14"/>
        </w:numPr>
      </w:pPr>
      <w:r w:rsidRPr="000B5F06">
        <w:t>Multi-Factor Access control (notional)</w:t>
      </w:r>
    </w:p>
    <w:p w14:paraId="368A4996" w14:textId="77777777" w:rsidR="000B5F06" w:rsidRDefault="000B5F06" w:rsidP="000B5F06"/>
    <w:p w14:paraId="77095CF4" w14:textId="05B2C709" w:rsidR="000B5F06" w:rsidRPr="000B5F06" w:rsidRDefault="000B5F06" w:rsidP="008132FB">
      <w:pPr>
        <w:pStyle w:val="Heading2"/>
      </w:pPr>
      <w:r>
        <w:t>Notional POA&amp;M</w:t>
      </w:r>
    </w:p>
    <w:p w14:paraId="603FBB19" w14:textId="104AA69C" w:rsidR="000B5F06" w:rsidRDefault="000B5F06" w:rsidP="00914203">
      <w:r w:rsidRPr="00914203">
        <w:t>A reference implementation of OSERAF is currently being established in the Amazon Cloud. This will greatly accelerate the implementation of this proposed technical demonstration, Key activities beyond that include:</w:t>
      </w:r>
    </w:p>
    <w:p w14:paraId="132E905D" w14:textId="77777777" w:rsidR="00914203" w:rsidRDefault="00914203" w:rsidP="00914203"/>
    <w:p w14:paraId="24F2110E" w14:textId="7C98BDDF" w:rsidR="00914203" w:rsidRPr="008132FB" w:rsidRDefault="00914203" w:rsidP="00914203">
      <w:pPr>
        <w:rPr>
          <w:b/>
        </w:rPr>
      </w:pPr>
      <w:r w:rsidRPr="008132FB">
        <w:rPr>
          <w:b/>
        </w:rPr>
        <w:t>Plan Of Action &amp; Milestones:</w:t>
      </w:r>
    </w:p>
    <w:p w14:paraId="0E4C229A" w14:textId="77777777" w:rsidR="00914203" w:rsidRDefault="00914203" w:rsidP="00914203"/>
    <w:p w14:paraId="7C6503AB" w14:textId="75851A3A" w:rsidR="00914203" w:rsidRPr="00914203" w:rsidRDefault="00914203" w:rsidP="00914203">
      <w:pPr>
        <w:ind w:firstLine="360"/>
      </w:pPr>
      <w:r>
        <w:t>Basic:</w:t>
      </w:r>
    </w:p>
    <w:p w14:paraId="5289ECB4" w14:textId="77777777" w:rsidR="000B5F06" w:rsidRPr="00914203" w:rsidRDefault="000B5F06" w:rsidP="00914203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89"/>
        <w:gridCol w:w="2709"/>
        <w:gridCol w:w="2410"/>
      </w:tblGrid>
      <w:tr w:rsidR="00914203" w:rsidRPr="00914203" w14:paraId="26E2DA12" w14:textId="66EA131D" w:rsidTr="00914203">
        <w:tc>
          <w:tcPr>
            <w:tcW w:w="3989" w:type="dxa"/>
          </w:tcPr>
          <w:p w14:paraId="1FD69E2C" w14:textId="67D4A101" w:rsidR="00914203" w:rsidRPr="00914203" w:rsidRDefault="00914203" w:rsidP="00914203">
            <w:r>
              <w:t>Activity</w:t>
            </w:r>
          </w:p>
        </w:tc>
        <w:tc>
          <w:tcPr>
            <w:tcW w:w="2709" w:type="dxa"/>
          </w:tcPr>
          <w:p w14:paraId="077ECF49" w14:textId="6331939B" w:rsidR="00914203" w:rsidRPr="00914203" w:rsidRDefault="00914203" w:rsidP="00914203">
            <w:r>
              <w:t>Milestone</w:t>
            </w:r>
          </w:p>
        </w:tc>
        <w:tc>
          <w:tcPr>
            <w:tcW w:w="2410" w:type="dxa"/>
          </w:tcPr>
          <w:p w14:paraId="3CEC3A45" w14:textId="19835D69" w:rsidR="00914203" w:rsidRDefault="00914203" w:rsidP="00914203">
            <w:r>
              <w:t>Timeline</w:t>
            </w:r>
          </w:p>
        </w:tc>
      </w:tr>
      <w:tr w:rsidR="00914203" w:rsidRPr="00914203" w14:paraId="23F1C329" w14:textId="4D8430C6" w:rsidTr="00914203">
        <w:tc>
          <w:tcPr>
            <w:tcW w:w="3989" w:type="dxa"/>
          </w:tcPr>
          <w:p w14:paraId="7380816A" w14:textId="28D9F3F6" w:rsidR="00914203" w:rsidRPr="00914203" w:rsidRDefault="00914203" w:rsidP="00914203">
            <w:r w:rsidRPr="00914203">
              <w:t>Identification of key data sources</w:t>
            </w:r>
            <w:r>
              <w:t>; development of property graph storage structure</w:t>
            </w:r>
          </w:p>
        </w:tc>
        <w:tc>
          <w:tcPr>
            <w:tcW w:w="2709" w:type="dxa"/>
          </w:tcPr>
          <w:p w14:paraId="6A60DD5A" w14:textId="4C70EB06" w:rsidR="00914203" w:rsidRPr="00914203" w:rsidRDefault="00914203" w:rsidP="00914203">
            <w:r>
              <w:t>Sources Identified, Structure Briefed</w:t>
            </w:r>
          </w:p>
        </w:tc>
        <w:tc>
          <w:tcPr>
            <w:tcW w:w="2410" w:type="dxa"/>
          </w:tcPr>
          <w:p w14:paraId="634FEF40" w14:textId="73695005" w:rsidR="00914203" w:rsidRPr="00914203" w:rsidRDefault="00914203" w:rsidP="00914203">
            <w:r>
              <w:t>M1: Award + 30 days</w:t>
            </w:r>
          </w:p>
        </w:tc>
      </w:tr>
      <w:tr w:rsidR="00914203" w:rsidRPr="00914203" w14:paraId="70A1579C" w14:textId="0C9A437E" w:rsidTr="00914203">
        <w:tc>
          <w:tcPr>
            <w:tcW w:w="3989" w:type="dxa"/>
          </w:tcPr>
          <w:p w14:paraId="0CD8B4EB" w14:textId="77777777" w:rsidR="00914203" w:rsidRPr="00914203" w:rsidRDefault="00914203" w:rsidP="00914203">
            <w:r w:rsidRPr="00914203">
              <w:t>Analysis, development, testing and technical demonstration of data access, extraction and loading mechanisms</w:t>
            </w:r>
          </w:p>
        </w:tc>
        <w:tc>
          <w:tcPr>
            <w:tcW w:w="2709" w:type="dxa"/>
          </w:tcPr>
          <w:p w14:paraId="4D8CA450" w14:textId="22F52A09" w:rsidR="00914203" w:rsidRPr="00914203" w:rsidRDefault="00914203" w:rsidP="00914203">
            <w:r>
              <w:t>Demonstration of data acc</w:t>
            </w:r>
            <w:bookmarkStart w:id="11" w:name="_GoBack"/>
            <w:bookmarkEnd w:id="11"/>
            <w:r>
              <w:t>ess, extraction and loading</w:t>
            </w:r>
          </w:p>
        </w:tc>
        <w:tc>
          <w:tcPr>
            <w:tcW w:w="2410" w:type="dxa"/>
          </w:tcPr>
          <w:p w14:paraId="151BF911" w14:textId="2A2FC3E2" w:rsidR="00914203" w:rsidRPr="00914203" w:rsidRDefault="00914203" w:rsidP="00914203">
            <w:r>
              <w:t>M2: M1 + 45 days</w:t>
            </w:r>
          </w:p>
        </w:tc>
      </w:tr>
      <w:tr w:rsidR="00914203" w:rsidRPr="00914203" w14:paraId="52C70F89" w14:textId="6D2EAECE" w:rsidTr="00914203">
        <w:tc>
          <w:tcPr>
            <w:tcW w:w="3989" w:type="dxa"/>
          </w:tcPr>
          <w:p w14:paraId="78AAFD5F" w14:textId="77777777" w:rsidR="00914203" w:rsidRPr="00914203" w:rsidRDefault="00914203" w:rsidP="00914203">
            <w:r w:rsidRPr="00914203">
              <w:t>Analysis, development, testing and technical demonstration of data comparators useful in performing entity resolution</w:t>
            </w:r>
          </w:p>
        </w:tc>
        <w:tc>
          <w:tcPr>
            <w:tcW w:w="2709" w:type="dxa"/>
          </w:tcPr>
          <w:p w14:paraId="39965947" w14:textId="5BB71B6D" w:rsidR="00914203" w:rsidRPr="00914203" w:rsidRDefault="00914203" w:rsidP="00914203">
            <w:r>
              <w:t>Comparators Briefed; Demonstration of Entity Resolution against current corpus</w:t>
            </w:r>
          </w:p>
        </w:tc>
        <w:tc>
          <w:tcPr>
            <w:tcW w:w="2410" w:type="dxa"/>
          </w:tcPr>
          <w:p w14:paraId="32F5066E" w14:textId="1AA4113F" w:rsidR="00914203" w:rsidRPr="00914203" w:rsidRDefault="00914203" w:rsidP="00914203">
            <w:r>
              <w:t>M3: M1 +75 days (concurrent with M2)</w:t>
            </w:r>
          </w:p>
        </w:tc>
      </w:tr>
      <w:tr w:rsidR="00914203" w:rsidRPr="00914203" w14:paraId="102AB4CC" w14:textId="7D046B85" w:rsidTr="00914203">
        <w:tc>
          <w:tcPr>
            <w:tcW w:w="3989" w:type="dxa"/>
          </w:tcPr>
          <w:p w14:paraId="39ABD582" w14:textId="77777777" w:rsidR="00914203" w:rsidRPr="00914203" w:rsidRDefault="00914203" w:rsidP="00914203">
            <w:r w:rsidRPr="00914203">
              <w:t xml:space="preserve">Analysis, development, testing and technical demonstration of data </w:t>
            </w:r>
            <w:r w:rsidRPr="00914203">
              <w:lastRenderedPageBreak/>
              <w:t>visualization components useful in review of the enriched corpus produced by (2) and (3) operating on (1)</w:t>
            </w:r>
          </w:p>
        </w:tc>
        <w:tc>
          <w:tcPr>
            <w:tcW w:w="2709" w:type="dxa"/>
          </w:tcPr>
          <w:p w14:paraId="0BCBB03C" w14:textId="1060B1D8" w:rsidR="00914203" w:rsidRPr="00914203" w:rsidRDefault="00914203" w:rsidP="00914203">
            <w:r>
              <w:lastRenderedPageBreak/>
              <w:t xml:space="preserve">Demonstration of Visualization </w:t>
            </w:r>
            <w:r>
              <w:lastRenderedPageBreak/>
              <w:t>Components against current (enriched) corpus</w:t>
            </w:r>
          </w:p>
        </w:tc>
        <w:tc>
          <w:tcPr>
            <w:tcW w:w="2410" w:type="dxa"/>
          </w:tcPr>
          <w:p w14:paraId="0157FBA0" w14:textId="2346411C" w:rsidR="00914203" w:rsidRDefault="00914203" w:rsidP="00914203">
            <w:r>
              <w:lastRenderedPageBreak/>
              <w:t xml:space="preserve">M4: </w:t>
            </w:r>
            <w:r w:rsidR="008132FB">
              <w:t>M1 + 90 days</w:t>
            </w:r>
          </w:p>
          <w:p w14:paraId="2D9DCB0C" w14:textId="2EC485ED" w:rsidR="008132FB" w:rsidRPr="00914203" w:rsidRDefault="008132FB" w:rsidP="00914203">
            <w:r>
              <w:t xml:space="preserve">(concurrent with M2 </w:t>
            </w:r>
            <w:r>
              <w:lastRenderedPageBreak/>
              <w:t>and M3)</w:t>
            </w:r>
          </w:p>
        </w:tc>
      </w:tr>
    </w:tbl>
    <w:p w14:paraId="63D5A92B" w14:textId="275CD0D7" w:rsidR="00DC068E" w:rsidRDefault="00DC068E" w:rsidP="00145CBD"/>
    <w:p w14:paraId="2CE9999C" w14:textId="385D8519" w:rsidR="00914203" w:rsidRDefault="00914203" w:rsidP="00914203">
      <w:pPr>
        <w:ind w:firstLine="360"/>
      </w:pPr>
      <w:r>
        <w:t>Expanded:</w:t>
      </w:r>
    </w:p>
    <w:p w14:paraId="18B6D030" w14:textId="77777777" w:rsidR="00914203" w:rsidRDefault="00914203" w:rsidP="00145CBD"/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3960"/>
        <w:gridCol w:w="2700"/>
        <w:gridCol w:w="2430"/>
      </w:tblGrid>
      <w:tr w:rsidR="008132FB" w:rsidRPr="008132FB" w14:paraId="38588829" w14:textId="77777777" w:rsidTr="008132FB">
        <w:tc>
          <w:tcPr>
            <w:tcW w:w="3960" w:type="dxa"/>
          </w:tcPr>
          <w:p w14:paraId="02B157A5" w14:textId="40D75011" w:rsidR="008132FB" w:rsidRPr="008132FB" w:rsidRDefault="008132FB" w:rsidP="008132FB">
            <w:r>
              <w:t>Activity</w:t>
            </w:r>
          </w:p>
        </w:tc>
        <w:tc>
          <w:tcPr>
            <w:tcW w:w="2700" w:type="dxa"/>
          </w:tcPr>
          <w:p w14:paraId="687C13E1" w14:textId="1F27611D" w:rsidR="008132FB" w:rsidRPr="008132FB" w:rsidRDefault="008132FB" w:rsidP="008132FB">
            <w:r>
              <w:t>Milestone</w:t>
            </w:r>
          </w:p>
        </w:tc>
        <w:tc>
          <w:tcPr>
            <w:tcW w:w="2430" w:type="dxa"/>
          </w:tcPr>
          <w:p w14:paraId="7B138EC1" w14:textId="44C54D35" w:rsidR="008132FB" w:rsidRPr="008132FB" w:rsidRDefault="008132FB" w:rsidP="008132FB">
            <w:r>
              <w:t>Timeline</w:t>
            </w:r>
          </w:p>
        </w:tc>
      </w:tr>
      <w:tr w:rsidR="008132FB" w:rsidRPr="008132FB" w14:paraId="619F94B6" w14:textId="54802500" w:rsidTr="008132FB">
        <w:tc>
          <w:tcPr>
            <w:tcW w:w="3960" w:type="dxa"/>
          </w:tcPr>
          <w:p w14:paraId="61E9CE63" w14:textId="77777777" w:rsidR="008132FB" w:rsidRPr="008132FB" w:rsidRDefault="008132FB" w:rsidP="008132FB">
            <w:r w:rsidRPr="008132FB">
              <w:t>Establishment of appropriate identity and access management components</w:t>
            </w:r>
          </w:p>
        </w:tc>
        <w:tc>
          <w:tcPr>
            <w:tcW w:w="2700" w:type="dxa"/>
          </w:tcPr>
          <w:p w14:paraId="752CEE40" w14:textId="593C8C03" w:rsidR="008132FB" w:rsidRPr="008132FB" w:rsidRDefault="008132FB" w:rsidP="008132FB">
            <w:r>
              <w:t>Demonstration of identity and access management components</w:t>
            </w:r>
          </w:p>
        </w:tc>
        <w:tc>
          <w:tcPr>
            <w:tcW w:w="2430" w:type="dxa"/>
          </w:tcPr>
          <w:p w14:paraId="53185CBF" w14:textId="2307638B" w:rsidR="008132FB" w:rsidRPr="008132FB" w:rsidRDefault="008132FB" w:rsidP="008132FB">
            <w:r>
              <w:t>M5: M1 + 45 days</w:t>
            </w:r>
          </w:p>
        </w:tc>
      </w:tr>
      <w:tr w:rsidR="008132FB" w:rsidRPr="008132FB" w14:paraId="554C01DB" w14:textId="68AAECDE" w:rsidTr="008132FB">
        <w:tc>
          <w:tcPr>
            <w:tcW w:w="3960" w:type="dxa"/>
          </w:tcPr>
          <w:p w14:paraId="421907C6" w14:textId="77777777" w:rsidR="008132FB" w:rsidRPr="008132FB" w:rsidRDefault="008132FB" w:rsidP="008132FB">
            <w:r w:rsidRPr="008132FB">
              <w:t>Analysis, development, testing and technical demonstration of select security models to the property graph structures</w:t>
            </w:r>
          </w:p>
        </w:tc>
        <w:tc>
          <w:tcPr>
            <w:tcW w:w="2700" w:type="dxa"/>
          </w:tcPr>
          <w:p w14:paraId="06EE589A" w14:textId="0CB65A12" w:rsidR="008132FB" w:rsidRPr="008132FB" w:rsidRDefault="008132FB" w:rsidP="008132FB">
            <w:r>
              <w:t>Demonstration of access control based on select security models</w:t>
            </w:r>
          </w:p>
        </w:tc>
        <w:tc>
          <w:tcPr>
            <w:tcW w:w="2430" w:type="dxa"/>
          </w:tcPr>
          <w:p w14:paraId="004DE68E" w14:textId="29639B17" w:rsidR="008132FB" w:rsidRPr="008132FB" w:rsidRDefault="008132FB" w:rsidP="008132FB">
            <w:r>
              <w:t xml:space="preserve">M6: M5 + 45 days </w:t>
            </w:r>
          </w:p>
        </w:tc>
      </w:tr>
    </w:tbl>
    <w:p w14:paraId="77737F93" w14:textId="77777777" w:rsidR="00914203" w:rsidRDefault="00914203" w:rsidP="00914203"/>
    <w:p w14:paraId="59E91D06" w14:textId="77777777" w:rsidR="006C14EF" w:rsidRDefault="006C14EF">
      <w:pPr>
        <w:rPr>
          <w:rFonts w:ascii="Times New Roman Bold" w:hAnsi="Times New Roman Bold"/>
          <w:b/>
          <w:snapToGrid w:val="0"/>
          <w:color w:val="000000"/>
          <w:sz w:val="28"/>
          <w:szCs w:val="28"/>
        </w:rPr>
      </w:pPr>
      <w:r>
        <w:br w:type="page"/>
      </w:r>
    </w:p>
    <w:p w14:paraId="60A1FB23" w14:textId="2D135679" w:rsidR="00DC068E" w:rsidRDefault="008132FB" w:rsidP="008132FB">
      <w:pPr>
        <w:pStyle w:val="Heading2"/>
      </w:pPr>
      <w:r>
        <w:lastRenderedPageBreak/>
        <w:t>Rough Order of Magnitude Price</w:t>
      </w:r>
    </w:p>
    <w:p w14:paraId="0E3CFD9A" w14:textId="5F0B4A71" w:rsidR="008132FB" w:rsidRDefault="008132FB" w:rsidP="008132FB">
      <w:r>
        <w:t>To support the technical demonstration outlined here, the following Labor and Material costs are anticipated</w:t>
      </w:r>
      <w:r w:rsidR="006C14EF">
        <w:t xml:space="preserve"> (based on blended rate of $150/hour)</w:t>
      </w:r>
      <w:r>
        <w:t>:</w:t>
      </w:r>
    </w:p>
    <w:p w14:paraId="25B46FB8" w14:textId="77777777" w:rsidR="008132FB" w:rsidRDefault="008132FB" w:rsidP="008132FB"/>
    <w:p w14:paraId="1A4B9072" w14:textId="70ED038B" w:rsidR="008132FB" w:rsidRPr="008132FB" w:rsidRDefault="003A5BFB" w:rsidP="008132FB">
      <w:r>
        <w:object w:dxaOrig="10040" w:dyaOrig="10340" w14:anchorId="358D84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630pt;height:517pt" o:ole="">
            <v:imagedata r:id="rId11" o:title=""/>
          </v:shape>
          <o:OLEObject Type="Embed" ProgID="Excel.SheetBinaryMacroEnabled.12" ShapeID="_x0000_i1083" DrawAspect="Content" ObjectID="_1335278910" r:id="rId12"/>
        </w:object>
      </w:r>
    </w:p>
    <w:sectPr w:rsidR="008132FB" w:rsidRPr="008132FB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Alan Johnson" w:date="2014-05-12T16:17:00Z" w:initials="RAJ">
    <w:p w14:paraId="3F74E231" w14:textId="28FF6B2E" w:rsidR="006C14EF" w:rsidRDefault="006C14EF">
      <w:pPr>
        <w:pStyle w:val="CommentText"/>
      </w:pPr>
      <w:r>
        <w:rPr>
          <w:rStyle w:val="CommentReference"/>
        </w:rPr>
        <w:annotationRef/>
      </w:r>
      <w:r>
        <w:t>Gregg, need to update this graph to reflect the reduced set of elements being proposed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7EF7C" w14:textId="77777777" w:rsidR="006C14EF" w:rsidRDefault="006C14EF">
      <w:r>
        <w:separator/>
      </w:r>
    </w:p>
  </w:endnote>
  <w:endnote w:type="continuationSeparator" w:id="0">
    <w:p w14:paraId="22314996" w14:textId="77777777" w:rsidR="006C14EF" w:rsidRDefault="006C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7F7AB" w14:textId="77777777" w:rsidR="006C14EF" w:rsidRDefault="006C1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653FAE" w14:textId="77777777" w:rsidR="006C14EF" w:rsidRDefault="006C14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3E663" w14:textId="77777777" w:rsidR="006C14EF" w:rsidRDefault="006C14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9E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BEA4167" w14:textId="77777777" w:rsidR="006C14EF" w:rsidRDefault="006C14EF">
    <w:pPr>
      <w:pStyle w:val="Footer"/>
    </w:pPr>
    <w:r>
      <w:t>Open Source Entity Resolution Architecture Framework (OSERAF)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6045F" w14:textId="77777777" w:rsidR="006C14EF" w:rsidRDefault="006C14EF">
    <w:pPr>
      <w:pStyle w:val="Footer"/>
    </w:pPr>
    <w:r>
      <w:t>Entity Resolution Architecture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4D80D" w14:textId="77777777" w:rsidR="006C14EF" w:rsidRDefault="006C14EF">
      <w:r>
        <w:separator/>
      </w:r>
    </w:p>
  </w:footnote>
  <w:footnote w:type="continuationSeparator" w:id="0">
    <w:p w14:paraId="34E86EE1" w14:textId="77777777" w:rsidR="006C14EF" w:rsidRDefault="006C1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BEA"/>
    <w:multiLevelType w:val="hybridMultilevel"/>
    <w:tmpl w:val="CB92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261D7"/>
    <w:multiLevelType w:val="singleLevel"/>
    <w:tmpl w:val="7F9870E8"/>
    <w:lvl w:ilvl="0">
      <w:start w:val="1"/>
      <w:numFmt w:val="bullet"/>
      <w:pStyle w:val="ListBulleted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2">
    <w:nsid w:val="132C2BDB"/>
    <w:multiLevelType w:val="hybridMultilevel"/>
    <w:tmpl w:val="7CB01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453A8"/>
    <w:multiLevelType w:val="hybridMultilevel"/>
    <w:tmpl w:val="842E7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594D6A"/>
    <w:multiLevelType w:val="hybridMultilevel"/>
    <w:tmpl w:val="2928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4C75"/>
    <w:multiLevelType w:val="hybridMultilevel"/>
    <w:tmpl w:val="E38C3556"/>
    <w:lvl w:ilvl="0" w:tplc="8CA2B1BC">
      <w:numFmt w:val="bullet"/>
      <w:lvlText w:val="–"/>
      <w:lvlJc w:val="left"/>
      <w:pPr>
        <w:ind w:left="720" w:hanging="360"/>
      </w:pPr>
      <w:rPr>
        <w:rFonts w:ascii="Arial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142E9"/>
    <w:multiLevelType w:val="hybridMultilevel"/>
    <w:tmpl w:val="5EA8DC26"/>
    <w:lvl w:ilvl="0" w:tplc="A4749F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A59F8"/>
    <w:multiLevelType w:val="hybridMultilevel"/>
    <w:tmpl w:val="713A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313CA"/>
    <w:multiLevelType w:val="hybridMultilevel"/>
    <w:tmpl w:val="7696C7A8"/>
    <w:lvl w:ilvl="0" w:tplc="A4749F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416D6"/>
    <w:multiLevelType w:val="hybridMultilevel"/>
    <w:tmpl w:val="947A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C466B"/>
    <w:multiLevelType w:val="hybridMultilevel"/>
    <w:tmpl w:val="01FC6F7A"/>
    <w:lvl w:ilvl="0" w:tplc="A4749F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976130"/>
    <w:multiLevelType w:val="hybridMultilevel"/>
    <w:tmpl w:val="69F0A2F4"/>
    <w:lvl w:ilvl="0" w:tplc="8CA2B1BC">
      <w:numFmt w:val="bullet"/>
      <w:lvlText w:val="–"/>
      <w:lvlJc w:val="left"/>
      <w:pPr>
        <w:ind w:left="1080" w:hanging="360"/>
      </w:pPr>
      <w:rPr>
        <w:rFonts w:ascii="Arial" w:hAnsi="Arial" w:cs="Arial" w:hint="default"/>
        <w:sz w:val="3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31E17"/>
    <w:multiLevelType w:val="hybridMultilevel"/>
    <w:tmpl w:val="434E6B18"/>
    <w:lvl w:ilvl="0" w:tplc="8CA2B1BC">
      <w:numFmt w:val="bullet"/>
      <w:lvlText w:val="–"/>
      <w:lvlJc w:val="left"/>
      <w:pPr>
        <w:ind w:left="720" w:hanging="360"/>
      </w:pPr>
      <w:rPr>
        <w:rFonts w:ascii="Arial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07CA1"/>
    <w:multiLevelType w:val="singleLevel"/>
    <w:tmpl w:val="3BFA6460"/>
    <w:lvl w:ilvl="0">
      <w:start w:val="1"/>
      <w:numFmt w:val="bullet"/>
      <w:pStyle w:val="ListBulletedNospa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1860B6B"/>
    <w:multiLevelType w:val="hybridMultilevel"/>
    <w:tmpl w:val="00F8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A7297"/>
    <w:multiLevelType w:val="hybridMultilevel"/>
    <w:tmpl w:val="C854E3BC"/>
    <w:lvl w:ilvl="0" w:tplc="8CA2B1BC">
      <w:numFmt w:val="bullet"/>
      <w:lvlText w:val="–"/>
      <w:lvlJc w:val="left"/>
      <w:pPr>
        <w:ind w:left="720" w:hanging="360"/>
      </w:pPr>
      <w:rPr>
        <w:rFonts w:ascii="Arial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11A45"/>
    <w:multiLevelType w:val="hybridMultilevel"/>
    <w:tmpl w:val="F66A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B7FCD"/>
    <w:multiLevelType w:val="hybridMultilevel"/>
    <w:tmpl w:val="7696C7A8"/>
    <w:lvl w:ilvl="0" w:tplc="A4749F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16"/>
  </w:num>
  <w:num w:numId="7">
    <w:abstractNumId w:val="9"/>
  </w:num>
  <w:num w:numId="8">
    <w:abstractNumId w:val="11"/>
  </w:num>
  <w:num w:numId="9">
    <w:abstractNumId w:val="5"/>
  </w:num>
  <w:num w:numId="10">
    <w:abstractNumId w:val="12"/>
  </w:num>
  <w:num w:numId="11">
    <w:abstractNumId w:val="15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7"/>
  </w:num>
  <w:num w:numId="17">
    <w:abstractNumId w:val="8"/>
  </w:num>
  <w:num w:numId="1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markup="0"/>
  <w:defaultTabStop w:val="720"/>
  <w:noPunctuationKerning/>
  <w:characterSpacingControl w:val="doNotCompress"/>
  <w:hdrShapeDefaults>
    <o:shapedefaults v:ext="edit" spidmax="2050" style="v-text-anchor:middle" fillcolor="#c4ccee">
      <v:fill color="#c4ccee"/>
      <v:textbox inset="1.44pt,,1.4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9D"/>
    <w:rsid w:val="000108DF"/>
    <w:rsid w:val="000159ED"/>
    <w:rsid w:val="0002360B"/>
    <w:rsid w:val="00053B65"/>
    <w:rsid w:val="00067D24"/>
    <w:rsid w:val="00073C54"/>
    <w:rsid w:val="000845E8"/>
    <w:rsid w:val="00086045"/>
    <w:rsid w:val="00087682"/>
    <w:rsid w:val="00093387"/>
    <w:rsid w:val="000A648F"/>
    <w:rsid w:val="000B30E7"/>
    <w:rsid w:val="000B5F06"/>
    <w:rsid w:val="000C55A2"/>
    <w:rsid w:val="000E21D2"/>
    <w:rsid w:val="000E48A5"/>
    <w:rsid w:val="000F3333"/>
    <w:rsid w:val="00102841"/>
    <w:rsid w:val="0011594C"/>
    <w:rsid w:val="00121E1C"/>
    <w:rsid w:val="00134F33"/>
    <w:rsid w:val="00145CBD"/>
    <w:rsid w:val="00150A68"/>
    <w:rsid w:val="0017132B"/>
    <w:rsid w:val="001735A5"/>
    <w:rsid w:val="00177B7C"/>
    <w:rsid w:val="0019689A"/>
    <w:rsid w:val="001A187B"/>
    <w:rsid w:val="001A6400"/>
    <w:rsid w:val="001A794A"/>
    <w:rsid w:val="001B5F50"/>
    <w:rsid w:val="001C0990"/>
    <w:rsid w:val="001C5138"/>
    <w:rsid w:val="001C779F"/>
    <w:rsid w:val="001C7D8A"/>
    <w:rsid w:val="001D5B11"/>
    <w:rsid w:val="001D6F1F"/>
    <w:rsid w:val="001E0EC5"/>
    <w:rsid w:val="001E0F93"/>
    <w:rsid w:val="001E4599"/>
    <w:rsid w:val="001E64FD"/>
    <w:rsid w:val="001F2511"/>
    <w:rsid w:val="001F5390"/>
    <w:rsid w:val="00263425"/>
    <w:rsid w:val="002715F1"/>
    <w:rsid w:val="00286673"/>
    <w:rsid w:val="0029089B"/>
    <w:rsid w:val="0029208C"/>
    <w:rsid w:val="002A0896"/>
    <w:rsid w:val="002A1C11"/>
    <w:rsid w:val="002A62ED"/>
    <w:rsid w:val="002B5273"/>
    <w:rsid w:val="002B5667"/>
    <w:rsid w:val="002D1615"/>
    <w:rsid w:val="002D20E1"/>
    <w:rsid w:val="002E4110"/>
    <w:rsid w:val="003020E3"/>
    <w:rsid w:val="00302AAB"/>
    <w:rsid w:val="00307776"/>
    <w:rsid w:val="00340A03"/>
    <w:rsid w:val="00356CFE"/>
    <w:rsid w:val="00363CA9"/>
    <w:rsid w:val="00383885"/>
    <w:rsid w:val="00390D53"/>
    <w:rsid w:val="00391F11"/>
    <w:rsid w:val="003A2BDB"/>
    <w:rsid w:val="003A5BFB"/>
    <w:rsid w:val="003A6A21"/>
    <w:rsid w:val="003B0289"/>
    <w:rsid w:val="003C6348"/>
    <w:rsid w:val="003D7B4F"/>
    <w:rsid w:val="003F3C35"/>
    <w:rsid w:val="0040290C"/>
    <w:rsid w:val="00413AAC"/>
    <w:rsid w:val="00451A57"/>
    <w:rsid w:val="0048117F"/>
    <w:rsid w:val="00484EB6"/>
    <w:rsid w:val="00492A6B"/>
    <w:rsid w:val="004B3BD7"/>
    <w:rsid w:val="004E01F0"/>
    <w:rsid w:val="004E23BF"/>
    <w:rsid w:val="004E471E"/>
    <w:rsid w:val="004F6392"/>
    <w:rsid w:val="00505ACA"/>
    <w:rsid w:val="0051010A"/>
    <w:rsid w:val="0051266C"/>
    <w:rsid w:val="00517206"/>
    <w:rsid w:val="005213A8"/>
    <w:rsid w:val="00546094"/>
    <w:rsid w:val="005804B3"/>
    <w:rsid w:val="00582AE9"/>
    <w:rsid w:val="00586CD0"/>
    <w:rsid w:val="005872D9"/>
    <w:rsid w:val="00594128"/>
    <w:rsid w:val="00594178"/>
    <w:rsid w:val="005B65E1"/>
    <w:rsid w:val="005C3499"/>
    <w:rsid w:val="005C59AB"/>
    <w:rsid w:val="005D1E23"/>
    <w:rsid w:val="005F7216"/>
    <w:rsid w:val="00604FE9"/>
    <w:rsid w:val="00610161"/>
    <w:rsid w:val="006134FE"/>
    <w:rsid w:val="006225E7"/>
    <w:rsid w:val="00622A17"/>
    <w:rsid w:val="00633AB4"/>
    <w:rsid w:val="006365E2"/>
    <w:rsid w:val="00636A8E"/>
    <w:rsid w:val="00655BE9"/>
    <w:rsid w:val="00666CA4"/>
    <w:rsid w:val="006677CC"/>
    <w:rsid w:val="0067587C"/>
    <w:rsid w:val="00677A16"/>
    <w:rsid w:val="006838FD"/>
    <w:rsid w:val="006942BB"/>
    <w:rsid w:val="006A0D22"/>
    <w:rsid w:val="006A708E"/>
    <w:rsid w:val="006C14EF"/>
    <w:rsid w:val="006C3A79"/>
    <w:rsid w:val="006D62FF"/>
    <w:rsid w:val="00716177"/>
    <w:rsid w:val="007177F6"/>
    <w:rsid w:val="00731A2F"/>
    <w:rsid w:val="00734520"/>
    <w:rsid w:val="00734B38"/>
    <w:rsid w:val="00737ABA"/>
    <w:rsid w:val="00745C71"/>
    <w:rsid w:val="00751643"/>
    <w:rsid w:val="007608BE"/>
    <w:rsid w:val="0077145A"/>
    <w:rsid w:val="00791593"/>
    <w:rsid w:val="007B3744"/>
    <w:rsid w:val="007E58C2"/>
    <w:rsid w:val="007E7EE5"/>
    <w:rsid w:val="00801452"/>
    <w:rsid w:val="0080317E"/>
    <w:rsid w:val="00803205"/>
    <w:rsid w:val="00804E2B"/>
    <w:rsid w:val="00805906"/>
    <w:rsid w:val="00806B35"/>
    <w:rsid w:val="008132FB"/>
    <w:rsid w:val="00841198"/>
    <w:rsid w:val="008421C9"/>
    <w:rsid w:val="00847F50"/>
    <w:rsid w:val="00861497"/>
    <w:rsid w:val="00865E2D"/>
    <w:rsid w:val="008749A9"/>
    <w:rsid w:val="00877631"/>
    <w:rsid w:val="008816C7"/>
    <w:rsid w:val="0088687B"/>
    <w:rsid w:val="00893F36"/>
    <w:rsid w:val="00894EE7"/>
    <w:rsid w:val="008A597A"/>
    <w:rsid w:val="008B72A1"/>
    <w:rsid w:val="008C0E57"/>
    <w:rsid w:val="008E4415"/>
    <w:rsid w:val="008E4CEA"/>
    <w:rsid w:val="008F44D9"/>
    <w:rsid w:val="008F728D"/>
    <w:rsid w:val="009032C9"/>
    <w:rsid w:val="00905737"/>
    <w:rsid w:val="00914203"/>
    <w:rsid w:val="00915188"/>
    <w:rsid w:val="009159A4"/>
    <w:rsid w:val="0093030F"/>
    <w:rsid w:val="00942510"/>
    <w:rsid w:val="00951AAC"/>
    <w:rsid w:val="00953750"/>
    <w:rsid w:val="00960D87"/>
    <w:rsid w:val="009770EB"/>
    <w:rsid w:val="009A3BDF"/>
    <w:rsid w:val="009B2862"/>
    <w:rsid w:val="009B2C18"/>
    <w:rsid w:val="009C4194"/>
    <w:rsid w:val="009D5DBD"/>
    <w:rsid w:val="009E7CE7"/>
    <w:rsid w:val="00A03407"/>
    <w:rsid w:val="00A0660A"/>
    <w:rsid w:val="00A23104"/>
    <w:rsid w:val="00A31650"/>
    <w:rsid w:val="00A602DD"/>
    <w:rsid w:val="00A62947"/>
    <w:rsid w:val="00A85A1D"/>
    <w:rsid w:val="00AA0F4F"/>
    <w:rsid w:val="00AA125B"/>
    <w:rsid w:val="00AA58E9"/>
    <w:rsid w:val="00AB5507"/>
    <w:rsid w:val="00AE11DC"/>
    <w:rsid w:val="00AF5D6A"/>
    <w:rsid w:val="00AF66C3"/>
    <w:rsid w:val="00B00C94"/>
    <w:rsid w:val="00B1494A"/>
    <w:rsid w:val="00B441B3"/>
    <w:rsid w:val="00B62311"/>
    <w:rsid w:val="00B625CA"/>
    <w:rsid w:val="00B708E6"/>
    <w:rsid w:val="00B730D5"/>
    <w:rsid w:val="00B915E2"/>
    <w:rsid w:val="00B924D0"/>
    <w:rsid w:val="00B92ECD"/>
    <w:rsid w:val="00BA7CDF"/>
    <w:rsid w:val="00BD23A5"/>
    <w:rsid w:val="00BD3BDA"/>
    <w:rsid w:val="00BD6DC9"/>
    <w:rsid w:val="00BF66CB"/>
    <w:rsid w:val="00C14CB4"/>
    <w:rsid w:val="00C22A1D"/>
    <w:rsid w:val="00C330BF"/>
    <w:rsid w:val="00C43BBD"/>
    <w:rsid w:val="00C45267"/>
    <w:rsid w:val="00C46FEE"/>
    <w:rsid w:val="00C52B5F"/>
    <w:rsid w:val="00C57FF1"/>
    <w:rsid w:val="00C66D17"/>
    <w:rsid w:val="00C914C3"/>
    <w:rsid w:val="00C94344"/>
    <w:rsid w:val="00C962F4"/>
    <w:rsid w:val="00CA1CD6"/>
    <w:rsid w:val="00CA5E40"/>
    <w:rsid w:val="00CC3FBB"/>
    <w:rsid w:val="00CF00CA"/>
    <w:rsid w:val="00D24B87"/>
    <w:rsid w:val="00D25729"/>
    <w:rsid w:val="00D3021B"/>
    <w:rsid w:val="00D34C4D"/>
    <w:rsid w:val="00D41120"/>
    <w:rsid w:val="00D4189E"/>
    <w:rsid w:val="00D435A9"/>
    <w:rsid w:val="00D45FD5"/>
    <w:rsid w:val="00D502BA"/>
    <w:rsid w:val="00D52C24"/>
    <w:rsid w:val="00D536D3"/>
    <w:rsid w:val="00D85374"/>
    <w:rsid w:val="00D866D5"/>
    <w:rsid w:val="00D94369"/>
    <w:rsid w:val="00DB6039"/>
    <w:rsid w:val="00DC068E"/>
    <w:rsid w:val="00DC713F"/>
    <w:rsid w:val="00DC7D29"/>
    <w:rsid w:val="00DF6B73"/>
    <w:rsid w:val="00E05C4B"/>
    <w:rsid w:val="00E14C6A"/>
    <w:rsid w:val="00E224F0"/>
    <w:rsid w:val="00E22DD9"/>
    <w:rsid w:val="00E2323B"/>
    <w:rsid w:val="00E32A86"/>
    <w:rsid w:val="00E375D9"/>
    <w:rsid w:val="00E40AEA"/>
    <w:rsid w:val="00E40E10"/>
    <w:rsid w:val="00E748F8"/>
    <w:rsid w:val="00E92949"/>
    <w:rsid w:val="00E937B0"/>
    <w:rsid w:val="00EE5365"/>
    <w:rsid w:val="00EF674F"/>
    <w:rsid w:val="00F128E9"/>
    <w:rsid w:val="00F251D2"/>
    <w:rsid w:val="00F35432"/>
    <w:rsid w:val="00F51927"/>
    <w:rsid w:val="00F57E73"/>
    <w:rsid w:val="00F7710B"/>
    <w:rsid w:val="00F914DA"/>
    <w:rsid w:val="00F92DA5"/>
    <w:rsid w:val="00FB659D"/>
    <w:rsid w:val="00FE6E1F"/>
    <w:rsid w:val="00FF0DFC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 fillcolor="#c4ccee">
      <v:fill color="#c4ccee"/>
      <v:textbox inset="1.44pt,,1.44pt"/>
    </o:shapedefaults>
    <o:shapelayout v:ext="edit">
      <o:idmap v:ext="edit" data="1"/>
    </o:shapelayout>
  </w:shapeDefaults>
  <w:decimalSymbol w:val="."/>
  <w:listSeparator w:val=","/>
  <w14:docId w14:val="3C079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40"/>
    <w:rPr>
      <w:sz w:val="24"/>
      <w:szCs w:val="24"/>
    </w:rPr>
  </w:style>
  <w:style w:type="paragraph" w:styleId="Heading1">
    <w:name w:val="heading 1"/>
    <w:aliases w:val="LN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LN2"/>
    <w:basedOn w:val="Heading1"/>
    <w:next w:val="Text"/>
    <w:link w:val="Heading2Char"/>
    <w:autoRedefine/>
    <w:qFormat/>
    <w:rsid w:val="008132FB"/>
    <w:pPr>
      <w:keepLines/>
      <w:spacing w:before="360" w:after="120"/>
      <w:jc w:val="both"/>
      <w:outlineLvl w:val="1"/>
    </w:pPr>
    <w:rPr>
      <w:rFonts w:ascii="Times New Roman Bold" w:hAnsi="Times New Roman Bold" w:cs="Times New Roman"/>
      <w:bCs w:val="0"/>
      <w:snapToGrid w:val="0"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color w:val="000000"/>
      <w:szCs w:val="1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jc w:val="center"/>
      <w:outlineLvl w:val="6"/>
    </w:pPr>
    <w:rPr>
      <w:rFonts w:ascii="Tahoma" w:hAnsi="Tahoma" w:cs="Tahoma"/>
      <w:color w:val="000000"/>
      <w:sz w:val="28"/>
      <w:szCs w:val="4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Tahoma" w:hAnsi="Tahoma" w:cs="Tahoma"/>
      <w:color w:val="000000"/>
      <w:sz w:val="32"/>
      <w:szCs w:val="48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Tahoma" w:hAnsi="Tahoma" w:cs="Tahoma"/>
      <w:b/>
      <w:bCs/>
      <w:color w:val="000000"/>
      <w:sz w:val="2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spacing w:before="120" w:after="120"/>
    </w:pPr>
    <w:rPr>
      <w:rFonts w:ascii="Tahoma" w:hAnsi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ListBulletedNospace">
    <w:name w:val="List: Bulleted Nospace"/>
    <w:basedOn w:val="Normal"/>
    <w:pPr>
      <w:numPr>
        <w:numId w:val="1"/>
      </w:numPr>
      <w:ind w:right="720"/>
    </w:pPr>
    <w:rPr>
      <w:rFonts w:ascii="Tahoma" w:hAnsi="Tahoma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Bulleted">
    <w:name w:val="List: Bulleted"/>
    <w:basedOn w:val="Text"/>
    <w:pPr>
      <w:numPr>
        <w:numId w:val="2"/>
      </w:numPr>
      <w:spacing w:before="40" w:after="40"/>
      <w:ind w:right="72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sz w:val="22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Arial" w:hAnsi="Arial" w:cs="Arial"/>
      <w:color w:val="000000"/>
      <w:sz w:val="28"/>
      <w:szCs w:val="36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rFonts w:ascii="Lucida Sans" w:hAnsi="Lucida Sans"/>
      <w:b/>
      <w:bCs/>
      <w:color w:val="333399"/>
      <w:sz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bodytext1">
    <w:name w:val="bodytext1"/>
    <w:basedOn w:val="DefaultParagraphFont"/>
    <w:rsid w:val="0040290C"/>
    <w:rPr>
      <w:rFonts w:ascii="Arial" w:hAnsi="Arial" w:cs="Arial" w:hint="default"/>
      <w:color w:val="333333"/>
      <w:sz w:val="20"/>
      <w:szCs w:val="20"/>
    </w:rPr>
  </w:style>
  <w:style w:type="character" w:customStyle="1" w:styleId="Heading1Char">
    <w:name w:val="Heading 1 Char"/>
    <w:aliases w:val="LN Char"/>
    <w:basedOn w:val="DefaultParagraphFont"/>
    <w:link w:val="Heading1"/>
    <w:rsid w:val="00F7710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LN2 Char"/>
    <w:basedOn w:val="Heading1Char"/>
    <w:link w:val="Heading2"/>
    <w:rsid w:val="008132FB"/>
    <w:rPr>
      <w:rFonts w:ascii="Times New Roman Bold" w:hAnsi="Times New Roman Bold" w:cs="Arial"/>
      <w:b/>
      <w:bCs w:val="0"/>
      <w:snapToGrid w:val="0"/>
      <w:color w:val="000000"/>
      <w:kern w:val="32"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B1494A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DC713F"/>
  </w:style>
  <w:style w:type="character" w:styleId="Strong">
    <w:name w:val="Strong"/>
    <w:basedOn w:val="DefaultParagraphFont"/>
    <w:qFormat/>
    <w:rsid w:val="007608BE"/>
    <w:rPr>
      <w:b/>
      <w:bCs/>
    </w:rPr>
  </w:style>
  <w:style w:type="character" w:customStyle="1" w:styleId="bodycopy1">
    <w:name w:val="bodycopy1"/>
    <w:basedOn w:val="DefaultParagraphFont"/>
    <w:rsid w:val="003A2BDB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BodyTextIndent">
    <w:name w:val="Body Text Indent"/>
    <w:basedOn w:val="Normal"/>
    <w:rsid w:val="003B0289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2D16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6400"/>
  </w:style>
  <w:style w:type="paragraph" w:customStyle="1" w:styleId="paragraphstyle2">
    <w:name w:val="paragraph_style_2"/>
    <w:basedOn w:val="Normal"/>
    <w:rsid w:val="00451A57"/>
    <w:pPr>
      <w:spacing w:line="285" w:lineRule="atLeast"/>
    </w:pPr>
    <w:rPr>
      <w:rFonts w:ascii="Georgia" w:hAnsi="Georgia"/>
      <w:color w:val="717171"/>
      <w:sz w:val="21"/>
      <w:szCs w:val="21"/>
    </w:rPr>
  </w:style>
  <w:style w:type="paragraph" w:customStyle="1" w:styleId="style2">
    <w:name w:val="style2"/>
    <w:basedOn w:val="Normal"/>
    <w:rsid w:val="00451A57"/>
    <w:pPr>
      <w:spacing w:before="100" w:beforeAutospacing="1" w:after="100" w:afterAutospacing="1"/>
    </w:pPr>
    <w:rPr>
      <w:rFonts w:ascii="Cambria" w:hAnsi="Cambria"/>
    </w:rPr>
  </w:style>
  <w:style w:type="character" w:customStyle="1" w:styleId="style11">
    <w:name w:val="style_11"/>
    <w:basedOn w:val="DefaultParagraphFont"/>
    <w:rsid w:val="00451A57"/>
    <w:rPr>
      <w:rFonts w:ascii="Arial" w:hAnsi="Arial" w:cs="Arial" w:hint="default"/>
      <w:b/>
      <w:bCs/>
      <w:i w:val="0"/>
      <w:iCs w:val="0"/>
      <w:color w:val="941200"/>
      <w:sz w:val="21"/>
      <w:szCs w:val="21"/>
    </w:rPr>
  </w:style>
  <w:style w:type="paragraph" w:customStyle="1" w:styleId="Default">
    <w:name w:val="Default"/>
    <w:rsid w:val="00451A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9A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749A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9A9"/>
    <w:rPr>
      <w:b/>
      <w:bCs/>
    </w:rPr>
  </w:style>
  <w:style w:type="table" w:styleId="TableGrid">
    <w:name w:val="Table Grid"/>
    <w:basedOn w:val="TableNormal"/>
    <w:uiPriority w:val="39"/>
    <w:rsid w:val="00914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40"/>
    <w:rPr>
      <w:sz w:val="24"/>
      <w:szCs w:val="24"/>
    </w:rPr>
  </w:style>
  <w:style w:type="paragraph" w:styleId="Heading1">
    <w:name w:val="heading 1"/>
    <w:aliases w:val="LN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LN2"/>
    <w:basedOn w:val="Heading1"/>
    <w:next w:val="Text"/>
    <w:link w:val="Heading2Char"/>
    <w:autoRedefine/>
    <w:qFormat/>
    <w:rsid w:val="008132FB"/>
    <w:pPr>
      <w:keepLines/>
      <w:spacing w:before="360" w:after="120"/>
      <w:jc w:val="both"/>
      <w:outlineLvl w:val="1"/>
    </w:pPr>
    <w:rPr>
      <w:rFonts w:ascii="Times New Roman Bold" w:hAnsi="Times New Roman Bold" w:cs="Times New Roman"/>
      <w:bCs w:val="0"/>
      <w:snapToGrid w:val="0"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color w:val="000000"/>
      <w:szCs w:val="1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jc w:val="center"/>
      <w:outlineLvl w:val="6"/>
    </w:pPr>
    <w:rPr>
      <w:rFonts w:ascii="Tahoma" w:hAnsi="Tahoma" w:cs="Tahoma"/>
      <w:color w:val="000000"/>
      <w:sz w:val="28"/>
      <w:szCs w:val="4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Tahoma" w:hAnsi="Tahoma" w:cs="Tahoma"/>
      <w:color w:val="000000"/>
      <w:sz w:val="32"/>
      <w:szCs w:val="48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Tahoma" w:hAnsi="Tahoma" w:cs="Tahoma"/>
      <w:b/>
      <w:bCs/>
      <w:color w:val="000000"/>
      <w:sz w:val="2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spacing w:before="120" w:after="120"/>
    </w:pPr>
    <w:rPr>
      <w:rFonts w:ascii="Tahoma" w:hAnsi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ListBulletedNospace">
    <w:name w:val="List: Bulleted Nospace"/>
    <w:basedOn w:val="Normal"/>
    <w:pPr>
      <w:numPr>
        <w:numId w:val="1"/>
      </w:numPr>
      <w:ind w:right="720"/>
    </w:pPr>
    <w:rPr>
      <w:rFonts w:ascii="Tahoma" w:hAnsi="Tahoma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Bulleted">
    <w:name w:val="List: Bulleted"/>
    <w:basedOn w:val="Text"/>
    <w:pPr>
      <w:numPr>
        <w:numId w:val="2"/>
      </w:numPr>
      <w:spacing w:before="40" w:after="40"/>
      <w:ind w:right="72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sz w:val="22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Arial" w:hAnsi="Arial" w:cs="Arial"/>
      <w:color w:val="000000"/>
      <w:sz w:val="28"/>
      <w:szCs w:val="36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rFonts w:ascii="Lucida Sans" w:hAnsi="Lucida Sans"/>
      <w:b/>
      <w:bCs/>
      <w:color w:val="333399"/>
      <w:sz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bodytext1">
    <w:name w:val="bodytext1"/>
    <w:basedOn w:val="DefaultParagraphFont"/>
    <w:rsid w:val="0040290C"/>
    <w:rPr>
      <w:rFonts w:ascii="Arial" w:hAnsi="Arial" w:cs="Arial" w:hint="default"/>
      <w:color w:val="333333"/>
      <w:sz w:val="20"/>
      <w:szCs w:val="20"/>
    </w:rPr>
  </w:style>
  <w:style w:type="character" w:customStyle="1" w:styleId="Heading1Char">
    <w:name w:val="Heading 1 Char"/>
    <w:aliases w:val="LN Char"/>
    <w:basedOn w:val="DefaultParagraphFont"/>
    <w:link w:val="Heading1"/>
    <w:rsid w:val="00F7710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LN2 Char"/>
    <w:basedOn w:val="Heading1Char"/>
    <w:link w:val="Heading2"/>
    <w:rsid w:val="008132FB"/>
    <w:rPr>
      <w:rFonts w:ascii="Times New Roman Bold" w:hAnsi="Times New Roman Bold" w:cs="Arial"/>
      <w:b/>
      <w:bCs w:val="0"/>
      <w:snapToGrid w:val="0"/>
      <w:color w:val="000000"/>
      <w:kern w:val="32"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B1494A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DC713F"/>
  </w:style>
  <w:style w:type="character" w:styleId="Strong">
    <w:name w:val="Strong"/>
    <w:basedOn w:val="DefaultParagraphFont"/>
    <w:qFormat/>
    <w:rsid w:val="007608BE"/>
    <w:rPr>
      <w:b/>
      <w:bCs/>
    </w:rPr>
  </w:style>
  <w:style w:type="character" w:customStyle="1" w:styleId="bodycopy1">
    <w:name w:val="bodycopy1"/>
    <w:basedOn w:val="DefaultParagraphFont"/>
    <w:rsid w:val="003A2BDB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paragraph" w:styleId="BodyTextIndent">
    <w:name w:val="Body Text Indent"/>
    <w:basedOn w:val="Normal"/>
    <w:rsid w:val="003B0289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2D16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6400"/>
  </w:style>
  <w:style w:type="paragraph" w:customStyle="1" w:styleId="paragraphstyle2">
    <w:name w:val="paragraph_style_2"/>
    <w:basedOn w:val="Normal"/>
    <w:rsid w:val="00451A57"/>
    <w:pPr>
      <w:spacing w:line="285" w:lineRule="atLeast"/>
    </w:pPr>
    <w:rPr>
      <w:rFonts w:ascii="Georgia" w:hAnsi="Georgia"/>
      <w:color w:val="717171"/>
      <w:sz w:val="21"/>
      <w:szCs w:val="21"/>
    </w:rPr>
  </w:style>
  <w:style w:type="paragraph" w:customStyle="1" w:styleId="style2">
    <w:name w:val="style2"/>
    <w:basedOn w:val="Normal"/>
    <w:rsid w:val="00451A57"/>
    <w:pPr>
      <w:spacing w:before="100" w:beforeAutospacing="1" w:after="100" w:afterAutospacing="1"/>
    </w:pPr>
    <w:rPr>
      <w:rFonts w:ascii="Cambria" w:hAnsi="Cambria"/>
    </w:rPr>
  </w:style>
  <w:style w:type="character" w:customStyle="1" w:styleId="style11">
    <w:name w:val="style_11"/>
    <w:basedOn w:val="DefaultParagraphFont"/>
    <w:rsid w:val="00451A57"/>
    <w:rPr>
      <w:rFonts w:ascii="Arial" w:hAnsi="Arial" w:cs="Arial" w:hint="default"/>
      <w:b/>
      <w:bCs/>
      <w:i w:val="0"/>
      <w:iCs w:val="0"/>
      <w:color w:val="941200"/>
      <w:sz w:val="21"/>
      <w:szCs w:val="21"/>
    </w:rPr>
  </w:style>
  <w:style w:type="paragraph" w:customStyle="1" w:styleId="Default">
    <w:name w:val="Default"/>
    <w:rsid w:val="00451A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9A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749A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9A9"/>
    <w:rPr>
      <w:b/>
      <w:bCs/>
    </w:rPr>
  </w:style>
  <w:style w:type="table" w:styleId="TableGrid">
    <w:name w:val="Table Grid"/>
    <w:basedOn w:val="TableNormal"/>
    <w:uiPriority w:val="39"/>
    <w:rsid w:val="00914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package" Target="embeddings/Microsoft_Excel_Binary_Worksheet1.xlsb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1392</Words>
  <Characters>7935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SPAWAR Systems Center</vt:lpstr>
    </vt:vector>
  </TitlesOfParts>
  <Company>SPAWARSYSCEN Charleston</Company>
  <LinksUpToDate>false</LinksUpToDate>
  <CharactersWithSpaces>9309</CharactersWithSpaces>
  <SharedDoc>false</SharedDoc>
  <HLinks>
    <vt:vector size="270" baseType="variant">
      <vt:variant>
        <vt:i4>8060951</vt:i4>
      </vt:variant>
      <vt:variant>
        <vt:i4>273</vt:i4>
      </vt:variant>
      <vt:variant>
        <vt:i4>0</vt:i4>
      </vt:variant>
      <vt:variant>
        <vt:i4>5</vt:i4>
      </vt:variant>
      <vt:variant>
        <vt:lpwstr>http://www.utdallas.edu/~maa013600/publications/DM_Encyclopedia_BN_04.PDF</vt:lpwstr>
      </vt:variant>
      <vt:variant>
        <vt:lpwstr/>
      </vt:variant>
      <vt:variant>
        <vt:i4>1638451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_Toc100638100</vt:lpwstr>
      </vt:variant>
      <vt:variant>
        <vt:i4>1048626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_Toc100638099</vt:lpwstr>
      </vt:variant>
      <vt:variant>
        <vt:i4>1048626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_Toc100638098</vt:lpwstr>
      </vt:variant>
      <vt:variant>
        <vt:i4>1048626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_Toc100638097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_Toc100638096</vt:lpwstr>
      </vt:variant>
      <vt:variant>
        <vt:i4>1048626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_Toc100638095</vt:lpwstr>
      </vt:variant>
      <vt:variant>
        <vt:i4>1048626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_Toc100638094</vt:lpwstr>
      </vt:variant>
      <vt:variant>
        <vt:i4>1048626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_Toc100638093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_Toc100638092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_Toc100638091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_Toc100638090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_Toc100638089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_Toc100638088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_Toc100638087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_Toc100638086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_Toc100638085</vt:lpwstr>
      </vt:variant>
      <vt:variant>
        <vt:i4>1114162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_Toc100638084</vt:lpwstr>
      </vt:variant>
      <vt:variant>
        <vt:i4>1114162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_Toc100638083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_Toc100638082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_Toc100638081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_Toc100638080</vt:lpwstr>
      </vt:variant>
      <vt:variant>
        <vt:i4>1966130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_Toc100638079</vt:lpwstr>
      </vt:variant>
      <vt:variant>
        <vt:i4>1966130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_Toc100638078</vt:lpwstr>
      </vt:variant>
      <vt:variant>
        <vt:i4>1966130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_Toc100638077</vt:lpwstr>
      </vt:variant>
      <vt:variant>
        <vt:i4>1966130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_Toc100638076</vt:lpwstr>
      </vt:variant>
      <vt:variant>
        <vt:i4>1966130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_Toc100638075</vt:lpwstr>
      </vt:variant>
      <vt:variant>
        <vt:i4>1966130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_Toc100638074</vt:lpwstr>
      </vt:variant>
      <vt:variant>
        <vt:i4>1966130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_Toc100638073</vt:lpwstr>
      </vt:variant>
      <vt:variant>
        <vt:i4>1966130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_Toc100638072</vt:lpwstr>
      </vt:variant>
      <vt:variant>
        <vt:i4>1966130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_Toc100638071</vt:lpwstr>
      </vt:variant>
      <vt:variant>
        <vt:i4>1966130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_Toc100638070</vt:lpwstr>
      </vt:variant>
      <vt:variant>
        <vt:i4>2031666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_Toc100638069</vt:lpwstr>
      </vt:variant>
      <vt:variant>
        <vt:i4>2031666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_Toc100638068</vt:lpwstr>
      </vt:variant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_Toc100638067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_Toc100638066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_Toc100638065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_Toc100638064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_Toc100638063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_Toc100638062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_Toc100638061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_Toc100638060</vt:lpwstr>
      </vt:variant>
      <vt:variant>
        <vt:i4>1835058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_Toc100638059</vt:lpwstr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_Toc100638058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_Toc100638057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SPAWAR Systems Center</dc:title>
  <dc:subject/>
  <dc:creator>Gregg Hanold</dc:creator>
  <cp:keywords/>
  <dc:description/>
  <cp:lastModifiedBy>Alan Johnson</cp:lastModifiedBy>
  <cp:revision>7</cp:revision>
  <cp:lastPrinted>2005-03-29T15:40:00Z</cp:lastPrinted>
  <dcterms:created xsi:type="dcterms:W3CDTF">2014-05-12T18:29:00Z</dcterms:created>
  <dcterms:modified xsi:type="dcterms:W3CDTF">2014-05-12T22:02:00Z</dcterms:modified>
</cp:coreProperties>
</file>