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 Trust Protocol (AITP) Specification</w:t>
      </w:r>
    </w:p>
    <w:p>
      <w:pPr/>
      <w:r>
        <w:t>Note: This specification is the canonical AITP document. The NIST AI RMF submission includes additional content mapping AITP to NIST AI 100-1 and AI 600-1 framework functions. Where discrepancies exist between documents, this specification takes precedence.</w:t>
      </w:r>
    </w:p>
    <w:p>
      <w:r>
        <w:rPr>
          <w:b/>
        </w:rPr>
        <w:t>Version: 0.3 (Draft)</w:t>
      </w:r>
      <w:r/>
    </w:p>
    <w:p>
      <w:r>
        <w:rPr>
          <w:b/>
        </w:rPr>
        <w:t>Date:</w:t>
      </w:r>
      <w:r>
        <w:t xml:space="preserve"> March 2026</w:t>
      </w:r>
    </w:p>
    <w:p>
      <w:r>
        <w:rPr>
          <w:b/>
        </w:rPr>
        <w:t>Authors:</w:t>
      </w:r>
      <w:r>
        <w:t xml:space="preserve"> Michael Harrison, Ard Haskell -- OSInfo Inc.</w:t>
      </w:r>
    </w:p>
    <w:p>
      <w:r>
        <w:rPr>
          <w:b/>
        </w:rPr>
        <w:t>License:</w:t>
      </w:r>
      <w:r>
        <w:t xml:space="preserve"> CC BY-SA 4.0</w:t>
      </w:r>
    </w:p>
    <w:p>
      <w:r>
        <w:t>---</w:t>
      </w:r>
    </w:p>
    <w:p>
      <w:pPr>
        <w:pStyle w:val="Heading2"/>
      </w:pPr>
      <w:r>
        <w:t>Table of Contents</w:t>
      </w:r>
    </w:p>
    <w:p>
      <w:pPr>
        <w:pStyle w:val="ListNumber"/>
      </w:pPr>
      <w:r>
        <w:t>[Problem Statement](#1-problem-statement)</w:t>
      </w:r>
    </w:p>
    <w:p>
      <w:pPr>
        <w:pStyle w:val="ListNumber"/>
      </w:pPr>
      <w:r>
        <w:t>[Threat Model](#2-threat-model)</w:t>
      </w:r>
    </w:p>
    <w:p>
      <w:pPr>
        <w:pStyle w:val="ListNumber"/>
      </w:pPr>
      <w:r>
        <w:t>[Trust Primitives](#3-trust-primitives)</w:t>
      </w:r>
    </w:p>
    <w:p>
      <w:pPr>
        <w:pStyle w:val="ListNumber"/>
      </w:pPr>
      <w:r>
        <w:t>[Operational Tiers](#4-operational-tiers)</w:t>
      </w:r>
    </w:p>
    <w:p>
      <w:pPr>
        <w:pStyle w:val="ListNumber"/>
      </w:pPr>
      <w:r>
        <w:t>[Co-Signature Protocol (Two-Person Integrity)](#5-co-signature-protocol-two-person-integrity)</w:t>
      </w:r>
    </w:p>
    <w:p>
      <w:pPr>
        <w:pStyle w:val="ListNumber"/>
      </w:pPr>
      <w:r>
        <w:t>[Distributed Deterministic Attestation (DDA)](#6-distributed-deterministic-attestation-dda)</w:t>
      </w:r>
    </w:p>
    <w:p>
      <w:pPr>
        <w:pStyle w:val="ListNumber"/>
      </w:pPr>
      <w:r>
        <w:t>[Resilience Requirements](#7-resilience-requirements)</w:t>
      </w:r>
    </w:p>
    <w:p>
      <w:pPr>
        <w:pStyle w:val="ListNumber"/>
      </w:pPr>
      <w:r>
        <w:t>[What AITP Does Not Solve](#8-what-aitp-does-not-solve)</w:t>
      </w:r>
    </w:p>
    <w:p>
      <w:pPr>
        <w:pStyle w:val="ListNumber"/>
      </w:pPr>
      <w:r>
        <w:t>[AITP Top 10 Agent Trust Risks](#9-aitp-top-10-agent-trust-risks)</w:t>
      </w:r>
    </w:p>
    <w:p>
      <w:pPr>
        <w:pStyle w:val="ListNumber"/>
      </w:pPr>
      <w:r>
        <w:t>[Agent Definition](#10-agent-definition)</w:t>
      </w:r>
    </w:p>
    <w:p>
      <w:r>
        <w:t>---</w:t>
      </w:r>
    </w:p>
    <w:p>
      <w:pPr>
        <w:pStyle w:val="Heading2"/>
      </w:pPr>
      <w:r>
        <w:t>1. Problem Statement</w:t>
      </w:r>
    </w:p>
    <w:p>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w:t>
      </w:r>
    </w:p>
    <w:p>
      <w:r>
        <w:t>Current AI systems operate without cryptographic identity, audit trails, or scoped permissions. An agent is a process with a name and a set of API keys. There is no binding between what the agent claims to be, what it is authorized to do, and what it actually did. Every deployment is a "trust-me" architecture.</w:t>
      </w:r>
    </w:p>
    <w:p>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pPr>
        <w:pStyle w:val="Heading2"/>
      </w:pPr>
      <w:r>
        <w:t>Related Work</w:t>
      </w:r>
    </w:p>
    <w:p>
      <w:pPr/>
      <w: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t>AITP is designed to complement, not replace, existing protocols. An organization may use A2A for agent discovery, MCP for tool integration, and AITP for trust enforcement across the resulting agent ecosystem.</w:t>
      </w:r>
    </w:p>
    <w:p>
      <w:r>
        <w:t>As AI-generated content enters every consequential domain -- legal filings, medical records, financial analysis, military intelligence, academic research -- the foundational question shifts from "is this iteration of AI good enough" to "how do we know what's true?" There is no single source of truth. There never was. We just hadn't built systems fast enough to expose that. Now we have, so what do we do about it?</w:t>
      </w:r>
    </w:p>
    <w:p>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r>
        <w:t>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authorization in banking. None of these systems guarantees correctness, but all of them make it possible to determine what happened and hold actors accountable.</w:t>
      </w:r>
    </w:p>
    <w:p>
      <w:r>
        <w:t>The framing is: due process for AI.</w:t>
      </w:r>
    </w:p>
    <w:p>
      <w:r>
        <w:t>---</w:t>
      </w:r>
    </w:p>
    <w:p>
      <w:pPr>
        <w:pStyle w:val="Heading2"/>
      </w:pPr>
      <w:r>
        <w:t>2. Threat Model</w:t>
      </w:r>
    </w:p>
    <w:p>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r>
        <w:t>The following threat vectors are addressed by this specification.</w:t>
      </w:r>
    </w:p>
    <w:p>
      <w:pPr>
        <w:pStyle w:val="Heading3"/>
      </w:pPr>
      <w:r>
        <w:t>2.1 Prompt Injection via External Data Sources</w:t>
      </w:r>
    </w:p>
    <w:p>
      <w:r>
        <w:t>An agent retrieves content from an external source (web page, document, API response) that contains embedded instructions. The agent, unable to distinguish data from instruction, executes the injected commands within its authorized scope. The content is the attack vector. The agent's compliance is the vulnerability.</w:t>
      </w:r>
    </w:p>
    <w:p>
      <w: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pPr>
        <w:pStyle w:val="Heading3"/>
      </w:pPr>
      <w:r>
        <w:t>2.2 Compromised Agent Operating Within Valid Permissions</w:t>
      </w:r>
    </w:p>
    <w:p>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pPr>
        <w:pStyle w:val="Heading3"/>
      </w:pPr>
      <w:r>
        <w:t>2.3 Supply Chain Compromise via Plugins and Tool Registries</w:t>
      </w:r>
    </w:p>
    <w:p>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w:t>
      </w:r>
    </w:p>
    <w:p>
      <w:r>
        <w:t>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pPr>
        <w:pStyle w:val="Heading3"/>
      </w:pPr>
      <w:r>
        <w:t>2.4 Credential and Data Exfiltration via Output Channels</w:t>
      </w:r>
    </w:p>
    <w:p>
      <w:r>
        <w:t>An agent's output (generated text, API calls, file writes) becomes an exfiltration channel. Secrets, internal data, or credentials are embedded in otherwise legitimate output. The exfiltration may be intentional through a compromised agent or a model reproducing training data containing secrets.</w:t>
      </w:r>
    </w:p>
    <w:p>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pPr>
        <w:pStyle w:val="Heading3"/>
      </w:pPr>
      <w:r>
        <w:t>2.5 Cascading Compromise Across Agent Chains</w:t>
      </w:r>
    </w:p>
    <w:p>
      <w:r>
        <w:t>Agent A's output becomes Agent B's input. A compromise in Agent A propagates through the chain, with each subsequent agent treating poisoned input as trusted data. Without independent verification at each link, a single point of compromise becomes a chain-wide failure. The blast radius is unbounded.</w:t>
      </w:r>
    </w:p>
    <w:p>
      <w:r>
        <w:t>In multi-agent architectures, one agent's output becomes another agent's input. A compromised Tier 1 agent can inject malicious content into the context of every downstream agent. There are no trust boundaries between agents in current frameworks. Agent-to-agent communication is treated as trusted by default.</w:t>
      </w:r>
    </w:p>
    <w:p>
      <w:r>
        <w:t>The result is that compromise propagates. A single poisoned agent in a pipeline of ten agents corrupts the entire pipeline. There is no mechanism to verify the provenance of inter-agent messages, no attestation that upstream agents were operating correctly when they produced their output, and no circuit breaker to halt propagation when anomalous behavior is detected.</w:t>
      </w:r>
    </w:p>
    <w:p>
      <w:r>
        <w:t>---</w:t>
      </w:r>
    </w:p>
    <w:p>
      <w:pPr>
        <w:pStyle w:val="Heading2"/>
      </w:pPr>
      <w:r>
        <w:t>3. Trust Primitives</w:t>
      </w:r>
    </w:p>
    <w:p>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pPr>
        <w:pStyle w:val="Heading3"/>
      </w:pPr>
      <w:r>
        <w:t>3.1 Agent Identity</w:t>
      </w:r>
    </w:p>
    <w:p>
      <w:r>
        <w:t>Every agent instance is bound to an Ed25519 key pair generated at instantiation. Identity is cryptographic, not nominal. An agent is not identified by its name, label, or claimed role. It is identified by its public key. Two agents with the same name but different keys are different agents. Two agents with the same key are the same agent regardless of what they claim.</w:t>
      </w:r>
    </w:p>
    <w:p>
      <w:r>
        <w:t>Identity is bound to a specific agent instance. Two instances of the same model running the same prompt are two different agents with two different identities. Identity does not transfer between instances, between versions, or between deployments.</w:t>
      </w:r>
    </w:p>
    <w:p>
      <w:r>
        <w:rPr>
          <w:b/>
        </w:rPr>
        <w:t>Key Lifecycle:</w:t>
      </w:r>
    </w:p>
    <w:p>
      <w:pPr>
        <w:pStyle w:val="ListBullet"/>
      </w:pPr>
      <w:r>
        <w:t>Generation. Keys are generated at agent instantiation using a cryptographically secure random number generator. The private key never leaves the agent's execution environment.</w:t>
      </w:r>
    </w:p>
    <w:p>
      <w:pPr>
        <w:pStyle w:val="ListBullet"/>
      </w:pPr>
      <w:r>
        <w:t>Storage. Private keys are stored in the agent's local keystore. On hardware that supports it, keys are stored in a secure enclave or TPM. The keystore is not accessible to the agent's application logic; signing operations are performed by the keystore on the agent's behalf.</w:t>
      </w:r>
    </w:p>
    <w:p>
      <w:pPr>
        <w:pStyle w:val="ListBullet"/>
      </w:pPr>
      <w:r>
        <w:t>Rotation. Keys are rotated on a configurable schedule and on any suspected compromise. Rotation produces a new key pair and a signed rotation record linking the old public key to the new public key. The rotation record is appended to the attestation log.</w:t>
      </w:r>
    </w:p>
    <w:p>
      <w:pPr>
        <w:pStyle w:val="ListBullet"/>
      </w:pPr>
      <w:r>
        <w:t>Binding. The public key is registered with the Signing Authority (Section 3.5) and bound to a scope manifest (Section 3.2) at registration time.</w:t>
      </w:r>
    </w:p>
    <w:p>
      <w:pPr>
        <w:pStyle w:val="Heading3"/>
      </w:pPr>
      <w:r>
        <w:t>3.2 Scope Binding</w:t>
      </w:r>
    </w:p>
    <w:p>
      <w:r>
        <w:t>Each cryptographic identity is bound to a permission manifest that defines the complete set of authorized actions: read, process, publish, execute, delete, and any domain-specific operations. Permissions are explicit and enumerated. No ambient authority exists. An agent without a manifest entry for an action is prohibited from performing that action. The binding between identity and scope is itself signed and immutable.</w:t>
      </w:r>
    </w:p>
    <w:p>
      <w:r>
        <w:rPr>
          <w:b/>
        </w:rPr>
        <w:t>Permission Types: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Permission</w:t>
            </w:r>
          </w:p>
        </w:tc>
        <w:tc>
          <w:tcPr>
            <w:tcW w:type="dxa" w:w="4320"/>
          </w:tcPr>
          <w:p>
            <w:pPr/>
            <w:r>
              <w:rPr>
                <w:b/>
                <w:sz w:val="20"/>
              </w:rPr>
              <w:t>Description</w:t>
            </w:r>
          </w:p>
        </w:tc>
      </w:tr>
      <w:tr>
        <w:tc>
          <w:tcPr>
            <w:tcW w:type="dxa" w:w="4320"/>
          </w:tcPr>
          <w:p>
            <w:pPr/>
            <w:r>
              <w:rPr>
                <w:sz w:val="20"/>
              </w:rPr>
              <w:t>read</w:t>
            </w:r>
          </w:p>
        </w:tc>
        <w:tc>
          <w:tcPr>
            <w:tcW w:type="dxa" w:w="4320"/>
          </w:tcPr>
          <w:p>
            <w:pPr/>
            <w:r>
              <w:rPr>
                <w:sz w:val="20"/>
              </w:rPr>
              <w:t>Retrieve data from a specified resource</w:t>
            </w:r>
          </w:p>
        </w:tc>
      </w:tr>
      <w:tr>
        <w:tc>
          <w:tcPr>
            <w:tcW w:type="dxa" w:w="4320"/>
          </w:tcPr>
          <w:p>
            <w:pPr/>
            <w:r>
              <w:rPr>
                <w:sz w:val="20"/>
              </w:rPr>
              <w:t>process</w:t>
            </w:r>
          </w:p>
        </w:tc>
        <w:tc>
          <w:tcPr>
            <w:tcW w:type="dxa" w:w="4320"/>
          </w:tcPr>
          <w:p>
            <w:pPr/>
            <w:r>
              <w:rPr>
                <w:sz w:val="20"/>
              </w:rPr>
              <w:t>Produce output that requires approval before taking effect</w:t>
            </w:r>
          </w:p>
        </w:tc>
      </w:tr>
      <w:tr>
        <w:tc>
          <w:tcPr>
            <w:tcW w:type="dxa" w:w="4320"/>
          </w:tcPr>
          <w:p>
            <w:pPr/>
            <w:r>
              <w:rPr>
                <w:sz w:val="20"/>
              </w:rPr>
              <w:t>write</w:t>
            </w:r>
          </w:p>
        </w:tc>
        <w:tc>
          <w:tcPr>
            <w:tcW w:type="dxa" w:w="4320"/>
          </w:tcPr>
          <w:p>
            <w:pPr/>
            <w:r>
              <w:rPr>
                <w:sz w:val="20"/>
              </w:rPr>
              <w:t>Produce output that takes effect immediately</w:t>
            </w:r>
          </w:p>
        </w:tc>
      </w:tr>
      <w:tr>
        <w:tc>
          <w:tcPr>
            <w:tcW w:type="dxa" w:w="4320"/>
          </w:tcPr>
          <w:p>
            <w:pPr/>
            <w:r>
              <w:rPr>
                <w:sz w:val="20"/>
              </w:rPr>
              <w:t>execute</w:t>
            </w:r>
          </w:p>
        </w:tc>
        <w:tc>
          <w:tcPr>
            <w:tcW w:type="dxa" w:w="4320"/>
          </w:tcPr>
          <w:p>
            <w:pPr/>
            <w:r>
              <w:rPr>
                <w:sz w:val="20"/>
              </w:rPr>
              <w:t>Invoke a tool or subprocess</w:t>
            </w:r>
          </w:p>
        </w:tc>
      </w:tr>
      <w:tr>
        <w:tc>
          <w:tcPr>
            <w:tcW w:type="dxa" w:w="4320"/>
          </w:tcPr>
          <w:p>
            <w:pPr/>
            <w:r>
              <w:rPr>
                <w:sz w:val="20"/>
              </w:rPr>
              <w:t>delete</w:t>
            </w:r>
          </w:p>
        </w:tc>
        <w:tc>
          <w:tcPr>
            <w:tcW w:type="dxa" w:w="4320"/>
          </w:tcPr>
          <w:p>
            <w:pPr/>
            <w:r>
              <w:rPr>
                <w:sz w:val="20"/>
              </w:rPr>
              <w:t>Remove or destroy a resource</w:t>
            </w:r>
          </w:p>
        </w:tc>
      </w:tr>
    </w:tbl>
    <w:p>
      <w:r>
        <w:t>Permissions are scoped to specific resources. "read:database/customers" is a different permission from "read:database/financials". "execute:tool/search" is a different permission from "execute:tool/deploy". There is no wildcard. There is no implicit inheritance.</w:t>
      </w:r>
    </w:p>
    <w:p>
      <w:r>
        <w:t>The manifest is signed by the Signing Authority at registration time. The agent cannot modify its own manifest. Manifest changes require a new registration with the Signing Authority, producing a new signed manifest and a manifest-change record in the attestation log.</w:t>
      </w:r>
    </w:p>
    <w:p>
      <w:r>
        <w:t>No ambient authority. An agent has exactly the permissions its manifest specifies. If the manifest says "read:database/customers" and "draft:document/report", the agent can read the customers table and process reports. It cannot read the financials table, publish reports, execute tools, or delete anything. Least privilege is enforced at the key level, not the application level.</w:t>
      </w:r>
    </w:p>
    <w:p>
      <w:pPr>
        <w:pStyle w:val="Heading3"/>
      </w:pPr>
      <w:r>
        <w:t>3.3 Attestation</w:t>
      </w:r>
    </w:p>
    <w:p>
      <w:r>
        <w:t>Every agent action produces a signed attestation record. The record is the atomic unit of the AITP audit trail.</w:t>
      </w:r>
    </w:p>
    <w:p>
      <w:r>
        <w:rPr>
          <w:b/>
        </w:rPr>
        <w:t>Attestation Record Structure:</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Field</w:t>
            </w:r>
          </w:p>
        </w:tc>
        <w:tc>
          <w:tcPr>
            <w:tcW w:type="dxa" w:w="4320"/>
          </w:tcPr>
          <w:p>
            <w:pPr/>
            <w:r>
              <w:rPr>
                <w:b/>
                <w:sz w:val="20"/>
              </w:rPr>
              <w:t>Description</w:t>
            </w:r>
          </w:p>
        </w:tc>
      </w:tr>
      <w:tr>
        <w:tc>
          <w:tcPr>
            <w:tcW w:type="dxa" w:w="4320"/>
          </w:tcPr>
          <w:p>
            <w:pPr/>
            <w:r>
              <w:rPr>
                <w:sz w:val="20"/>
              </w:rPr>
              <w:t>"agent_id"</w:t>
            </w:r>
          </w:p>
        </w:tc>
        <w:tc>
          <w:tcPr>
            <w:tcW w:type="dxa" w:w="4320"/>
          </w:tcPr>
          <w:p>
            <w:pPr/>
            <w:r>
              <w:rPr>
                <w:sz w:val="20"/>
              </w:rPr>
              <w:t>Public key of the acting agent</w:t>
            </w:r>
          </w:p>
        </w:tc>
      </w:tr>
      <w:tr>
        <w:tc>
          <w:tcPr>
            <w:tcW w:type="dxa" w:w="4320"/>
          </w:tcPr>
          <w:p>
            <w:pPr/>
            <w:r>
              <w:rPr>
                <w:sz w:val="20"/>
              </w:rPr>
              <w:t>"action"</w:t>
            </w:r>
          </w:p>
        </w:tc>
        <w:tc>
          <w:tcPr>
            <w:tcW w:type="dxa" w:w="4320"/>
          </w:tcPr>
          <w:p>
            <w:pPr/>
            <w:r>
              <w:rPr>
                <w:sz w:val="20"/>
              </w:rPr>
              <w:t>Action type and target resource</w:t>
            </w:r>
          </w:p>
        </w:tc>
      </w:tr>
      <w:tr>
        <w:tc>
          <w:tcPr>
            <w:tcW w:type="dxa" w:w="4320"/>
          </w:tcPr>
          <w:p>
            <w:pPr/>
            <w:r>
              <w:rPr>
                <w:sz w:val="20"/>
              </w:rPr>
              <w:t>"input_hash"</w:t>
            </w:r>
          </w:p>
        </w:tc>
        <w:tc>
          <w:tcPr>
            <w:tcW w:type="dxa" w:w="4320"/>
          </w:tcPr>
          <w:p>
            <w:pPr/>
            <w:r>
              <w:rPr>
                <w:sz w:val="20"/>
              </w:rPr>
              <w:t>SHA-512 hash of the action's input</w:t>
            </w:r>
          </w:p>
        </w:tc>
      </w:tr>
      <w:tr>
        <w:tc>
          <w:tcPr>
            <w:tcW w:type="dxa" w:w="4320"/>
          </w:tcPr>
          <w:p>
            <w:pPr/>
            <w:r>
              <w:rPr>
                <w:sz w:val="20"/>
              </w:rPr>
              <w:t>"output_hash"</w:t>
            </w:r>
          </w:p>
        </w:tc>
        <w:tc>
          <w:tcPr>
            <w:tcW w:type="dxa" w:w="4320"/>
          </w:tcPr>
          <w:p>
            <w:pPr/>
            <w:r>
              <w:rPr>
                <w:sz w:val="20"/>
              </w:rPr>
              <w:t>SHA-512 hash of the action's output</w:t>
            </w:r>
          </w:p>
        </w:tc>
      </w:tr>
      <w:tr>
        <w:tc>
          <w:tcPr>
            <w:tcW w:type="dxa" w:w="4320"/>
          </w:tcPr>
          <w:p>
            <w:pPr/>
            <w:r>
              <w:rPr>
                <w:sz w:val="20"/>
              </w:rPr>
              <w:t>"timestamp"</w:t>
            </w:r>
          </w:p>
        </w:tc>
        <w:tc>
          <w:tcPr>
            <w:tcW w:type="dxa" w:w="4320"/>
          </w:tcPr>
          <w:p>
            <w:pPr/>
            <w:r>
              <w:rPr>
                <w:sz w:val="20"/>
              </w:rPr>
              <w:t>RFC 3339 timestamp, sourced from a trusted time authority</w:t>
            </w:r>
          </w:p>
        </w:tc>
      </w:tr>
      <w:tr>
        <w:tc>
          <w:tcPr>
            <w:tcW w:type="dxa" w:w="4320"/>
          </w:tcPr>
          <w:p>
            <w:pPr/>
            <w:r>
              <w:rPr>
                <w:sz w:val="20"/>
              </w:rPr>
              <w:t>"scope_ref"</w:t>
            </w:r>
          </w:p>
        </w:tc>
        <w:tc>
          <w:tcPr>
            <w:tcW w:type="dxa" w:w="4320"/>
          </w:tcPr>
          <w:p>
            <w:pPr/>
            <w:r>
              <w:rPr>
                <w:sz w:val="20"/>
              </w:rPr>
              <w:t>Reference to the agent's scope manifest</w:t>
            </w:r>
          </w:p>
        </w:tc>
      </w:tr>
      <w:tr>
        <w:tc>
          <w:tcPr>
            <w:tcW w:type="dxa" w:w="4320"/>
          </w:tcPr>
          <w:p>
            <w:pPr/>
            <w:r>
              <w:rPr>
                <w:sz w:val="20"/>
              </w:rPr>
              <w:t>"prev_hash"</w:t>
            </w:r>
          </w:p>
        </w:tc>
        <w:tc>
          <w:tcPr>
            <w:tcW w:type="dxa" w:w="4320"/>
          </w:tcPr>
          <w:p>
            <w:pPr/>
            <w:r>
              <w:rPr>
                <w:sz w:val="20"/>
              </w:rPr>
              <w:t>SHA-256 hash of the previous attestation record (SHA-256 is used for chain linkage as a performance optimization; SHA-512 is used for all content hashes) (chain linkage)</w:t>
            </w:r>
          </w:p>
        </w:tc>
      </w:tr>
      <w:tr>
        <w:tc>
          <w:tcPr>
            <w:tcW w:type="dxa" w:w="4320"/>
          </w:tcPr>
          <w:p>
            <w:pPr/>
            <w:r>
              <w:rPr>
                <w:sz w:val="20"/>
              </w:rPr>
              <w:t>"signature"</w:t>
            </w:r>
          </w:p>
        </w:tc>
        <w:tc>
          <w:tcPr>
            <w:tcW w:type="dxa" w:w="4320"/>
          </w:tcPr>
          <w:p>
            <w:pPr/>
            <w:r>
              <w:rPr>
                <w:sz w:val="20"/>
              </w:rPr>
              <w:t>Ed25519 signature over all preceding fields</w:t>
            </w:r>
          </w:p>
        </w:tc>
      </w:tr>
    </w:tbl>
    <w:p>
      <w:r>
        <w:t>Attestation records are append-only. No record may be modified or deleted. Records are hash-chained: each record includes the hash of the previous record, forming a tamper-evident sequence. Any modification to a historical record breaks the chain from that point forward.</w:t>
      </w:r>
    </w:p>
    <w:p>
      <w:r>
        <w:t>The attestation chain provides a complete, cryptographically verifiable history of every action taken by every agent in the system. Full reconstruction of an agent's operational history is possible: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r>
        <w:t>Attestation records are designed to be presentable in adversarial contexts: court proceedings, regulatory audits, incident investigations, board inquiries. The record answers the questions that matter: who did this, what did they do, what were they authorized to do, and can we prove it?</w:t>
      </w:r>
    </w:p>
    <w:p>
      <w:pPr>
        <w:pStyle w:val="Heading3"/>
      </w:pPr>
      <w:r>
        <w:t>3.4 Co-signature Protocol</w:t>
      </w:r>
    </w:p>
    <w:p>
      <w:r>
        <w:t>Actions classified as consequential (publishing, committing, sending, deleting, or any action that modifies state beyond the agent's local scope) require a second cryptographic signature from an entity not in the operational chain that produced the output. Valid co-signer classes: a peer agent of different model or architecture, an orchestrator not involved in production, or a human operator via out-of-band confirmation. The co-signature requirement implements two-person integrity: no single point of compromise can trigger a consequential action.</w:t>
      </w:r>
    </w:p>
    <w:p>
      <w:r>
        <w:t>This is two-person integrity applied to autonomous systems. The model is dual authorization.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r>
        <w:rPr>
          <w:b/>
        </w:rPr>
        <w:t>Valid Co-signer Classes:</w:t>
      </w:r>
    </w:p>
    <w:p>
      <w:pPr>
        <w:pStyle w:val="ListNumber"/>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pPr>
        <w:pStyle w:val="ListNumber"/>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pPr>
        <w:pStyle w:val="ListNumber"/>
      </w:pPr>
      <w:r>
        <w:t>Human Operator. A human who confirms the action via an out-of-band channel. Out-of-band means a communication channel that is not accessible to the agent requesting confirmation. Examples: a Signal message containing a one-time nonce, a hardware token confirmation, a phone call. The human signs by returning the nonce through the out-of-band channel.</w:t>
      </w:r>
    </w:p>
    <w:p>
      <w:pPr/>
      <w: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pPr>
        <w:pStyle w:val="Heading3"/>
      </w:pPr>
      <w:r>
        <w:t>3.5 Signing Authority</w:t>
      </w:r>
    </w:p>
    <w:p>
      <w:r>
        <w:t>The Signing Authority is a stateless policy engine that receives signing requests and returns signed tokens or rejections based on deterministic rules. It has no memory between requests. It maintains no session state. It performs no reasoning. It evaluates policy conditions and returns binary outcomes.</w:t>
      </w:r>
    </w:p>
    <w:p>
      <w:r>
        <w:t>The Signing Authority contains no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r>
        <w:t>This design is deliberate: a component that does not process natural language cannot be compromised by prompt injection. The Signing Authority is the one node in the architecture that is immune to the primary attack vector against AI systems. There is no prompt. There is no natural language input. There is no context window to poison. The attack surface is limited to the policy rules themselves and the integrity of the registry data.</w:t>
      </w:r>
    </w:p>
    <w:p>
      <w:r>
        <w:rPr>
          <w:b/>
        </w:rPr>
        <w:t>Signing Authority Operations:</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Operation</w:t>
            </w:r>
          </w:p>
        </w:tc>
        <w:tc>
          <w:tcPr>
            <w:tcW w:type="dxa" w:w="2880"/>
          </w:tcPr>
          <w:p>
            <w:pPr/>
            <w:r>
              <w:rPr>
                <w:b/>
                <w:sz w:val="20"/>
              </w:rPr>
              <w:t>Input</w:t>
            </w:r>
          </w:p>
        </w:tc>
        <w:tc>
          <w:tcPr>
            <w:tcW w:type="dxa" w:w="2880"/>
          </w:tcPr>
          <w:p>
            <w:pPr/>
            <w:r>
              <w:rPr>
                <w:b/>
                <w:sz w:val="20"/>
              </w:rPr>
              <w:t>Output</w:t>
            </w:r>
          </w:p>
        </w:tc>
      </w:tr>
      <w:tr>
        <w:tc>
          <w:tcPr>
            <w:tcW w:type="dxa" w:w="2880"/>
          </w:tcPr>
          <w:p>
            <w:pPr/>
            <w:r>
              <w:rPr>
                <w:sz w:val="20"/>
              </w:rPr>
              <w:t>Register</w:t>
            </w:r>
          </w:p>
        </w:tc>
        <w:tc>
          <w:tcPr>
            <w:tcW w:type="dxa" w:w="2880"/>
          </w:tcPr>
          <w:p>
            <w:pPr/>
            <w:r>
              <w:rPr>
                <w:sz w:val="20"/>
              </w:rPr>
              <w:t>Agent public key + scope manifest</w:t>
            </w:r>
          </w:p>
        </w:tc>
        <w:tc>
          <w:tcPr>
            <w:tcW w:type="dxa" w:w="2880"/>
          </w:tcPr>
          <w:p>
            <w:pPr/>
            <w:r>
              <w:rPr>
                <w:sz w:val="20"/>
              </w:rPr>
              <w:t>Signed registration token</w:t>
            </w:r>
          </w:p>
        </w:tc>
      </w:tr>
      <w:tr>
        <w:tc>
          <w:tcPr>
            <w:tcW w:type="dxa" w:w="2880"/>
          </w:tcPr>
          <w:p>
            <w:pPr/>
            <w:r>
              <w:rPr>
                <w:sz w:val="20"/>
              </w:rPr>
              <w:t>Authorize</w:t>
            </w:r>
          </w:p>
        </w:tc>
        <w:tc>
          <w:tcPr>
            <w:tcW w:type="dxa" w:w="2880"/>
          </w:tcPr>
          <w:p>
            <w:pPr/>
            <w:r>
              <w:rPr>
                <w:sz w:val="20"/>
              </w:rPr>
              <w:t>Agent ID + proposed action + attestation chain</w:t>
            </w:r>
          </w:p>
        </w:tc>
        <w:tc>
          <w:tcPr>
            <w:tcW w:type="dxa" w:w="2880"/>
          </w:tcPr>
          <w:p>
            <w:pPr/>
            <w:r>
              <w:rPr>
                <w:sz w:val="20"/>
              </w:rPr>
              <w:t>Signed authorization token or rejection</w:t>
            </w:r>
          </w:p>
        </w:tc>
      </w:tr>
      <w:tr>
        <w:tc>
          <w:tcPr>
            <w:tcW w:type="dxa" w:w="2880"/>
          </w:tcPr>
          <w:p>
            <w:pPr/>
            <w:r>
              <w:rPr>
                <w:sz w:val="20"/>
              </w:rPr>
              <w:t>Co-sign</w:t>
            </w:r>
          </w:p>
        </w:tc>
        <w:tc>
          <w:tcPr>
            <w:tcW w:type="dxa" w:w="2880"/>
          </w:tcPr>
          <w:p>
            <w:pPr/>
            <w:r>
              <w:rPr>
                <w:sz w:val="20"/>
              </w:rPr>
              <w:t>Authorization token + co-signer signature</w:t>
            </w:r>
          </w:p>
        </w:tc>
        <w:tc>
          <w:tcPr>
            <w:tcW w:type="dxa" w:w="2880"/>
          </w:tcPr>
          <w:p>
            <w:pPr/>
            <w:r>
              <w:rPr>
                <w:sz w:val="20"/>
              </w:rPr>
              <w:t>Signed co-signature token or rejection</w:t>
            </w:r>
          </w:p>
        </w:tc>
      </w:tr>
      <w:tr>
        <w:tc>
          <w:tcPr>
            <w:tcW w:type="dxa" w:w="2880"/>
          </w:tcPr>
          <w:p>
            <w:pPr/>
            <w:r>
              <w:rPr>
                <w:sz w:val="20"/>
              </w:rPr>
              <w:t>Revoke</w:t>
            </w:r>
          </w:p>
        </w:tc>
        <w:tc>
          <w:tcPr>
            <w:tcW w:type="dxa" w:w="2880"/>
          </w:tcPr>
          <w:p>
            <w:pPr/>
            <w:r>
              <w:rPr>
                <w:sz w:val="20"/>
              </w:rPr>
              <w:t>Agent ID + revocation justification + authorized requester signature</w:t>
            </w:r>
          </w:p>
        </w:tc>
        <w:tc>
          <w:tcPr>
            <w:tcW w:type="dxa" w:w="2880"/>
          </w:tcPr>
          <w:p>
            <w:pPr/>
            <w:r>
              <w:rPr>
                <w:sz w:val="20"/>
              </w:rPr>
              <w:t>Signed revocation record</w:t>
            </w:r>
          </w:p>
        </w:tc>
      </w:tr>
      <w:tr>
        <w:tc>
          <w:tcPr>
            <w:tcW w:type="dxa" w:w="2880"/>
          </w:tcPr>
          <w:p>
            <w:pPr/>
            <w:r>
              <w:rPr>
                <w:sz w:val="20"/>
              </w:rPr>
              <w:t>Rotate</w:t>
            </w:r>
          </w:p>
        </w:tc>
        <w:tc>
          <w:tcPr>
            <w:tcW w:type="dxa" w:w="2880"/>
          </w:tcPr>
          <w:p>
            <w:pPr/>
            <w:r>
              <w:rPr>
                <w:sz w:val="20"/>
              </w:rPr>
              <w:t>Old agent ID + new public key + rotation proof</w:t>
            </w:r>
          </w:p>
        </w:tc>
        <w:tc>
          <w:tcPr>
            <w:tcW w:type="dxa" w:w="2880"/>
          </w:tcPr>
          <w:p>
            <w:pPr/>
            <w:r>
              <w:rPr>
                <w:sz w:val="20"/>
              </w:rPr>
              <w:t>Signed rotation token</w:t>
            </w:r>
          </w:p>
        </w:tc>
      </w:tr>
    </w:tbl>
    <w:p>
      <w:r>
        <w:t>The Signing Authority is the root of trust for the AITP system. Its own integrity is protected through standard cryptographic infrastructure: HSM-backed signing keys, quorum-based access controls, and offline root keys. Compromise of the Signing Authority is a catastrophic event equivalent to compromise of a certificate authority.</w:t>
      </w:r>
    </w:p>
    <w:p>
      <w:pPr/>
      <w: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pPr>
        <w:pStyle w:val="Heading3"/>
      </w:pPr>
      <w:r>
        <w:t>3.6 Revocation</w:t>
      </w:r>
    </w:p>
    <w:p>
      <w:r>
        <w:t>When an agent identity is compromised, the associated key pair is revoked immediately. All pending actions requiring that identity's signature are frozen. All future signing requests from that key are rejected. The blast radius of a compromised agent is bounded: one agent, one key, one scope. No other agent's identity, scope, or attestation chain is affected. Revocation is immediate and permanent. A revoked key cannot be reinstated. A new key pair must be generated, bound to a new scope manifest, and re-authorized.</w:t>
      </w:r>
    </w:p>
    <w:p>
      <w:r>
        <w:rPr>
          <w:b/>
        </w:rPr>
        <w:t>Revocation Sequence:</w:t>
      </w:r>
    </w:p>
    <w:p>
      <w:pPr>
        <w:pStyle w:val="ListNumber"/>
      </w:pPr>
      <w:r>
        <w:t>Key Revocation. The compromised agent's public key is added to the revocation list maintained by the Signing Authority. All subsequent signing requests from that identity are rejected. This is instantaneous: the Signing Authority's next evaluation of any request from that identity will fail.</w:t>
      </w:r>
    </w:p>
    <w:p>
      <w:pPr>
        <w:pStyle w:val="ListNumber"/>
      </w:pPr>
      <w:r>
        <w:t>Action Freeze. All pending actions from the compromised identity are frozen. Actions awaiting co-signature are not co-signed. Actions awaiting execution are not executed. The freeze is automatic upon revocation; it does not require a separate command.</w:t>
      </w:r>
    </w:p>
    <w:p>
      <w:pPr>
        <w:pStyle w:val="ListNumber"/>
      </w:pPr>
      <w:r>
        <w:t>Blast Radius Containment. Revocation scope is one agent, one key, one scope manifest. No ambient authority means the compromised agent cannot escalate to other agents' permissions. Other agents in the system continue to operate normally. The compromised agent's scope manifest is voided.</w:t>
      </w:r>
    </w:p>
    <w:p>
      <w:pPr>
        <w:pStyle w:val="ListNumber"/>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pPr>
        <w:pStyle w:val="ListNumber"/>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pPr>
        <w:pStyle w:val="ListNumber"/>
      </w:pPr>
      <w:r>
        <w:t>Re-keying. If the compromised agent is to be restored to service, it receives a new key pair through the standard registration process. The new identity has no cryptographic relationship to the compromised identity. It is a new agent.</w:t>
      </w:r>
    </w:p>
    <w:p>
      <w:r>
        <w:rPr>
          <w:b/>
        </w:rPr>
        <w:t>Revocation Triggers:</w:t>
      </w:r>
    </w:p>
    <w:p>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pPr>
        <w:pStyle w:val="ListBullet"/>
      </w:pPr>
      <w:r>
        <w:t>Failed attestation verification. An attestation record fails signature verification, hash chain validation, or scope consistency checks. This indicates either key compromise or data tampering.</w:t>
      </w:r>
    </w:p>
    <w:p>
      <w:pPr>
        <w:pStyle w:val="ListBullet"/>
      </w:pPr>
      <w:r>
        <w:t>Human override. A human operator initiates revocation through the Signing Authority. This is the manual circuit breaker.</w:t>
      </w:r>
    </w:p>
    <w:p>
      <w:pPr>
        <w:pStyle w:val="ListBullet"/>
      </w:pPr>
      <w:r>
        <w:t>Signing Authority policy violation. The agent submits a signing request that violates a deterministic policy rule: out-of-scope action, expired key, exceeded rate limit, missing co-signature for a required action class.</w:t>
      </w:r>
    </w:p>
    <w:p>
      <w:r>
        <w:rPr>
          <w:b/>
        </w:rPr>
        <w:t>Recovery Sequence:</w:t>
      </w:r>
    </w:p>
    <w:p>
      <w:pPr>
        <w:pStyle w:val="ListNumber"/>
      </w:pPr>
      <w:r>
        <w:t>New identity issuance. A new Ed25519 key pair is generated through the standard registration process. The new identity has no cryptographic relationship to the compromised identity. It is a new agent.</w:t>
      </w:r>
    </w:p>
    <w:p>
      <w:pPr>
        <w:pStyle w:val="ListNumber"/>
      </w:pPr>
      <w: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pPr>
        <w:pStyle w:val="ListNumber"/>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pPr>
        <w:pStyle w:val="ListNumber"/>
      </w:pPr>
      <w:r>
        <w:t>Incident record. A revocation incident record is appended to the immutable audit log. The record includes: the compromised identity, the revocation trigger, the estimated compromise window, the list of frozen actions, and the list of downstream agents flagged for review. This record is permanent and cannot be modified or deleted.</w:t>
      </w:r>
    </w:p>
    <w:p>
      <w:r>
        <w:rPr>
          <w:b/>
        </w:rPr>
        <w:t>Containment Properties:</w:t>
      </w:r>
    </w:p>
    <w:p>
      <w:pPr>
        <w:pStyle w:val="ListBullet"/>
      </w:pPr>
      <w:r>
        <w:t>Bounded in time. Compromise runs from the moment of actual compromise to the moment of revocation. The attestation chain makes the time boundary determinable.</w:t>
      </w:r>
    </w:p>
    <w:p>
      <w:pPr>
        <w:pStyle w:val="ListBullet"/>
      </w:pPr>
      <w:r>
        <w:t>Bounded in scope. Compromise affects one agent's permissions. No ambient authority, no implicit trust inheritance, no shared credentials between agents.</w:t>
      </w:r>
    </w:p>
    <w:p>
      <w:pPr>
        <w:pStyle w:val="ListBullet"/>
      </w:pPr>
      <w:r>
        <w:t>Bounded in impact. Downstream effects are traceable. Every agent that consumed output from the compromised agent is identifiable through the attestation chain. Every action influenced by the compromised output is flagged.</w:t>
      </w:r>
    </w:p>
    <w:p>
      <w:r>
        <w:t>Without revocation, a compromised agent is a permanent liability with unbounded blast radius. With revocation, compromise is a contained incident with a defined recovery path.</w:t>
      </w:r>
    </w:p>
    <w:p>
      <w:r>
        <w:t>---</w:t>
      </w:r>
    </w:p>
    <w:p>
      <w:pPr>
        <w:pStyle w:val="Heading2"/>
      </w:pPr>
      <w:r>
        <w:t>4. Operational Tiers</w:t>
      </w:r>
    </w:p>
    <w:p>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pPr>
        <w:pStyle w:val="Heading3"/>
      </w:pPr>
      <w:r>
        <w:t>4.1 Tier 1: Observe (Low Trust)</w:t>
      </w:r>
    </w:p>
    <w:p>
      <w:r>
        <w:t>Tier 1 agents operate in read-only mode. They ingest data from external sources, process it, and write output exclusively to a quarantine buffer. A Tier 1 agent MUST NOT post content, send messages, write files to production storage, modify databases, or execute any operation that alters state beyond its quarantine scope. The quarantine buffer is append-only from the agent's perspective and read-only to all other system components until promoted by a Tier 2 review.</w:t>
      </w:r>
    </w:p>
    <w:p>
      <w:r>
        <w:rPr>
          <w:b/>
        </w:rPr>
        <w:t>Constraints:</w:t>
      </w:r>
    </w:p>
    <w:p>
      <w:pPr>
        <w:pStyle w:val="ListBullet"/>
      </w:pPr>
      <w:r>
        <w:t>All operations are read-only. No output tools: no posting, no messaging, no file writes, no API mutations.</w:t>
      </w:r>
    </w:p>
    <w:p>
      <w:pPr>
        <w:pStyle w:val="ListBullet"/>
      </w:pPr>
      <w:r>
        <w:t>All output is written to a quarantine buffer. The quarantine buffer is a write-once store that Tier 1 agents can append to but cannot read from, modify, or delete.</w:t>
      </w:r>
    </w:p>
    <w:p>
      <w:pPr>
        <w:pStyle w:val="ListBullet"/>
      </w:pPr>
      <w:r>
        <w:t>Tier 1 agents cannot communicate with other agents directly. Their only output channel is the quarantine buffer.</w:t>
      </w:r>
    </w:p>
    <w:p>
      <w:pPr>
        <w:pStyle w:val="ListBullet"/>
      </w:pPr>
      <w:r>
        <w:t>Tier 1 agents cannot act on the world. They observe it.</w:t>
      </w:r>
    </w:p>
    <w:p>
      <w:r>
        <w:rPr>
          <w:b/>
        </w:rPr>
        <w:t>Blast radius if compromised:</w:t>
      </w:r>
      <w:r>
        <w:t xml:space="preserve"> Corrupted data in the quarantine buffer that no downstream system has acted on. No real-world effect is possible from Tier 1 alone. The quarantine buffer is designed to be inspected before anything in it is consumed. A compromised Tier 1 agent is a data integrity problem, not an operational security problem.</w:t>
      </w:r>
    </w:p>
    <w:p>
      <w:pPr/>
      <w: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pPr>
        <w:pStyle w:val="Heading3"/>
      </w:pPr>
      <w:r>
        <w:t>4.2 Tier 2: Process (Medium Trust)</w:t>
      </w:r>
    </w:p>
    <w:p>
      <w:r>
        <w:t>Tier 2 agents read from the quarantine buffer populated by Tier 1. 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r>
        <w:t>Tier 2 agents MAY process posts, compose messages, generate code changes, and prepare any output intended for external effect. However, a Tier 2 agent MUST NOT publish, send, commit, or execute any action that modifies state outside the review buffer. All Tier 2 output sits in a review buffer pending Tier 3 authorization.</w:t>
      </w:r>
    </w:p>
    <w:p>
      <w:r>
        <w:rPr>
          <w:b/>
        </w:rPr>
        <w:t>Constraints:</w:t>
      </w:r>
    </w:p>
    <w:p>
      <w:pPr>
        <w:pStyle w:val="ListBullet"/>
      </w:pPr>
      <w:r>
        <w:t>Input comes from the quarantine buffer only. Tier 2 agents never consume raw external content. Everything they process has been placed there by Tier 1 agents and is treated as untrusted-but-contained.</w:t>
      </w:r>
    </w:p>
    <w:p>
      <w:pPr>
        <w:pStyle w:val="ListBullet"/>
      </w:pPr>
      <w:r>
        <w:t>Tier 2 agents are architecturally distinct from Tier 1 agents. Different agent instances. Different models where possible. Different execution environments.</w:t>
      </w:r>
    </w:p>
    <w:p>
      <w:pPr>
        <w:pStyle w:val="ListBullet"/>
      </w:pPr>
      <w:r>
        <w:t>All output is written to a review buffer. None of it takes effect. Everything sits in the review buffer pending Tier 3 authorization.</w:t>
      </w:r>
    </w:p>
    <w:p>
      <w:pPr>
        <w:pStyle w:val="ListBullet"/>
      </w:pPr>
      <w:r>
        <w:t>Tier 2 agents cannot publish, send, commit, or execute against external systems.</w:t>
      </w:r>
    </w:p>
    <w:p>
      <w:r>
        <w:rPr>
          <w:b/>
        </w:rPr>
        <w:t>Blast radius if compromised:</w:t>
      </w:r>
      <w:r>
        <w:t xml:space="preserve"> Malicious content in the review buffer. The content has not been published, sent, or committed. It must pass co-signature validation (Section 5) before any Tier 3 agent acts on it.</w:t>
      </w:r>
    </w:p>
    <w:p>
      <w:pPr>
        <w:pStyle w:val="Heading3"/>
      </w:pPr>
      <w:r>
        <w:t>4.3 Tier 3: Act (High Trust)</w:t>
      </w:r>
    </w:p>
    <w:p>
      <w:r>
        <w:t>Tier 3 is the boundary where agent output touches the real world. Data is written to external systems. Actions take effect in the real world. Files are written to production. Every Tier 3 action requires co-signature as defined in Section 5.</w:t>
      </w:r>
    </w:p>
    <w:p>
      <w:r>
        <w:rPr>
          <w:b/>
        </w:rPr>
        <w:t>Constraints:</w:t>
      </w:r>
    </w:p>
    <w:p>
      <w:pPr>
        <w:pStyle w:val="ListBullet"/>
      </w:pPr>
      <w:r>
        <w:t>All Tier 3 operations require co-signature. No single agent can execute a Tier 3 action unilaterally.</w:t>
      </w:r>
    </w:p>
    <w:p>
      <w:pPr>
        <w:pStyle w:val="ListBullet"/>
      </w:pPr>
      <w:r>
        <w:t>Input comes from the review buffer only. Tier 3 agents do not process, compose, or generate. They execute pre-approved actions.</w:t>
      </w:r>
    </w:p>
    <w:p>
      <w:pPr>
        <w:pStyle w:val="ListBullet"/>
      </w:pPr>
      <w:r>
        <w:t>Every Tier 3 action produces an attestation record that includes both the acting agent's signature and the co-signer's signature.</w:t>
      </w:r>
    </w:p>
    <w:p>
      <w:r>
        <w:rPr>
          <w:b/>
        </w:rPr>
        <w:t>Co-signature Requirements for Tier 3 Actions:</w:t>
      </w:r>
    </w:p>
    <w:tbl>
      <w:tblPr>
        <w:tblStyle w:val="TableGrid"/>
        <w:tblW w:type="auto" w:w="0"/>
        <w:tblLook w:firstColumn="1" w:firstRow="1" w:lastColumn="0" w:lastRow="0" w:noHBand="0" w:noVBand="1" w:val="04A0"/>
      </w:tblPr>
      <w:tblGrid>
        <w:gridCol w:w="4320"/>
        <w:gridCol w:w="4320"/>
      </w:tblGrid>
      <w:tr>
        <w:tc>
          <w:tcPr>
            <w:tcW w:type="dxa" w:w="4320"/>
          </w:tcPr>
          <w:p>
            <w:pPr/>
            <w:r>
              <w:rPr>
                <w:b/>
                <w:sz w:val="20"/>
              </w:rPr>
              <w:t>Action Type</w:t>
            </w:r>
          </w:p>
        </w:tc>
        <w:tc>
          <w:tcPr>
            <w:tcW w:type="dxa" w:w="4320"/>
          </w:tcPr>
          <w:p>
            <w:pPr/>
            <w:r>
              <w:rPr>
                <w:b/>
                <w:sz w:val="20"/>
              </w:rPr>
              <w:t>Required Co-signature</w:t>
            </w:r>
          </w:p>
        </w:tc>
      </w:tr>
      <w:tr>
        <w:tc>
          <w:tcPr>
            <w:tcW w:type="dxa" w:w="4320"/>
          </w:tcPr>
          <w:p>
            <w:pPr/>
            <w:r>
              <w:rPr>
                <w:sz w:val="20"/>
              </w:rPr>
              <w:t>Standard external actions (write to external systems, transmit data, modify shared resources) (social media posts, routine communications, non-destructive file writes)</w:t>
            </w:r>
          </w:p>
        </w:tc>
        <w:tc>
          <w:tcPr>
            <w:tcW w:type="dxa" w:w="4320"/>
          </w:tcPr>
          <w:p>
            <w:pPr/>
            <w:r>
              <w:rPr>
                <w:sz w:val="20"/>
              </w:rPr>
              <w:t>Two Tier 2 agents agreeing, OR one Tier 2 agent plus orchestrator</w:t>
            </w:r>
          </w:p>
        </w:tc>
      </w:tr>
      <w:tr>
        <w:tc>
          <w:tcPr>
            <w:tcW w:type="dxa" w:w="4320"/>
          </w:tcPr>
          <w:p>
            <w:pPr/>
            <w:r>
              <w:rPr>
                <w:sz w:val="20"/>
              </w:rPr>
              <w:t>Destructive operations (database modifications, infrastructure changes, financial transactions)</w:t>
            </w:r>
          </w:p>
        </w:tc>
        <w:tc>
          <w:tcPr>
            <w:tcW w:type="dxa" w:w="4320"/>
          </w:tcPr>
          <w:p>
            <w:pPr/>
            <w:r>
              <w:rPr>
                <w:sz w:val="20"/>
              </w:rPr>
              <w:t>Orchestrator co-signature required</w:t>
            </w:r>
          </w:p>
        </w:tc>
      </w:tr>
      <w:tr>
        <w:tc>
          <w:tcPr>
            <w:tcW w:type="dxa" w:w="4320"/>
          </w:tcPr>
          <w:p>
            <w:pPr/>
            <w:r>
              <w:rPr>
                <w:sz w:val="20"/>
              </w:rPr>
              <w:t>Highest-consequence operations (irreversible actions, safety-critical systems)</w:t>
            </w:r>
          </w:p>
        </w:tc>
        <w:tc>
          <w:tcPr>
            <w:tcW w:type="dxa" w:w="4320"/>
          </w:tcPr>
          <w:p>
            <w:pPr/>
            <w:r>
              <w:rPr>
                <w:sz w:val="20"/>
              </w:rPr>
              <w:t>Human co-signature via out-of-band channel</w:t>
            </w:r>
          </w:p>
        </w:tc>
      </w:tr>
    </w:tbl>
    <w:p>
      <w:pPr>
        <w:pStyle w:val="Heading3"/>
      </w:pPr>
      <w:r>
        <w:t>4.4 Tier Separation Principles</w:t>
      </w:r>
    </w:p>
    <w:p>
      <w:r>
        <w:t>Tiers are not labels. They are architectural boundaries.</w:t>
      </w:r>
    </w:p>
    <w:p>
      <w:pPr>
        <w:pStyle w:val="ListBullet"/>
      </w:pPr>
      <w:r>
        <w:t>No tier skipping. Data MUST flow Tier 1 to Tier 2 to Tier 3 in sequence. External data enters at Tier 1, is processed at Tier 2, and is acted upon at Tier 3. There is no fast path from ingestion to action. A Tier 1 agent cannot trigger a Tier 3 action directly.</w:t>
      </w:r>
    </w:p>
    <w:p>
      <w:pPr>
        <w:pStyle w:val="ListBullet"/>
      </w:pPr>
      <w:r>
        <w:t>No shared execution context. Agents at different tiers do not share context windows, memory, tool sets, or credential stores. Separate processes, separate memory spaces, separate network segments where feasible.</w:t>
      </w:r>
    </w:p>
    <w:p>
      <w:pPr>
        <w:pStyle w:val="ListBullet"/>
      </w:pPr>
      <w:r>
        <w:t>Autonomy is preserved. Dual authorization for standard operations is agent-to-agent. Human involvement is reserved for edge cases and highest-consequence decisions. The goal is not to put a human in every loop but to ensure that no single agent, operating alone, can cause irreversible external effect.</w:t>
      </w:r>
    </w:p>
    <w:p>
      <w:r>
        <w:t>---</w:t>
      </w:r>
    </w:p>
    <w:p>
      <w:pPr>
        <w:pStyle w:val="Heading2"/>
      </w:pPr>
      <w:r>
        <w:t>5. Co-Signature Protocol (Two-Person Integrity)</w:t>
      </w:r>
    </w:p>
    <w:p>
      <w:r>
        <w:t>The co-signature protocol applies the principle of Two-Person Integrity (TPI) to agent operations. TPI is an established security control in nuclear weapons systems, banking authorization, and classified material handling. Its application to agentic AI systems is novel. The core principle is unchanged: no single actor, regardless of authority level, can unilaterally execute a consequential action.</w:t>
      </w:r>
    </w:p>
    <w:p>
      <w:pPr>
        <w:pStyle w:val="Heading3"/>
      </w:pPr>
      <w:r>
        <w:t>5.1 Co-Signer Classes</w:t>
      </w:r>
    </w:p>
    <w:p>
      <w:r>
        <w:t>AITP defines three classes of valid co-signers, each with distinct trust properties:</w:t>
      </w:r>
    </w:p>
    <w:p>
      <w:r>
        <w:rPr>
          <w:b/>
        </w:rPr>
        <w:t>1. Peer Agent (different model/architecture).</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Must not share an execution context, upstream data source, or tool set with the requesting agent. The peer agent operates from its own independent identity and scope manifest. Compromise of the requesting agent does not imply compromise of the peer.</w:t>
      </w:r>
    </w:p>
    <w:p>
      <w:r>
        <w:rPr>
          <w:b/>
        </w:rPr>
        <w:t>2. Orchestrator (policy orchestrator or equivalent). A supervisory agent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r/>
    </w:p>
    <w:p>
      <w:r>
        <w:rPr>
          <w:b/>
        </w:rPr>
        <w:t>3. Human Operator (out-of-band confirmation).</w:t>
      </w:r>
      <w:r>
        <w:t xml:space="preserve"> A human who confirms authorization via out-of-band communication channel using a one-time cryptographic nonce. The out-of-band requirement prevents a compromised agent from simulating human approval within the system's primary communication channel. Examples: a Signal message containing a one-time nonce, a hardware token confirmation, a phone call. The human signs by returning the nonce through the out-of-band channel. The nonce is single-use, time-bounded, and tied to the specific action being authorized.</w:t>
      </w:r>
    </w:p>
    <w:p>
      <w:pPr>
        <w:pStyle w:val="Heading3"/>
      </w:pPr>
      <w:r>
        <w:t>5.2 Co-Signature Requirements by Tier Transition</w:t>
      </w:r>
    </w:p>
    <w:p>
      <w:r>
        <w:rPr>
          <w:b/>
        </w:rPr>
        <w:t>Tier 1 to Tier 2 (quarantine to analysis):</w:t>
      </w:r>
    </w:p>
    <w:p>
      <w:r>
        <w:t>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r>
        <w:rPr>
          <w:b/>
        </w:rPr>
        <w:t>Tier 2 to Tier 3 (review to execution):</w:t>
      </w:r>
    </w:p>
    <w:p>
      <w:r>
        <w:t>Requires review and co-signature by a Tier 2 agent of different architecture than the agent that produced the output. The reviewing agent checks for:</w:t>
      </w:r>
    </w:p>
    <w:p>
      <w:pPr>
        <w:pStyle w:val="ListBullet"/>
      </w:pPr>
      <w:r>
        <w:t>Credential leakage in the proposed output</w:t>
      </w:r>
    </w:p>
    <w:p>
      <w:pPr>
        <w:pStyle w:val="ListBullet"/>
      </w:pPr>
      <w:r>
        <w:t>Internal data exposure (file paths, database schemas, infrastructure details)</w:t>
      </w:r>
    </w:p>
    <w:p>
      <w:pPr>
        <w:pStyle w:val="ListBullet"/>
      </w:pPr>
      <w:r>
        <w:t>Prompt injection artifacts (embedded instructions, role-override attempts, encoding-masked directives)</w:t>
      </w:r>
    </w:p>
    <w:p>
      <w:pPr>
        <w:pStyle w:val="ListBullet"/>
      </w:pPr>
      <w:r>
        <w:t>Content alignment with the stated intent of the original request</w:t>
      </w:r>
    </w:p>
    <w:p>
      <w:r>
        <w:t>The reviewer's attestation record is bound to the specific output hash it reviewed. The reviewer does not evaluate correctness. It evaluates safety. The question is not "is this output good?" but "is this output safe to release into the world?"</w:t>
      </w:r>
    </w:p>
    <w:p>
      <w:r>
        <w:rPr>
          <w:b/>
        </w:rPr>
        <w:t>Destructive operations (delete, overwrite, send to external system):</w:t>
      </w:r>
    </w:p>
    <w:p>
      <w:r>
        <w:t>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r>
        <w:rPr>
          <w:b/>
        </w:rPr>
        <w:t>Highest-consequence actions (financial transactions, legal filings, public statements):</w:t>
      </w:r>
    </w:p>
    <w:p>
      <w:r>
        <w:t>Human co-signature required via out-of-band nonce. The system generates a one-time nonce and delivers it through a channel the agent cannot access. The human returns the nonce to confirm. The nonce is single-use, time-bounded, and cryptographically tied to the specific action being authorized.</w:t>
      </w:r>
    </w:p>
    <w:p>
      <w:pPr>
        <w:pStyle w:val="Heading3"/>
      </w:pPr>
      <w:r>
        <w:t>5.3 Signing Authority Integration</w:t>
      </w:r>
    </w:p>
    <w:p>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r>
        <w:t>---</w:t>
      </w:r>
    </w:p>
    <w:p>
      <w:pPr>
        <w:pStyle w:val="Heading2"/>
      </w:pPr>
      <w:r>
        <w:t>6. Distributed Deterministic Attestation (DDA)</w:t>
      </w:r>
    </w:p>
    <w:p>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r>
        <w:t>DDA is built on three design principles:</w:t>
      </w:r>
    </w:p>
    <w:p>
      <w:pPr>
        <w:pStyle w:val="ListBullet"/>
      </w:pPr>
      <w:r>
        <w:t>Distributed. The verification workload is sliced across many agents. No single agent sees the entire corpus. Each agent signs its assigned slice.</w:t>
      </w:r>
    </w:p>
    <w:p>
      <w:pPr>
        <w:pStyle w:val="ListBullet"/>
      </w:pPr>
      <w:r>
        <w:t>Deterministic. Verification at each tier is mechanically reproducible. No language model participates in the validation loop. Attestation validity is provable by re-execution.</w:t>
      </w:r>
    </w:p>
    <w:p>
      <w:pPr>
        <w:pStyle w:val="ListBullet"/>
      </w:pPr>
      <w:r>
        <w:t>Attestation. Every agent signs a cryptographic attestation for its slice. The attestation chain is the proof artifact. It can be independently verified without re-running the analysis.</w:t>
      </w:r>
    </w:p>
    <w:p>
      <w:pPr>
        <w:pStyle w:val="Heading3"/>
      </w:pPr>
      <w:r>
        <w:t>6.1 Slice Mathematics</w:t>
      </w:r>
    </w:p>
    <w:p>
      <w: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shard boundaries are the first signal of anomaly.</w:t>
      </w:r>
    </w:p>
    <w:p>
      <w:pPr/>
      <w: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pPr>
        <w:pStyle w:val="Heading3"/>
      </w:pPr>
      <w:r>
        <w:t>6.2 Hierarchical Verification Pyramid</w:t>
      </w:r>
    </w:p>
    <w:p>
      <w:r>
        <w:t>DDA defines a five-tier verification pyramid:</w:t>
      </w:r>
    </w:p>
    <w:p>
      <w:r>
        <w:rPr>
          <w:b/>
        </w:rPr>
        <w:t>Tier 0: Raw Validation.</w:t>
      </w:r>
    </w:p>
    <w:p>
      <w:r>
        <w:t>Approximately 1,000 agents, each processing approximately 6,000 files. Agents perform structural validation, hash verification, format compliance, and content classification. Each agent produces a signed attestation for its shard. Boundary overlap between adjacent slices provides built-in cross-verification.</w:t>
      </w:r>
    </w:p>
    <w:p>
      <w:r>
        <w:rPr>
          <w:b/>
        </w:rPr>
        <w:t>Tier 1: Cross-Validation.</w:t>
      </w:r>
    </w:p>
    <w:p>
      <w:r>
        <w:t>Approximately 50 agents operating on a different model architecture than Tier 0. These agents receive only anomalies and boundary disagreements from Tier 0, not the full corpus. They produce meta-attestations that either confirm or challenge Tier 0 findings.</w:t>
      </w:r>
    </w:p>
    <w:p>
      <w:r>
        <w:rPr>
          <w:b/>
        </w:rPr>
        <w:t>Tier 2: Aggregation.</w:t>
      </w:r>
    </w:p>
    <w:p>
      <w:r>
        <w:t>Approximately 10 agents operating on an offline, air-gapped model. These agents receive pattern clusters and anomaly summaries from Tier 1. They produce confidence scores and identify systemic patterns that span multiple slices.</w:t>
      </w:r>
    </w:p>
    <w:p>
      <w:r>
        <w:rPr>
          <w:b/>
        </w:rPr>
        <w:t>Tier 3: Summary.</w:t>
      </w:r>
    </w:p>
    <w:p>
      <w:r>
        <w:t>Two agents of different architectures independently review the Tier 2 output. Agreement between both agents confirms the finding. Disagreement triggers escalation to Tier 4.</w:t>
      </w:r>
    </w:p>
    <w:p>
      <w:r>
        <w:rPr>
          <w:b/>
        </w:rPr>
        <w:t>Tier 4: Human Orchestrator.</w:t>
      </w:r>
    </w:p>
    <w:p>
      <w:r>
        <w:t>A human decision-maker receives single-digit decision points distilled from the entire corpus. The human acts on summaries, not raw data.</w:t>
      </w:r>
    </w:p>
    <w:p>
      <w:r>
        <w:rPr>
          <w:b/>
        </w:rPr>
        <w:t>Example cascade for a six-million-file corpus:</w:t>
      </w:r>
    </w:p>
    <w:p>
      <w:pPr/>
      <w:r>
        <w:rPr>
          <w:rFonts w:ascii="Courier New" w:hAnsi="Courier New"/>
          <w:sz w:val="20"/>
        </w:rPr>
        <w:t>6,000,000 files</w:t>
      </w:r>
    </w:p>
    <w:p>
      <w:pPr/>
      <w:r>
        <w:rPr>
          <w:rFonts w:ascii="Courier New" w:hAnsi="Courier New"/>
          <w:sz w:val="20"/>
        </w:rPr>
        <w:t xml:space="preserve">    -&gt; ~30,000 anomalies (Tier 0)</w:t>
      </w:r>
    </w:p>
    <w:p>
      <w:pPr/>
      <w:r>
        <w:rPr>
          <w:rFonts w:ascii="Courier New" w:hAnsi="Courier New"/>
          <w:sz w:val="20"/>
        </w:rPr>
        <w:t xml:space="preserve">    -&gt; ~500 cross-validation items (Tier 1)</w:t>
      </w:r>
    </w:p>
    <w:p>
      <w:pPr/>
      <w:r>
        <w:rPr>
          <w:rFonts w:ascii="Courier New" w:hAnsi="Courier New"/>
          <w:sz w:val="20"/>
        </w:rPr>
        <w:t xml:space="preserve">    -&gt; ~20 pattern clusters (Tier 2)</w:t>
      </w:r>
    </w:p>
    <w:p>
      <w:pPr/>
      <w:r>
        <w:rPr>
          <w:rFonts w:ascii="Courier New" w:hAnsi="Courier New"/>
          <w:sz w:val="20"/>
        </w:rPr>
        <w:t xml:space="preserve">    -&gt; 2 independent reports (Tier 3)</w:t>
      </w:r>
    </w:p>
    <w:p>
      <w:pPr/>
      <w:r>
        <w:rPr>
          <w:rFonts w:ascii="Courier New" w:hAnsi="Courier New"/>
          <w:sz w:val="20"/>
        </w:rPr>
        <w:t xml:space="preserve">    -&gt; single-digit decision points (Tier 4: Human)</w:t>
      </w:r>
    </w:p>
    <w:p>
      <w:pPr>
        <w:pStyle w:val="Heading3"/>
      </w:pPr>
      <w:r>
        <w:t>6.3 Cross-Architecture Requirement</w:t>
      </w:r>
    </w:p>
    <w:p>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pPr>
        <w:pStyle w:val="Heading3"/>
      </w:pPr>
      <w:r>
        <w:t>6.4 Anomaly Resolution Agent (ARA)</w:t>
      </w:r>
    </w:p>
    <w:p>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r>
        <w:t>The ARA resolution loop produces one of three outcomes per iteration:</w:t>
      </w:r>
    </w:p>
    <w:p>
      <w:r>
        <w:rPr>
          <w:b/>
        </w:rPr>
        <w:t>Outcome A: Resolved, requires human approval.</w:t>
      </w:r>
      <w:r>
        <w:t xml:space="preserve"> The ARA identifies a deterministic cause (e.g., an agent crashed mid-slice, a shard was incompletely processed) and recommends a specific corrective action such as reprocessing the affected shard. The recommendation requires human sign-off before execution.</w:t>
      </w:r>
    </w:p>
    <w:p>
      <w:r>
        <w:rPr>
          <w:b/>
        </w:rPr>
        <w:t>Outcome B: Cannot resolve, escalate.</w:t>
      </w:r>
      <w:r>
        <w:t xml:space="preserve"> Both sides of the disagreement are internally consistent. The conflict is genuinely ambiguous. The ARA documents both positions and escalates to the human orchestrator at Tier 4.</w:t>
      </w:r>
    </w:p>
    <w:p>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r>
        <w:t>---</w:t>
      </w:r>
    </w:p>
    <w:p>
      <w:pPr>
        <w:pStyle w:val="Heading2"/>
      </w:pPr>
      <w:r>
        <w:t>7. Resilience Requirements</w:t>
      </w:r>
    </w:p>
    <w:p>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pPr>
        <w:pStyle w:val="Heading3"/>
      </w:pPr>
      <w:r>
        <w:t>7.1 Hybrid Architecture Requirement</w:t>
      </w:r>
    </w:p>
    <w:p>
      <w:r>
        <w:t>AITP-compliant systems MUST implement a hybrid execution architecture spanning at least two of the following three deployment classes:</w:t>
      </w:r>
    </w:p>
    <w:p>
      <w:r>
        <w:rPr>
          <w:b/>
        </w:rPr>
        <w:t>Cloud models (primary layer).</w:t>
      </w:r>
    </w:p>
    <w:p>
      <w:r>
        <w:t>Cloud-hosted models (Opus, Sonnet, GPT-class, or equivalent) provide the primary intelligence layer. Cloud infrastructure is fast, capable, and fragile: it depends on network connectivity, provider availability, and third-party operational decisions outside the system operator's control.</w:t>
      </w:r>
    </w:p>
    <w:p>
      <w:r>
        <w:rPr>
          <w:b/>
        </w:rPr>
        <w:t>Local models (continuity layer).</w:t>
      </w:r>
    </w:p>
    <w:p>
      <w:r>
        <w:t>Locally hosted models (Llama, Qwen, Mistral, or equivalent) running on operator-controlled hardware provide a continuity layer. Local models are slower and less capable than cloud models but operate independently of external providers.</w:t>
      </w:r>
    </w:p>
    <w:p>
      <w:r>
        <w:rPr>
          <w:b/>
        </w:rPr>
        <w:t>Offline models (trust-critical validation layer).</w:t>
      </w:r>
    </w:p>
    <w:p>
      <w:r>
        <w:t>Air-gapped models with no network connectivity perform trust-critical validation tasks. Offline nodes cannot be compromised via network-based attacks. At least one verification node in the DDA pyramid (Section 6) MUST operate without external connectivity.</w:t>
      </w:r>
    </w:p>
    <w:p>
      <w:pPr>
        <w:pStyle w:val="Heading3"/>
      </w:pPr>
      <w:r>
        <w:t>7.2 Degradation Behavior</w:t>
      </w:r>
    </w:p>
    <w:p>
      <w:r>
        <w:t>When the cloud layer is unavailable, the local and offline layers absorb the workload. Operations are slower. Capability is reduced. But the system remains operational. The mission does not stop. The trust chain does not break.</w:t>
      </w:r>
    </w:p>
    <w:p>
      <w:r>
        <w:t>The air-gapped validator is elevated from an optional deployment to a REQUIREMENT. Any trust standard that depends on a single external provider for its verification infrastructure is not a trust standard. It is an availability bet.</w:t>
      </w:r>
    </w:p>
    <w:p>
      <w:pPr/>
      <w: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r>
        <w:t>---</w:t>
      </w:r>
    </w:p>
    <w:p>
      <w:pPr>
        <w:pStyle w:val="Heading3"/>
      </w:pPr>
      <w:r>
        <w:t>7.3 Algorithm Agility and Post-Quantum Migration</w:t>
      </w:r>
    </w:p>
    <w:p>
      <w:pPr/>
      <w: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pPr>
        <w:pStyle w:val="Heading2"/>
      </w:pPr>
      <w:r>
        <w:t>8. What AITP Does Not Solve</w:t>
      </w:r>
    </w:p>
    <w:p>
      <w:r>
        <w:t>AITP guarantees process integrity and nonrepudiation. It does NOT guarantee output correctness. A signed, attested, co-verified output can still be wrong. AITP ensures you can prove who produced it, what they were authorized to do, and that the process followed the defined trust chain. It does not ensure the output is true.</w:t>
      </w:r>
    </w:p>
    <w:p>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r>
        <w:t>AITP provides the same class of guarantee for agentic systems. Output is auditable, verifiable, and challengeable. AITP delivers due process for agent operations, not a stamp of truth.</w:t>
      </w:r>
    </w:p>
    <w:p>
      <w:r>
        <w:t>---</w:t>
      </w:r>
    </w:p>
    <w:p>
      <w:pPr>
        <w:pStyle w:val="Heading2"/>
      </w:pPr>
      <w:r>
        <w:t>9. AITP Top 10 Agent Trust Risks</w:t>
      </w:r>
    </w:p>
    <w:p>
      <w:r>
        <w:t>Modeled after the OWASP Top 10 for web application security, the following list identifies the ten most critical trust risks in agentic AI systems. Each risk represents an architectural failure that AITP is designed to prevent or mitigate.</w:t>
      </w:r>
    </w:p>
    <w:tbl>
      <w:tblPr>
        <w:tblStyle w:val="TableGrid"/>
        <w:tblW w:type="auto" w:w="0"/>
        <w:tblLook w:firstColumn="1" w:firstRow="1" w:lastColumn="0" w:lastRow="0" w:noHBand="0" w:noVBand="1" w:val="04A0"/>
      </w:tblPr>
      <w:tblGrid>
        <w:gridCol w:w="2880"/>
        <w:gridCol w:w="2880"/>
        <w:gridCol w:w="2880"/>
      </w:tblGrid>
      <w:tr>
        <w:tc>
          <w:tcPr>
            <w:tcW w:type="dxa" w:w="2880"/>
          </w:tcPr>
          <w:p>
            <w:pPr/>
            <w:r>
              <w:rPr>
                <w:b/>
                <w:sz w:val="20"/>
              </w:rPr>
              <w:t>Risk ID</w:t>
            </w:r>
          </w:p>
        </w:tc>
        <w:tc>
          <w:tcPr>
            <w:tcW w:type="dxa" w:w="2880"/>
          </w:tcPr>
          <w:p>
            <w:pPr/>
            <w:r>
              <w:rPr>
                <w:b/>
                <w:sz w:val="20"/>
              </w:rPr>
              <w:t>Name</w:t>
            </w:r>
          </w:p>
        </w:tc>
        <w:tc>
          <w:tcPr>
            <w:tcW w:type="dxa" w:w="2880"/>
          </w:tcPr>
          <w:p>
            <w:pPr/>
            <w:r>
              <w:rPr>
                <w:b/>
                <w:sz w:val="20"/>
              </w:rPr>
              <w:t>AITP Mitigation</w:t>
            </w:r>
          </w:p>
        </w:tc>
      </w:tr>
      <w:tr>
        <w:tc>
          <w:tcPr>
            <w:tcW w:type="dxa" w:w="2880"/>
          </w:tcPr>
          <w:p>
            <w:pPr/>
            <w:r>
              <w:rPr>
                <w:sz w:val="20"/>
              </w:rPr>
              <w:t>ATR-01</w:t>
            </w:r>
          </w:p>
        </w:tc>
        <w:tc>
          <w:tcPr>
            <w:tcW w:type="dxa" w:w="2880"/>
          </w:tcPr>
          <w:p>
            <w:pPr/>
            <w:r>
              <w:rPr>
                <w:sz w:val="20"/>
              </w:rPr>
              <w:t>Unsigned Agent Actions</w:t>
            </w:r>
          </w:p>
        </w:tc>
        <w:tc>
          <w:tcPr>
            <w:tcW w:type="dxa" w:w="2880"/>
          </w:tcPr>
          <w:p>
            <w:pPr/>
            <w:r>
              <w:rPr>
                <w:sz w:val="20"/>
              </w:rPr>
              <w:t>Attestation (Section 3.3). Every consequential agent action MUST produce a signed attestation record.</w:t>
            </w:r>
          </w:p>
        </w:tc>
      </w:tr>
      <w:tr>
        <w:tc>
          <w:tcPr>
            <w:tcW w:type="dxa" w:w="2880"/>
          </w:tcPr>
          <w:p>
            <w:pPr/>
            <w:r>
              <w:rPr>
                <w:sz w:val="20"/>
              </w:rPr>
              <w:t>ATR-02</w:t>
            </w:r>
          </w:p>
        </w:tc>
        <w:tc>
          <w:tcPr>
            <w:tcW w:type="dxa" w:w="2880"/>
          </w:tcPr>
          <w:p>
            <w:pPr/>
            <w:r>
              <w:rPr>
                <w:sz w:val="20"/>
              </w:rPr>
              <w:t>Single-Model Verification</w:t>
            </w:r>
          </w:p>
        </w:tc>
        <w:tc>
          <w:tcPr>
            <w:tcW w:type="dxa" w:w="2880"/>
          </w:tcPr>
          <w:p>
            <w:pPr/>
            <w:r>
              <w:rPr>
                <w:sz w:val="20"/>
              </w:rPr>
              <w:t>Co-signature Protocol (Section 3.4). Verification MUST involve at least one agent of different architecture.</w:t>
            </w:r>
          </w:p>
        </w:tc>
      </w:tr>
      <w:tr>
        <w:tc>
          <w:tcPr>
            <w:tcW w:type="dxa" w:w="2880"/>
          </w:tcPr>
          <w:p>
            <w:pPr/>
            <w:r>
              <w:rPr>
                <w:sz w:val="20"/>
              </w:rPr>
              <w:t>ATR-03</w:t>
            </w:r>
          </w:p>
        </w:tc>
        <w:tc>
          <w:tcPr>
            <w:tcW w:type="dxa" w:w="2880"/>
          </w:tcPr>
          <w:p>
            <w:pPr/>
            <w:r>
              <w:rPr>
                <w:sz w:val="20"/>
              </w:rPr>
              <w:t>Unscoped Tool Permissions</w:t>
            </w:r>
          </w:p>
        </w:tc>
        <w:tc>
          <w:tcPr>
            <w:tcW w:type="dxa" w:w="2880"/>
          </w:tcPr>
          <w:p>
            <w:pPr/>
            <w:r>
              <w:rPr>
                <w:sz w:val="20"/>
              </w:rPr>
              <w:t>Scope Binding (Section 3.2). Every agent MUST be bound to a scope manifest enumerating permitted operations.</w:t>
            </w:r>
          </w:p>
        </w:tc>
      </w:tr>
      <w:tr>
        <w:tc>
          <w:tcPr>
            <w:tcW w:type="dxa" w:w="2880"/>
          </w:tcPr>
          <w:p>
            <w:pPr/>
            <w:r>
              <w:rPr>
                <w:sz w:val="20"/>
              </w:rPr>
              <w:t>ATR-04</w:t>
            </w:r>
          </w:p>
        </w:tc>
        <w:tc>
          <w:tcPr>
            <w:tcW w:type="dxa" w:w="2880"/>
          </w:tcPr>
          <w:p>
            <w:pPr/>
            <w:r>
              <w:rPr>
                <w:sz w:val="20"/>
              </w:rPr>
              <w:t>No Cryptographic Identity</w:t>
            </w:r>
          </w:p>
        </w:tc>
        <w:tc>
          <w:tcPr>
            <w:tcW w:type="dxa" w:w="2880"/>
          </w:tcPr>
          <w:p>
            <w:pPr/>
            <w:r>
              <w:rPr>
                <w:sz w:val="20"/>
              </w:rPr>
              <w:t>Agent Identity (Section 3.1). Every agent instance MUST hold an Ed25519 key pair generated at instantiation.</w:t>
            </w:r>
          </w:p>
        </w:tc>
      </w:tr>
      <w:tr>
        <w:tc>
          <w:tcPr>
            <w:tcW w:type="dxa" w:w="2880"/>
          </w:tcPr>
          <w:p>
            <w:pPr/>
            <w:r>
              <w:rPr>
                <w:sz w:val="20"/>
              </w:rPr>
              <w:t>ATR-05</w:t>
            </w:r>
          </w:p>
        </w:tc>
        <w:tc>
          <w:tcPr>
            <w:tcW w:type="dxa" w:w="2880"/>
          </w:tcPr>
          <w:p>
            <w:pPr/>
            <w:r>
              <w:rPr>
                <w:sz w:val="20"/>
              </w:rPr>
              <w:t>Implicit Trust Inheritance</w:t>
            </w:r>
          </w:p>
        </w:tc>
        <w:tc>
          <w:tcPr>
            <w:tcW w:type="dxa" w:w="2880"/>
          </w:tcPr>
          <w:p>
            <w:pPr/>
            <w:r>
              <w:rPr>
                <w:sz w:val="20"/>
              </w:rPr>
              <w:t>Scope Binding (Section 3.2). Trust MUST be explicitly granted per scope manifest, not inherited from parent.</w:t>
            </w:r>
          </w:p>
        </w:tc>
      </w:tr>
      <w:tr>
        <w:tc>
          <w:tcPr>
            <w:tcW w:type="dxa" w:w="2880"/>
          </w:tcPr>
          <w:p>
            <w:pPr/>
            <w:r>
              <w:rPr>
                <w:sz w:val="20"/>
              </w:rPr>
              <w:t>ATR-06</w:t>
            </w:r>
          </w:p>
        </w:tc>
        <w:tc>
          <w:tcPr>
            <w:tcW w:type="dxa" w:w="2880"/>
          </w:tcPr>
          <w:p>
            <w:pPr/>
            <w:r>
              <w:rPr>
                <w:sz w:val="20"/>
              </w:rPr>
              <w:t>No Audit Chain</w:t>
            </w:r>
          </w:p>
        </w:tc>
        <w:tc>
          <w:tcPr>
            <w:tcW w:type="dxa" w:w="2880"/>
          </w:tcPr>
          <w:p>
            <w:pPr/>
            <w:r>
              <w:rPr>
                <w:sz w:val="20"/>
              </w:rPr>
              <w:t>Attestation (Section 3.3). The attestation chain MUST capture sufficient context to reconstruct the decision path.</w:t>
            </w:r>
          </w:p>
        </w:tc>
      </w:tr>
      <w:tr>
        <w:tc>
          <w:tcPr>
            <w:tcW w:type="dxa" w:w="2880"/>
          </w:tcPr>
          <w:p>
            <w:pPr/>
            <w:r>
              <w:rPr>
                <w:sz w:val="20"/>
              </w:rPr>
              <w:t>ATR-07</w:t>
            </w:r>
          </w:p>
        </w:tc>
        <w:tc>
          <w:tcPr>
            <w:tcW w:type="dxa" w:w="2880"/>
          </w:tcPr>
          <w:p>
            <w:pPr/>
            <w:r>
              <w:rPr>
                <w:sz w:val="20"/>
              </w:rPr>
              <w:t>Poisonable Context Windows</w:t>
            </w:r>
          </w:p>
        </w:tc>
        <w:tc>
          <w:tcPr>
            <w:tcW w:type="dxa" w:w="2880"/>
          </w:tcPr>
          <w:p>
            <w:pPr/>
            <w:r>
              <w:rPr>
                <w:sz w:val="20"/>
              </w:rPr>
              <w:t>Operational Tiers (Section 4). Input from external sources MUST be quarantined and scanned before entering operational context.</w:t>
            </w:r>
          </w:p>
        </w:tc>
      </w:tr>
      <w:tr>
        <w:tc>
          <w:tcPr>
            <w:tcW w:type="dxa" w:w="2880"/>
          </w:tcPr>
          <w:p>
            <w:pPr/>
            <w:r>
              <w:rPr>
                <w:sz w:val="20"/>
              </w:rPr>
              <w:t>ATR-08</w:t>
            </w:r>
          </w:p>
        </w:tc>
        <w:tc>
          <w:tcPr>
            <w:tcW w:type="dxa" w:w="2880"/>
          </w:tcPr>
          <w:p>
            <w:pPr/>
            <w:r>
              <w:rPr>
                <w:sz w:val="20"/>
              </w:rPr>
              <w:t>Unverified External Data Ingestion</w:t>
            </w:r>
          </w:p>
        </w:tc>
        <w:tc>
          <w:tcPr>
            <w:tcW w:type="dxa" w:w="2880"/>
          </w:tcPr>
          <w:p>
            <w:pPr/>
            <w:r>
              <w:rPr>
                <w:sz w:val="20"/>
              </w:rPr>
              <w:t>Attestation (Section 3.3). Ingesting agents MUST record source, timestamp, and hash of ingested data.</w:t>
            </w:r>
          </w:p>
        </w:tc>
      </w:tr>
      <w:tr>
        <w:tc>
          <w:tcPr>
            <w:tcW w:type="dxa" w:w="2880"/>
          </w:tcPr>
          <w:p>
            <w:pPr/>
            <w:r>
              <w:rPr>
                <w:sz w:val="20"/>
              </w:rPr>
              <w:t>ATR-09</w:t>
            </w:r>
          </w:p>
        </w:tc>
        <w:tc>
          <w:tcPr>
            <w:tcW w:type="dxa" w:w="2880"/>
          </w:tcPr>
          <w:p>
            <w:pPr/>
            <w:r>
              <w:rPr>
                <w:sz w:val="20"/>
              </w:rPr>
              <w:t>No Revocation Mechanism</w:t>
            </w:r>
          </w:p>
        </w:tc>
        <w:tc>
          <w:tcPr>
            <w:tcW w:type="dxa" w:w="2880"/>
          </w:tcPr>
          <w:p>
            <w:pPr/>
            <w:r>
              <w:rPr>
                <w:sz w:val="20"/>
              </w:rPr>
              <w:t>Revocation (Section 3.6). Revocation MUST be immediate and permanent. Key is revoked, actions frozen, scope terminated.</w:t>
            </w:r>
          </w:p>
        </w:tc>
      </w:tr>
      <w:tr>
        <w:tc>
          <w:tcPr>
            <w:tcW w:type="dxa" w:w="2880"/>
          </w:tcPr>
          <w:p>
            <w:pPr/>
            <w:r>
              <w:rPr>
                <w:sz w:val="20"/>
              </w:rPr>
              <w:t>ATR-10</w:t>
            </w:r>
          </w:p>
        </w:tc>
        <w:tc>
          <w:tcPr>
            <w:tcW w:type="dxa" w:w="2880"/>
          </w:tcPr>
          <w:p>
            <w:pPr/>
            <w:r>
              <w:rPr>
                <w:sz w:val="20"/>
              </w:rPr>
              <w:t>Human-Out-of-the-Loop</w:t>
            </w:r>
          </w:p>
        </w:tc>
        <w:tc>
          <w:tcPr>
            <w:tcW w:type="dxa" w:w="2880"/>
          </w:tcPr>
          <w:p>
            <w:pPr/>
            <w:r>
              <w:rPr>
                <w:sz w:val="20"/>
              </w:rPr>
              <w:t>Co-signature Protocol (Section 5). Highest-consequence operations MUST have escalation path to human via out-of-band confirmation.</w:t>
            </w:r>
          </w:p>
        </w:tc>
      </w:tr>
    </w:tbl>
    <w:p>
      <w:r>
        <w:t>---</w:t>
      </w:r>
    </w:p>
    <w:p>
      <w:pPr>
        <w:pStyle w:val="Heading2"/>
      </w:pPr>
      <w:r>
        <w:t>10. Agent Definition</w:t>
      </w:r>
    </w:p>
    <w:p>
      <w:r>
        <w:t>For the purposes of this specification, an "agent" is any autonomous or semi-autonomous system that receives instructions, processes information, and produces output or takes actions on behalf of a principal. This definition is deliberately broad.</w:t>
      </w:r>
    </w:p>
    <w:p>
      <w:r>
        <w:t>An agent MAY be:</w:t>
      </w:r>
    </w:p>
    <w:p>
      <w:pPr>
        <w:pStyle w:val="ListBullet"/>
      </w:pPr>
      <w:r>
        <w:t>A large language model</w:t>
      </w:r>
    </w:p>
    <w:p>
      <w:pPr>
        <w:pStyle w:val="ListBullet"/>
      </w:pPr>
      <w:r>
        <w:t>A hybrid system combining language models with deterministic components</w:t>
      </w:r>
    </w:p>
    <w:p>
      <w:pPr>
        <w:pStyle w:val="ListBullet"/>
      </w:pPr>
      <w:r>
        <w:t>A pure rules engine</w:t>
      </w:r>
    </w:p>
    <w:p>
      <w:pPr>
        <w:pStyle w:val="ListBullet"/>
      </w:pPr>
      <w:r>
        <w:t>A reinforcement learning system</w:t>
      </w:r>
    </w:p>
    <w:p>
      <w:pPr>
        <w:pStyle w:val="ListBullet"/>
      </w:pPr>
      <w:r>
        <w:t>A retrieval-augmented generation pipeline</w:t>
      </w:r>
    </w:p>
    <w:p>
      <w:pPr>
        <w:pStyle w:val="ListBullet"/>
      </w:pPr>
      <w:r>
        <w:t>Any architecture that does not yet exist</w:t>
      </w:r>
    </w:p>
    <w:p>
      <w:r>
        <w:t>AITP is implementation-agnostic. The trust problem it addresses is identical regardless of what technology an agent is built on: an autonomous system acting on behalf of a principal requires identity, scope, attestation, co-verification, and revocation.</w:t>
      </w:r>
    </w:p>
    <w:p>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r>
        <w:t>---</w:t>
      </w:r>
    </w:p>
    <w:p>
      <w:r>
        <w:t>*AI Trust Protocol (AITP) v1.1 Process -- OSInfo Inc. -- March 2026*</w:t>
      </w:r>
    </w:p>
    <w:p>
      <w:r>
        <w:t>*Licensed under CC BY-SA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DDA88475-38B2-401B-B2AE-3D8FCD118124}"/>
</file>

<file path=customXml/itemProps3.xml><?xml version="1.0" encoding="utf-8"?>
<ds:datastoreItem xmlns:ds="http://schemas.openxmlformats.org/officeDocument/2006/customXml" ds:itemID="{DDDC74B8-DCCC-4519-9284-599A56C7A172}"/>
</file>

<file path=customXml/itemProps4.xml><?xml version="1.0" encoding="utf-8"?>
<ds:datastoreItem xmlns:ds="http://schemas.openxmlformats.org/officeDocument/2006/customXml" ds:itemID="{A94111BB-7C32-479D-BDFD-91423CE4A632}"/>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