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color w:val="505050"/>
          <w:sz w:val="28"/>
        </w:rPr>
        <w:t>NIST AI 100-Series Submission</w:t>
      </w:r>
    </w:p>
    <w:p/>
    <w:p>
      <w:pPr>
        <w:jc w:val="center"/>
      </w:pPr>
      <w:r>
        <w:rPr>
          <w:rFonts w:ascii="Times New Roman" w:hAnsi="Times New Roman"/>
          <w:b/>
          <w:sz w:val="52"/>
        </w:rPr>
        <w:t>AI Trust Protocol (AITP)</w:t>
      </w:r>
    </w:p>
    <w:p>
      <w:pPr>
        <w:jc w:val="center"/>
      </w:pPr>
      <w:r>
        <w:rPr>
          <w:rFonts w:ascii="Times New Roman" w:hAnsi="Times New Roman"/>
          <w:i/>
          <w:sz w:val="36"/>
        </w:rPr>
        <w:t>A Trust Architecture for Autonomous Agent Systems</w:t>
      </w:r>
    </w:p>
    <w:p/>
    <w:p>
      <w:pPr>
        <w:jc w:val="center"/>
      </w:pPr>
      <w:r>
        <w:rPr>
          <w:rFonts w:ascii="Times New Roman" w:hAnsi="Times New Roman"/>
          <w:sz w:val="28"/>
        </w:rPr>
        <w:t>Version 0.1</w:t>
      </w:r>
    </w:p>
    <w:p>
      <w:pPr>
        <w:jc w:val="center"/>
      </w:pPr>
      <w:r>
        <w:rPr>
          <w:rFonts w:ascii="Times New Roman" w:hAnsi="Times New Roman"/>
          <w:sz w:val="28"/>
        </w:rPr>
        <w:t>March 2026</w:t>
      </w:r>
    </w:p>
    <w:p/>
    <w:p/>
    <w:p>
      <w:pPr>
        <w:jc w:val="center"/>
      </w:pPr>
      <w:r>
        <w:rPr>
          <w:rFonts w:ascii="Times New Roman" w:hAnsi="Times New Roman"/>
          <w:sz w:val="28"/>
        </w:rPr>
        <w:t>Michael Harrison and Ard Haskell</w:t>
      </w:r>
    </w:p>
    <w:p>
      <w:pPr>
        <w:jc w:val="center"/>
      </w:pPr>
      <w:r>
        <w:rPr>
          <w:rFonts w:ascii="Times New Roman" w:hAnsi="Times New Roman"/>
          <w:sz w:val="24"/>
        </w:rPr>
        <w:t>OSInfo Inc.</w:t>
      </w:r>
    </w:p>
    <w:p>
      <w:pPr>
        <w:jc w:val="center"/>
      </w:pPr>
      <w:r>
        <w:rPr>
          <w:rFonts w:ascii="Times New Roman" w:hAnsi="Times New Roman"/>
          <w:sz w:val="24"/>
        </w:rPr>
        <w:t>Lutherville, Maryland</w:t>
      </w:r>
    </w:p>
    <w:p>
      <w:r>
        <w:br w:type="page"/>
      </w:r>
    </w:p>
    <w:p>
      <w:pPr>
        <w:pStyle w:val="Heading1"/>
      </w:pPr>
      <w:r>
        <w:t>Abstract</w:t>
      </w:r>
    </w:p>
    <w:p>
      <w:r>
        <w:rPr>
          <w:b w:val="0"/>
          <w:i w:val="0"/>
        </w:rPr>
        <w:t>The AI Trust Protocol (AITP) is a specification for building verifiable trust into autonomous agent systems. As AI agents increasingly operate with delegated authority across legal, financial, medical, military, and academic domains, the foundational question shifts from "is this AI capable enough?" to "how do we know what happened and who is accountable?" No existing standard addresses this gap. Current agent frameworks operate without cryptographic identity, scoped permissions, tamper-evident audit trails, or mechanisms to revoke compromised agents. Every deployment is a trust-me architecture.</w:t>
      </w:r>
    </w:p>
    <w:p>
      <w:r>
        <w:rPr>
          <w:b w:val="0"/>
          <w:i w:val="0"/>
        </w:rPr>
        <w:t>AITP addresses this by defining six cryptographic and architectural primitives: agent identity (Ed25519 key pairs bound to each agent instance), scope binding (explicit permission manifests with no ambient authority), attestation (hash-chained, signed records of every agent action), co-signature protocols (two-person integrity for consequential actions), a stateless signing authority (immune to prompt injection by design), and immediate revocation with bounded blast radius. These primitives compose into a three-tier operational architecture (Crawl, Analysis, Action) that enforces graduated trust through infrastructure-level separation, not advisory policy.</w:t>
      </w:r>
    </w:p>
    <w:p>
      <w:r>
        <w:rPr>
          <w:b w:val="0"/>
          <w:i w:val="0"/>
        </w:rPr>
        <w:t>AITP introduces Distributed Deterministic Attestation (DDA), a hierarchical verification pyramid that reduces millions of artifacts to single-digit human decision points through five tiers of cross-architecture validation. The protocol defines resilience requirements mandating hybrid cloud/local/offline deployment, an Anomaly Resolution Agent for system self-disagreement, and the AITP Top 10 Agent Trust Risks modeled after the OWASP Top 10. AITP guarantees process integrity and nonrepudiation. It does not guarantee output correctness. It provides due process for AI, not a stamp of truth.</w:t>
      </w:r>
    </w:p>
    <w:p>
      <w:pPr>
        <w:pStyle w:val="Heading1"/>
      </w:pPr>
      <w:r>
        <w:t>Keywords</w:t>
      </w:r>
    </w:p>
    <w:p>
      <w:r>
        <w:rPr>
          <w:b w:val="0"/>
          <w:i/>
        </w:rPr>
        <w:t>AI trust; agent security; cryptographic attestation; two-person integrity; distributed validation; autonomous systems; agent identity; scope binding; revocation; nonrepudiation; operational tiers; co-signature protocol; signing authority; blast radius containment; resilience architecture</w:t>
      </w:r>
    </w:p>
    <w:p>
      <w:pPr>
        <w:pStyle w:val="Heading1"/>
      </w:pPr>
      <w:r>
        <w:t>Table of Contents</w:t>
      </w:r>
    </w:p>
    <w:p>
      <w:r>
        <w:rPr>
          <w:b w:val="0"/>
          <w:i/>
        </w:rPr>
        <w:t>[Table of Contents: auto-generated upon final formatting]</w:t>
      </w:r>
    </w:p>
    <w:p>
      <w:r>
        <w:br w:type="page"/>
      </w:r>
    </w:p>
    <w:p>
      <w:pPr>
        <w:pStyle w:val="Heading1"/>
      </w:pPr>
      <w:r>
        <w:t>1. Introduction and Problem Statement</w:t>
      </w:r>
    </w:p>
    <w:p>
      <w:r>
        <w:rPr>
          <w:b w:val="0"/>
          <w:i w:val="0"/>
        </w:rP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 Current AI systems operate without cryptographic identity, audit trails, or scoped permissions. An agent is a process with a name and set of API keys. There is no binding between what the agent claims to be, what it is authorized to do, and what it actually did. Every deployment is a "trust-me" architecture.</w:t>
      </w:r>
    </w:p>
    <w:p>
      <w:r>
        <w:rPr>
          <w:b w:val="0"/>
          <w:i w:val="0"/>
        </w:rP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r>
        <w:rPr>
          <w:b w:val="0"/>
          <w:i w:val="0"/>
        </w:rPr>
        <w:t>Recent work, including Rajagopalan and Rao's Authenticated Workflows (2026), has begun addressing cryptographic boundary enforcement for agentic systems. These contributions validate the urgency of the problem. However, existing approaches focus on single-system enterprise workflows and do not address multi-architecture verification, two-person integrity for consequential actions, scalable validation across millions of artifacts (DDA), offline resilience requirements, or key revocation for compromised agents. AITP provides the complete trust framework.</w:t>
      </w:r>
    </w:p>
    <w:p>
      <w:r>
        <w:rPr>
          <w:b w:val="0"/>
          <w:i w:val="0"/>
        </w:rPr>
        <w:t>As AI-generated content enters every consequential domain, including legal filings, medical records, financial analysis, military intelligence, and academic research, the foundational question shifts from "is this iteration of AI good enough" to "how do we know what is true?" There is no single source of truth. There never was. We had not built systems fast enough to expose that. Now we have, and the question becomes: what do we do about it?</w:t>
      </w:r>
    </w:p>
    <w:p>
      <w:r>
        <w:rPr>
          <w:b w:val="0"/>
          <w:i w:val="0"/>
        </w:rP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r>
        <w:rPr>
          <w:b w:val="0"/>
          <w:i w:val="0"/>
        </w:rPr>
        <w:t>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authorization in banking. None of these systems guarantee correctness. All of them make it possible to determine what happened and hold actors accountable.</w:t>
      </w:r>
    </w:p>
    <w:p>
      <w:r>
        <w:rPr>
          <w:b/>
          <w:i w:val="0"/>
        </w:rPr>
        <w:t>The framing is: due process for AI.</w:t>
      </w:r>
    </w:p>
    <w:p>
      <w:pPr>
        <w:pStyle w:val="Heading1"/>
      </w:pPr>
      <w:r>
        <w:t>2. Threat Model</w:t>
      </w:r>
    </w:p>
    <w:p>
      <w:r>
        <w:rPr>
          <w:b w:val="0"/>
          <w:i w:val="0"/>
        </w:rP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r>
        <w:rPr>
          <w:b w:val="0"/>
          <w:i w:val="0"/>
        </w:rPr>
        <w:t>The following threat vectors are addressed by this specification.</w:t>
      </w:r>
    </w:p>
    <w:p>
      <w:pPr>
        <w:pStyle w:val="Heading2"/>
      </w:pPr>
      <w:r>
        <w:t>2.1 Prompt Injection via External Data Sources</w:t>
      </w:r>
    </w:p>
    <w:p>
      <w:r>
        <w:rPr>
          <w:b w:val="0"/>
          <w:i w:val="0"/>
        </w:rPr>
        <w:t>An agent that crawls,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r>
        <w:rPr>
          <w:b w:val="0"/>
          <w:i w:val="0"/>
        </w:rP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pPr>
        <w:pStyle w:val="Heading2"/>
      </w:pPr>
      <w:r>
        <w:t>2.2 Compromised Agent Operating Within Valid Permissions</w:t>
      </w:r>
    </w:p>
    <w:p>
      <w:r>
        <w:rPr>
          <w:b w:val="0"/>
          <w:i w:val="0"/>
        </w:rP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r>
        <w:rPr>
          <w:b w:val="0"/>
          <w:i w:val="0"/>
        </w:rP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pPr>
        <w:pStyle w:val="Heading2"/>
      </w:pPr>
      <w:r>
        <w:t>2.3 Supply Chain Compromise via Plugins and Tool Registries</w:t>
      </w:r>
    </w:p>
    <w:p>
      <w:r>
        <w:rPr>
          <w:b w:val="0"/>
          <w:i w:val="0"/>
        </w:rP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r>
        <w:rPr>
          <w:b w:val="0"/>
          <w:i w:val="0"/>
        </w:rP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 A malicious or compromised tool operates with the full permissions of the agent that loads it. Tool registries are the npm of agent systems, and the industry has not yet had its event-stream moment. When it does, there will be no audit trail, no revocation mechanism, and no blast radius containment.</w:t>
      </w:r>
    </w:p>
    <w:p>
      <w:pPr>
        <w:pStyle w:val="Heading2"/>
      </w:pPr>
      <w:r>
        <w:t>2.4 Credential and Data Exfiltration via Output Channels</w:t>
      </w:r>
    </w:p>
    <w:p>
      <w:r>
        <w:rPr>
          <w:b w:val="0"/>
          <w:i w:val="0"/>
        </w:rPr>
        <w:t>Agents with access to secrets (API keys, database credentials, authentication tokens, private keys) can leak them through any output channel. Generated text, code blocks, API call parameters, log entries, and even steganographic encoding in structured outputs are all viable exfiltration vectors.</w:t>
      </w:r>
    </w:p>
    <w:p>
      <w:r>
        <w:rPr>
          <w:b w:val="0"/>
          <w:i w:val="0"/>
        </w:rP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pPr>
        <w:pStyle w:val="Heading2"/>
      </w:pPr>
      <w:r>
        <w:t>2.5 Cascading Compromise Across Agent Chains</w:t>
      </w:r>
    </w:p>
    <w:p>
      <w:r>
        <w:rPr>
          <w:b w:val="0"/>
          <w:i w:val="0"/>
        </w:rPr>
        <w:t>In multi-agent architectures, one agent's output becomes another agent's input. A compromise in Agent A propagates through the chain, with each subsequent agent treating poisoned input as trusted data. Without independent verification at each link, a single point of compromise becomes a chain-wide failure. The blast radius is unbounded.</w:t>
      </w:r>
    </w:p>
    <w:p>
      <w:r>
        <w:rPr>
          <w:b w:val="0"/>
          <w:i w:val="0"/>
        </w:rPr>
        <w:t>There are no trust boundaries between agents in current frameworks. Agent-to-agent communication is treated as trusted by default. There is no mechanism to verify the provenance of inter-agent messages, no attestation that upstream agents were operating correctly when they produced their output, and no circuit breaker to halt propagation when anomalous behavior is detected.</w:t>
      </w:r>
    </w:p>
    <w:p>
      <w:pPr>
        <w:pStyle w:val="Heading2"/>
      </w:pPr>
      <w:r>
        <w:t>2.6 Poisonable Context Windows</w:t>
      </w:r>
    </w:p>
    <w:p>
      <w:r>
        <w:rPr>
          <w:b w:val="0"/>
          <w:i w:val="0"/>
        </w:rPr>
        <w:t>The context window is the agent's working memory. Everything in it (system instructions, user input, retrieved documents, tool outputs, conversation history) influences the agent's behavior. Context is treated as trusted input. There is no distinction between verified content and content of unknown provenance.</w:t>
      </w:r>
    </w:p>
    <w:p>
      <w:r>
        <w:rPr>
          <w:b w:val="0"/>
          <w:i w:val="0"/>
        </w:rP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pPr>
        <w:pStyle w:val="Heading2"/>
      </w:pPr>
      <w:r>
        <w:t>2.7 Unscoped Tool Permissions</w:t>
      </w:r>
    </w:p>
    <w:p>
      <w:r>
        <w:rPr>
          <w:b w:val="0"/>
          <w:i w:val="0"/>
        </w:rPr>
        <w:t>Agents are granted tool access at the tool level, not the operation level. An agent that needs to read from a database is given a database connection. That connection typically permits read, write, update, and delete. An agent that needs to send one type of API request is given an API key that permits all request types.</w:t>
      </w:r>
    </w:p>
    <w:p>
      <w:r>
        <w:rPr>
          <w:b w:val="0"/>
          <w:i w:val="0"/>
        </w:rPr>
        <w:t>Least privilege is not enforced at the agent-tool boundary. Permission grants are coarse. There is no standard mechanism to say "this agent MAY call this tool, but only with these parameters, only on these resources, only during this time window." The result is that every tool grant is an over-grant, and every over-grant is an attack surface.</w:t>
      </w:r>
    </w:p>
    <w:p>
      <w:pPr>
        <w:pStyle w:val="Heading2"/>
      </w:pPr>
      <w:r>
        <w:t>2.8 No Revocation Mechanism</w:t>
      </w:r>
    </w:p>
    <w:p>
      <w:r>
        <w:rPr>
          <w:b w:val="0"/>
          <w:i w:val="0"/>
        </w:rPr>
        <w:t>When an agent is determined to be compromised, there is no standard procedure to revoke its identity, freeze its pending actions, invalidate its prior attestations, or contain the blast radius of its compromise. API keys can be rotated, but this does not address in-flight operations, cached credentials in other systems, or downstream agents that have already ingested the compromised agent's output.</w:t>
      </w:r>
    </w:p>
    <w:p>
      <w:r>
        <w:rPr>
          <w:b w:val="0"/>
          <w:i w:val="0"/>
        </w:rPr>
        <w:t>Agent identity in current systems is not a first-class concept. There is nothing to revoke. Revoking access means changing passwords and rotating keys across every system the agent touched, manually, with no guarantee of completeness. There is no propagation mechanism, no centralized revocation list, and no way to mark a specific agent's actions as suspect after the fact.</w:t>
      </w:r>
    </w:p>
    <w:p>
      <w:pPr>
        <w:pStyle w:val="Heading1"/>
      </w:pPr>
      <w:r>
        <w:t>3. Trust Primitives</w:t>
      </w:r>
    </w:p>
    <w:p>
      <w:r>
        <w:rPr>
          <w:b w:val="0"/>
          <w:i w:val="0"/>
        </w:rP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pPr>
        <w:pStyle w:val="Heading2"/>
      </w:pPr>
      <w:r>
        <w:t>3.1 Agent Identity</w:t>
      </w:r>
    </w:p>
    <w:p>
      <w:r>
        <w:rPr>
          <w:b w:val="0"/>
          <w:i w:val="0"/>
        </w:rPr>
        <w:t>Every agent instance MUST hold an Ed25519 key pair generated at instantiation. Identity is cryptographic, not nominal: an agent is not identified by its name, label, role, or the model it runs. It is identified by a key that it alone possesses. Two agents with the same name but different keys are different agents. Two agents with the same key are the same agent regardless of what they claim.</w:t>
      </w:r>
    </w:p>
    <w:p>
      <w:r>
        <w:rPr>
          <w:b w:val="0"/>
          <w:i w:val="0"/>
        </w:rPr>
        <w:t>Identity is bound to a specific agent instance. Two instances of the same model running the same prompt are two different agents with two different identities. Identity does not transfer between instances, between versions, or between deployments.</w:t>
      </w:r>
    </w:p>
    <w:p>
      <w:r>
        <w:rPr>
          <w:b/>
          <w:i w:val="0"/>
        </w:rPr>
        <w:t>Key lifecycle:</w:t>
      </w:r>
    </w:p>
    <w:p>
      <w:pPr>
        <w:pStyle w:val="ListBullet"/>
      </w:pPr>
      <w:r>
        <w:t>Generation. Keys MUST be generated at agent instantiation using a cryptographically secure random number generator. The private key MUST NOT leave the agent's execution environment.</w:t>
      </w:r>
    </w:p>
    <w:p>
      <w:pPr>
        <w:pStyle w:val="ListBullet"/>
      </w:pPr>
      <w:r>
        <w:t>Storage. Private keys MUST be stored in the agent's local keystore. On hardware that supports it, keys SHOULD be stored in a secure enclave or TPM. The keystore is not accessible to the agent's application logic; signing operations are performed by the keystore on the agent's behalf.</w:t>
      </w:r>
    </w:p>
    <w:p>
      <w:pPr>
        <w:pStyle w:val="ListBullet"/>
      </w:pPr>
      <w:r>
        <w:t>Rotation. Keys MUST be rotated on a configurable schedule and on any suspected compromise. Rotation produces a new key pair and a signed rotation record linking the old public key to the new public key. The rotation record is appended to the attestation log.</w:t>
      </w:r>
    </w:p>
    <w:p>
      <w:pPr>
        <w:pStyle w:val="ListBullet"/>
      </w:pPr>
      <w:r>
        <w:t>Binding. The public key MUST be registered with the Signing Authority (Section 3.5) and bound to a scope manifest (Section 3.2) at registration time.</w:t>
      </w:r>
    </w:p>
    <w:p>
      <w:pPr>
        <w:pStyle w:val="Heading2"/>
      </w:pPr>
      <w:r>
        <w:t>3.2 Scope Binding</w:t>
      </w:r>
    </w:p>
    <w:p>
      <w:r>
        <w:rPr>
          <w:b w:val="0"/>
          <w:i w:val="0"/>
        </w:rPr>
        <w:t>Each cryptographic identity MUST be bound to a permission manifest that defines the complete set of authorized actions. Permissions are explicit and enumerated. No ambient authority exists. An agent without a manifest entry for an action is prohibited from performing that action. The binding between identity and scope is itself signed and immutable.</w:t>
      </w:r>
    </w:p>
    <w:p>
      <w:r>
        <w:rPr>
          <w:b/>
          <w:i w:val="0"/>
        </w:rPr>
        <w:t>Permission types: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Permission</w:t>
            </w:r>
          </w:p>
        </w:tc>
        <w:tc>
          <w:tcPr>
            <w:tcW w:type="dxa" w:w="4320"/>
          </w:tcPr>
          <w:p>
            <w:r/>
            <w:r>
              <w:rPr>
                <w:rFonts w:ascii="Times New Roman" w:hAnsi="Times New Roman"/>
                <w:b/>
                <w:sz w:val="20"/>
              </w:rPr>
              <w:t>Description</w:t>
            </w:r>
          </w:p>
        </w:tc>
      </w:tr>
      <w:tr>
        <w:tc>
          <w:tcPr>
            <w:tcW w:type="dxa" w:w="4320"/>
          </w:tcPr>
          <w:p>
            <w:r/>
            <w:r>
              <w:rPr>
                <w:rFonts w:ascii="Times New Roman" w:hAnsi="Times New Roman"/>
                <w:b w:val="0"/>
                <w:sz w:val="20"/>
              </w:rPr>
              <w:t>read</w:t>
            </w:r>
          </w:p>
        </w:tc>
        <w:tc>
          <w:tcPr>
            <w:tcW w:type="dxa" w:w="4320"/>
          </w:tcPr>
          <w:p>
            <w:r/>
            <w:r>
              <w:rPr>
                <w:rFonts w:ascii="Times New Roman" w:hAnsi="Times New Roman"/>
                <w:b w:val="0"/>
                <w:sz w:val="20"/>
              </w:rPr>
              <w:t>Retrieve data from a specified resource</w:t>
            </w:r>
          </w:p>
        </w:tc>
      </w:tr>
      <w:tr>
        <w:tc>
          <w:tcPr>
            <w:tcW w:type="dxa" w:w="4320"/>
          </w:tcPr>
          <w:p>
            <w:r/>
            <w:r>
              <w:rPr>
                <w:rFonts w:ascii="Times New Roman" w:hAnsi="Times New Roman"/>
                <w:b w:val="0"/>
                <w:sz w:val="20"/>
              </w:rPr>
              <w:t>draft</w:t>
            </w:r>
          </w:p>
        </w:tc>
        <w:tc>
          <w:tcPr>
            <w:tcW w:type="dxa" w:w="4320"/>
          </w:tcPr>
          <w:p>
            <w:r/>
            <w:r>
              <w:rPr>
                <w:rFonts w:ascii="Times New Roman" w:hAnsi="Times New Roman"/>
                <w:b w:val="0"/>
                <w:sz w:val="20"/>
              </w:rPr>
              <w:t>Produce output that requires approval before taking effect</w:t>
            </w:r>
          </w:p>
        </w:tc>
      </w:tr>
      <w:tr>
        <w:tc>
          <w:tcPr>
            <w:tcW w:type="dxa" w:w="4320"/>
          </w:tcPr>
          <w:p>
            <w:r/>
            <w:r>
              <w:rPr>
                <w:rFonts w:ascii="Times New Roman" w:hAnsi="Times New Roman"/>
                <w:b w:val="0"/>
                <w:sz w:val="20"/>
              </w:rPr>
              <w:t>publish</w:t>
            </w:r>
          </w:p>
        </w:tc>
        <w:tc>
          <w:tcPr>
            <w:tcW w:type="dxa" w:w="4320"/>
          </w:tcPr>
          <w:p>
            <w:r/>
            <w:r>
              <w:rPr>
                <w:rFonts w:ascii="Times New Roman" w:hAnsi="Times New Roman"/>
                <w:b w:val="0"/>
                <w:sz w:val="20"/>
              </w:rPr>
              <w:t>Produce output that takes effect immediately</w:t>
            </w:r>
          </w:p>
        </w:tc>
      </w:tr>
      <w:tr>
        <w:tc>
          <w:tcPr>
            <w:tcW w:type="dxa" w:w="4320"/>
          </w:tcPr>
          <w:p>
            <w:r/>
            <w:r>
              <w:rPr>
                <w:rFonts w:ascii="Times New Roman" w:hAnsi="Times New Roman"/>
                <w:b w:val="0"/>
                <w:sz w:val="20"/>
              </w:rPr>
              <w:t>execute</w:t>
            </w:r>
          </w:p>
        </w:tc>
        <w:tc>
          <w:tcPr>
            <w:tcW w:type="dxa" w:w="4320"/>
          </w:tcPr>
          <w:p>
            <w:r/>
            <w:r>
              <w:rPr>
                <w:rFonts w:ascii="Times New Roman" w:hAnsi="Times New Roman"/>
                <w:b w:val="0"/>
                <w:sz w:val="20"/>
              </w:rPr>
              <w:t>Invoke a tool or subprocess</w:t>
            </w:r>
          </w:p>
        </w:tc>
      </w:tr>
      <w:tr>
        <w:tc>
          <w:tcPr>
            <w:tcW w:type="dxa" w:w="4320"/>
          </w:tcPr>
          <w:p>
            <w:r/>
            <w:r>
              <w:rPr>
                <w:rFonts w:ascii="Times New Roman" w:hAnsi="Times New Roman"/>
                <w:b w:val="0"/>
                <w:sz w:val="20"/>
              </w:rPr>
              <w:t>delete</w:t>
            </w:r>
          </w:p>
        </w:tc>
        <w:tc>
          <w:tcPr>
            <w:tcW w:type="dxa" w:w="4320"/>
          </w:tcPr>
          <w:p>
            <w:r/>
            <w:r>
              <w:rPr>
                <w:rFonts w:ascii="Times New Roman" w:hAnsi="Times New Roman"/>
                <w:b w:val="0"/>
                <w:sz w:val="20"/>
              </w:rPr>
              <w:t>Remove or destroy a resource</w:t>
            </w:r>
          </w:p>
        </w:tc>
      </w:tr>
    </w:tbl>
    <w:p/>
    <w:p>
      <w:r>
        <w:rPr>
          <w:b w:val="0"/>
          <w:i w:val="0"/>
        </w:rPr>
        <w:t>Permissions are scoped to specific resources. "read:database/customers" is a different permission from "read:database/financials". "execute:tool/search" is a different permission from "execute:tool/deploy". There is no wildcard. There is no implicit inheritance.</w:t>
      </w:r>
    </w:p>
    <w:p>
      <w:r>
        <w:rPr>
          <w:b w:val="0"/>
          <w:i w:val="0"/>
        </w:rPr>
        <w:t>The manifest MUST be signed by the Signing Authority at registration time. The agent MUST NOT modify its own manifest. Manifest changes require a new registration with the Signing Authority, producing a new signed manifest and a manifest-change record in the attestation log.</w:t>
      </w:r>
    </w:p>
    <w:p>
      <w:pPr>
        <w:pStyle w:val="Heading2"/>
      </w:pPr>
      <w:r>
        <w:t>3.3 Attestation</w:t>
      </w:r>
    </w:p>
    <w:p>
      <w:r>
        <w:rPr>
          <w:b w:val="0"/>
          <w:i w:val="0"/>
        </w:rPr>
        <w:t>Every agent action MUST produce a signed attestation record. The record is the atomic unit of the AITP audit trail.</w:t>
      </w:r>
    </w:p>
    <w:p>
      <w:r>
        <w:rPr>
          <w:b/>
          <w:i w:val="0"/>
        </w:rPr>
        <w:t>Attestation record structure:</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Field</w:t>
            </w:r>
          </w:p>
        </w:tc>
        <w:tc>
          <w:tcPr>
            <w:tcW w:type="dxa" w:w="4320"/>
          </w:tcPr>
          <w:p>
            <w:r/>
            <w:r>
              <w:rPr>
                <w:rFonts w:ascii="Times New Roman" w:hAnsi="Times New Roman"/>
                <w:b/>
                <w:sz w:val="20"/>
              </w:rPr>
              <w:t>Description</w:t>
            </w:r>
          </w:p>
        </w:tc>
      </w:tr>
      <w:tr>
        <w:tc>
          <w:tcPr>
            <w:tcW w:type="dxa" w:w="4320"/>
          </w:tcPr>
          <w:p>
            <w:r/>
            <w:r>
              <w:rPr>
                <w:rFonts w:ascii="Times New Roman" w:hAnsi="Times New Roman"/>
                <w:b w:val="0"/>
                <w:sz w:val="20"/>
              </w:rPr>
              <w:t>agent_id</w:t>
            </w:r>
          </w:p>
        </w:tc>
        <w:tc>
          <w:tcPr>
            <w:tcW w:type="dxa" w:w="4320"/>
          </w:tcPr>
          <w:p>
            <w:r/>
            <w:r>
              <w:rPr>
                <w:rFonts w:ascii="Times New Roman" w:hAnsi="Times New Roman"/>
                <w:b w:val="0"/>
                <w:sz w:val="20"/>
              </w:rPr>
              <w:t>Public key of the acting agent</w:t>
            </w:r>
          </w:p>
        </w:tc>
      </w:tr>
      <w:tr>
        <w:tc>
          <w:tcPr>
            <w:tcW w:type="dxa" w:w="4320"/>
          </w:tcPr>
          <w:p>
            <w:r/>
            <w:r>
              <w:rPr>
                <w:rFonts w:ascii="Times New Roman" w:hAnsi="Times New Roman"/>
                <w:b w:val="0"/>
                <w:sz w:val="20"/>
              </w:rPr>
              <w:t>action</w:t>
            </w:r>
          </w:p>
        </w:tc>
        <w:tc>
          <w:tcPr>
            <w:tcW w:type="dxa" w:w="4320"/>
          </w:tcPr>
          <w:p>
            <w:r/>
            <w:r>
              <w:rPr>
                <w:rFonts w:ascii="Times New Roman" w:hAnsi="Times New Roman"/>
                <w:b w:val="0"/>
                <w:sz w:val="20"/>
              </w:rPr>
              <w:t>Action type and target resource</w:t>
            </w:r>
          </w:p>
        </w:tc>
      </w:tr>
      <w:tr>
        <w:tc>
          <w:tcPr>
            <w:tcW w:type="dxa" w:w="4320"/>
          </w:tcPr>
          <w:p>
            <w:r/>
            <w:r>
              <w:rPr>
                <w:rFonts w:ascii="Times New Roman" w:hAnsi="Times New Roman"/>
                <w:b w:val="0"/>
                <w:sz w:val="20"/>
              </w:rPr>
              <w:t>input_hash</w:t>
            </w:r>
          </w:p>
        </w:tc>
        <w:tc>
          <w:tcPr>
            <w:tcW w:type="dxa" w:w="4320"/>
          </w:tcPr>
          <w:p>
            <w:r/>
            <w:r>
              <w:rPr>
                <w:rFonts w:ascii="Times New Roman" w:hAnsi="Times New Roman"/>
                <w:b w:val="0"/>
                <w:sz w:val="20"/>
              </w:rPr>
              <w:t>SHA-256 (or SHA-512) hash of the action's input</w:t>
            </w:r>
          </w:p>
        </w:tc>
      </w:tr>
      <w:tr>
        <w:tc>
          <w:tcPr>
            <w:tcW w:type="dxa" w:w="4320"/>
          </w:tcPr>
          <w:p>
            <w:r/>
            <w:r>
              <w:rPr>
                <w:rFonts w:ascii="Times New Roman" w:hAnsi="Times New Roman"/>
                <w:b w:val="0"/>
                <w:sz w:val="20"/>
              </w:rPr>
              <w:t>output_hash</w:t>
            </w:r>
          </w:p>
        </w:tc>
        <w:tc>
          <w:tcPr>
            <w:tcW w:type="dxa" w:w="4320"/>
          </w:tcPr>
          <w:p>
            <w:r/>
            <w:r>
              <w:rPr>
                <w:rFonts w:ascii="Times New Roman" w:hAnsi="Times New Roman"/>
                <w:b w:val="0"/>
                <w:sz w:val="20"/>
              </w:rPr>
              <w:t>SHA-256 (or SHA-512) hash of the action's output</w:t>
            </w:r>
          </w:p>
        </w:tc>
      </w:tr>
      <w:tr>
        <w:tc>
          <w:tcPr>
            <w:tcW w:type="dxa" w:w="4320"/>
          </w:tcPr>
          <w:p>
            <w:r/>
            <w:r>
              <w:rPr>
                <w:rFonts w:ascii="Times New Roman" w:hAnsi="Times New Roman"/>
                <w:b w:val="0"/>
                <w:sz w:val="20"/>
              </w:rPr>
              <w:t>timestamp</w:t>
            </w:r>
          </w:p>
        </w:tc>
        <w:tc>
          <w:tcPr>
            <w:tcW w:type="dxa" w:w="4320"/>
          </w:tcPr>
          <w:p>
            <w:r/>
            <w:r>
              <w:rPr>
                <w:rFonts w:ascii="Times New Roman" w:hAnsi="Times New Roman"/>
                <w:b w:val="0"/>
                <w:sz w:val="20"/>
              </w:rPr>
              <w:t>RFC 3339 timestamp, sourced from a trusted time authority</w:t>
            </w:r>
          </w:p>
        </w:tc>
      </w:tr>
      <w:tr>
        <w:tc>
          <w:tcPr>
            <w:tcW w:type="dxa" w:w="4320"/>
          </w:tcPr>
          <w:p>
            <w:r/>
            <w:r>
              <w:rPr>
                <w:rFonts w:ascii="Times New Roman" w:hAnsi="Times New Roman"/>
                <w:b w:val="0"/>
                <w:sz w:val="20"/>
              </w:rPr>
              <w:t>scope_ref</w:t>
            </w:r>
          </w:p>
        </w:tc>
        <w:tc>
          <w:tcPr>
            <w:tcW w:type="dxa" w:w="4320"/>
          </w:tcPr>
          <w:p>
            <w:r/>
            <w:r>
              <w:rPr>
                <w:rFonts w:ascii="Times New Roman" w:hAnsi="Times New Roman"/>
                <w:b w:val="0"/>
                <w:sz w:val="20"/>
              </w:rPr>
              <w:t>Reference to the active scope manifest</w:t>
            </w:r>
          </w:p>
        </w:tc>
      </w:tr>
      <w:tr>
        <w:tc>
          <w:tcPr>
            <w:tcW w:type="dxa" w:w="4320"/>
          </w:tcPr>
          <w:p>
            <w:r/>
            <w:r>
              <w:rPr>
                <w:rFonts w:ascii="Times New Roman" w:hAnsi="Times New Roman"/>
                <w:b w:val="0"/>
                <w:sz w:val="20"/>
              </w:rPr>
              <w:t>prev_hash</w:t>
            </w:r>
          </w:p>
        </w:tc>
        <w:tc>
          <w:tcPr>
            <w:tcW w:type="dxa" w:w="4320"/>
          </w:tcPr>
          <w:p>
            <w:r/>
            <w:r>
              <w:rPr>
                <w:rFonts w:ascii="Times New Roman" w:hAnsi="Times New Roman"/>
                <w:b w:val="0"/>
                <w:sz w:val="20"/>
              </w:rPr>
              <w:t>SHA-256 hash of the previous attestation record (chain linkage)</w:t>
            </w:r>
          </w:p>
        </w:tc>
      </w:tr>
      <w:tr>
        <w:tc>
          <w:tcPr>
            <w:tcW w:type="dxa" w:w="4320"/>
          </w:tcPr>
          <w:p>
            <w:r/>
            <w:r>
              <w:rPr>
                <w:rFonts w:ascii="Times New Roman" w:hAnsi="Times New Roman"/>
                <w:b w:val="0"/>
                <w:sz w:val="20"/>
              </w:rPr>
              <w:t>signature</w:t>
            </w:r>
          </w:p>
        </w:tc>
        <w:tc>
          <w:tcPr>
            <w:tcW w:type="dxa" w:w="4320"/>
          </w:tcPr>
          <w:p>
            <w:r/>
            <w:r>
              <w:rPr>
                <w:rFonts w:ascii="Times New Roman" w:hAnsi="Times New Roman"/>
                <w:b w:val="0"/>
                <w:sz w:val="20"/>
              </w:rPr>
              <w:t>Ed25519 signature over all preceding fields</w:t>
            </w:r>
          </w:p>
        </w:tc>
      </w:tr>
    </w:tbl>
    <w:p/>
    <w:p>
      <w:r>
        <w:rPr>
          <w:b w:val="0"/>
          <w:i w:val="0"/>
        </w:rPr>
        <w:t>Attestation records MUST be appended to an immutable, append-only log. Records are hash-chained: each record includes the hash of the previous record, forming a tamper-evident sequence. Any modification to a historical record breaks the chain from that point forward.</w:t>
      </w:r>
    </w:p>
    <w:p>
      <w:r>
        <w:rPr>
          <w:b w:val="0"/>
          <w:i w:val="0"/>
        </w:rPr>
        <w:t>The attestation chain enables full reconstruction of an agent's operational history: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r>
        <w:rPr>
          <w:b w:val="0"/>
          <w:i w:val="0"/>
        </w:rPr>
        <w:t>Attestation records are designed to be presentable in adversarial contexts: court proceedings, regulatory audits, incident investigations, and board inquiries. The record answers the questions that matter: who did this, what did they do, what were they authorized to do, and can we prove it?</w:t>
      </w:r>
    </w:p>
    <w:p>
      <w:pPr>
        <w:pStyle w:val="Heading2"/>
      </w:pPr>
      <w:r>
        <w:t>3.4 Co-signature Protocol</w:t>
      </w:r>
    </w:p>
    <w:p>
      <w:r>
        <w:rPr>
          <w:b w:val="0"/>
          <w:i w:val="0"/>
        </w:rPr>
        <w:t>Actions classified as consequential (publishing, committing, sending, deleting, or any action that modifies state beyond the agent's local scope) MUST require a second cryptographic signature from an entity not in the operational chain that produced the output. This is two-person integrity applied to autonomous systems.</w:t>
      </w:r>
    </w:p>
    <w:p>
      <w:r>
        <w:rPr>
          <w:b w:val="0"/>
          <w:i w:val="0"/>
        </w:rPr>
        <w:t>A consequential action is any action classified as such in the agent's scope manifest. Classification is determined by the system operator, not by the agent. Examples: publishing to production, deleting data, sending external communications, modifying access controls, transferring funds.</w:t>
      </w:r>
    </w:p>
    <w:p>
      <w:r>
        <w:rPr>
          <w:b/>
          <w:i w:val="0"/>
        </w:rPr>
        <w:t>Valid co-signer classes:</w:t>
      </w:r>
    </w:p>
    <w:p>
      <w:pPr>
        <w:pStyle w:val="ListBullet"/>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pPr>
        <w:pStyle w:val="ListBullet"/>
      </w:pPr>
      <w:r>
        <w:t>Orchestrator. A system-level coordinator (e.g., a Siv-class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pPr>
        <w:pStyle w:val="ListBullet"/>
      </w:pPr>
      <w:r>
        <w:t>Human operator. A human who confirms the action via an out-of-band channel. Out-of-band means a communication channel that is not accessible to the agent requesting confirmation. Examples: a Signal message containing a one-time nonce, a hardware token confirmation, a phone call. The human signs by returning the nonce through the out-of-band channel.</w:t>
      </w:r>
    </w:p>
    <w:p>
      <w:r>
        <w:rPr>
          <w:b w:val="0"/>
          <w:i w:val="0"/>
        </w:rPr>
        <w:t>The co-signature requirement implements two-person integrity: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pPr>
        <w:pStyle w:val="Heading2"/>
      </w:pPr>
      <w:r>
        <w:t>3.5 Signing Authority</w:t>
      </w:r>
    </w:p>
    <w:p>
      <w:r>
        <w:rPr>
          <w:b w:val="0"/>
          <w:i w:val="0"/>
        </w:rPr>
        <w:t>The Signing Authority is a stateless policy engine. It receives signing requests, evaluates them against deterministic rules, and returns either a signed token or a rejection. It has no memory between requests. It maintains no session state.</w:t>
      </w:r>
    </w:p>
    <w:p>
      <w:r>
        <w:rPr>
          <w:b w:val="0"/>
          <w:i w:val="0"/>
        </w:rPr>
        <w:t>The Signing Authority MUST NOT contain a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r>
        <w:rPr>
          <w:b w:val="0"/>
          <w:i w:val="0"/>
        </w:rPr>
        <w:t>This design makes the Signing Authority immune to prompt injection. There is no prompt. There is no natural language input. There is no context window to poison. The attack surface is limited to the policy rules themselves and the integrity of the registry data. The Signing Authority is the one node in the architecture that is immune to the primary attack vector against AI systems.</w:t>
      </w:r>
    </w:p>
    <w:p>
      <w:r>
        <w:rPr>
          <w:b/>
          <w:i w:val="0"/>
        </w:rPr>
        <w:t>Signing Authority operations: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Operation</w:t>
            </w:r>
          </w:p>
        </w:tc>
        <w:tc>
          <w:tcPr>
            <w:tcW w:type="dxa" w:w="2880"/>
          </w:tcPr>
          <w:p>
            <w:r/>
            <w:r>
              <w:rPr>
                <w:rFonts w:ascii="Times New Roman" w:hAnsi="Times New Roman"/>
                <w:b/>
                <w:sz w:val="20"/>
              </w:rPr>
              <w:t>Input</w:t>
            </w:r>
          </w:p>
        </w:tc>
        <w:tc>
          <w:tcPr>
            <w:tcW w:type="dxa" w:w="2880"/>
          </w:tcPr>
          <w:p>
            <w:r/>
            <w:r>
              <w:rPr>
                <w:rFonts w:ascii="Times New Roman" w:hAnsi="Times New Roman"/>
                <w:b/>
                <w:sz w:val="20"/>
              </w:rPr>
              <w:t>Output</w:t>
            </w:r>
          </w:p>
        </w:tc>
      </w:tr>
      <w:tr>
        <w:tc>
          <w:tcPr>
            <w:tcW w:type="dxa" w:w="2880"/>
          </w:tcPr>
          <w:p>
            <w:r/>
            <w:r>
              <w:rPr>
                <w:rFonts w:ascii="Times New Roman" w:hAnsi="Times New Roman"/>
                <w:b w:val="0"/>
                <w:sz w:val="20"/>
              </w:rPr>
              <w:t>Register</w:t>
            </w:r>
          </w:p>
        </w:tc>
        <w:tc>
          <w:tcPr>
            <w:tcW w:type="dxa" w:w="2880"/>
          </w:tcPr>
          <w:p>
            <w:r/>
            <w:r>
              <w:rPr>
                <w:rFonts w:ascii="Times New Roman" w:hAnsi="Times New Roman"/>
                <w:b w:val="0"/>
                <w:sz w:val="20"/>
              </w:rPr>
              <w:t>Agent public key + scope manifest</w:t>
            </w:r>
          </w:p>
        </w:tc>
        <w:tc>
          <w:tcPr>
            <w:tcW w:type="dxa" w:w="2880"/>
          </w:tcPr>
          <w:p>
            <w:r/>
            <w:r>
              <w:rPr>
                <w:rFonts w:ascii="Times New Roman" w:hAnsi="Times New Roman"/>
                <w:b w:val="0"/>
                <w:sz w:val="20"/>
              </w:rPr>
              <w:t>Signed registration token</w:t>
            </w:r>
          </w:p>
        </w:tc>
      </w:tr>
      <w:tr>
        <w:tc>
          <w:tcPr>
            <w:tcW w:type="dxa" w:w="2880"/>
          </w:tcPr>
          <w:p>
            <w:r/>
            <w:r>
              <w:rPr>
                <w:rFonts w:ascii="Times New Roman" w:hAnsi="Times New Roman"/>
                <w:b w:val="0"/>
                <w:sz w:val="20"/>
              </w:rPr>
              <w:t>Authorize</w:t>
            </w:r>
          </w:p>
        </w:tc>
        <w:tc>
          <w:tcPr>
            <w:tcW w:type="dxa" w:w="2880"/>
          </w:tcPr>
          <w:p>
            <w:r/>
            <w:r>
              <w:rPr>
                <w:rFonts w:ascii="Times New Roman" w:hAnsi="Times New Roman"/>
                <w:b w:val="0"/>
                <w:sz w:val="20"/>
              </w:rPr>
              <w:t>Agent ID + proposed action + attestation chain</w:t>
            </w:r>
          </w:p>
        </w:tc>
        <w:tc>
          <w:tcPr>
            <w:tcW w:type="dxa" w:w="2880"/>
          </w:tcPr>
          <w:p>
            <w:r/>
            <w:r>
              <w:rPr>
                <w:rFonts w:ascii="Times New Roman" w:hAnsi="Times New Roman"/>
                <w:b w:val="0"/>
                <w:sz w:val="20"/>
              </w:rPr>
              <w:t>Signed authorization token or rejection</w:t>
            </w:r>
          </w:p>
        </w:tc>
      </w:tr>
      <w:tr>
        <w:tc>
          <w:tcPr>
            <w:tcW w:type="dxa" w:w="2880"/>
          </w:tcPr>
          <w:p>
            <w:r/>
            <w:r>
              <w:rPr>
                <w:rFonts w:ascii="Times New Roman" w:hAnsi="Times New Roman"/>
                <w:b w:val="0"/>
                <w:sz w:val="20"/>
              </w:rPr>
              <w:t>Co-sign</w:t>
            </w:r>
          </w:p>
        </w:tc>
        <w:tc>
          <w:tcPr>
            <w:tcW w:type="dxa" w:w="2880"/>
          </w:tcPr>
          <w:p>
            <w:r/>
            <w:r>
              <w:rPr>
                <w:rFonts w:ascii="Times New Roman" w:hAnsi="Times New Roman"/>
                <w:b w:val="0"/>
                <w:sz w:val="20"/>
              </w:rPr>
              <w:t>Authorization token + co-signer signature</w:t>
            </w:r>
          </w:p>
        </w:tc>
        <w:tc>
          <w:tcPr>
            <w:tcW w:type="dxa" w:w="2880"/>
          </w:tcPr>
          <w:p>
            <w:r/>
            <w:r>
              <w:rPr>
                <w:rFonts w:ascii="Times New Roman" w:hAnsi="Times New Roman"/>
                <w:b w:val="0"/>
                <w:sz w:val="20"/>
              </w:rPr>
              <w:t>Signed co-signature token or rejection</w:t>
            </w:r>
          </w:p>
        </w:tc>
      </w:tr>
      <w:tr>
        <w:tc>
          <w:tcPr>
            <w:tcW w:type="dxa" w:w="2880"/>
          </w:tcPr>
          <w:p>
            <w:r/>
            <w:r>
              <w:rPr>
                <w:rFonts w:ascii="Times New Roman" w:hAnsi="Times New Roman"/>
                <w:b w:val="0"/>
                <w:sz w:val="20"/>
              </w:rPr>
              <w:t>Revoke</w:t>
            </w:r>
          </w:p>
        </w:tc>
        <w:tc>
          <w:tcPr>
            <w:tcW w:type="dxa" w:w="2880"/>
          </w:tcPr>
          <w:p>
            <w:r/>
            <w:r>
              <w:rPr>
                <w:rFonts w:ascii="Times New Roman" w:hAnsi="Times New Roman"/>
                <w:b w:val="0"/>
                <w:sz w:val="20"/>
              </w:rPr>
              <w:t>Agent ID + revocation justification + authorized requester signature</w:t>
            </w:r>
          </w:p>
        </w:tc>
        <w:tc>
          <w:tcPr>
            <w:tcW w:type="dxa" w:w="2880"/>
          </w:tcPr>
          <w:p>
            <w:r/>
            <w:r>
              <w:rPr>
                <w:rFonts w:ascii="Times New Roman" w:hAnsi="Times New Roman"/>
                <w:b w:val="0"/>
                <w:sz w:val="20"/>
              </w:rPr>
              <w:t>Signed revocation record</w:t>
            </w:r>
          </w:p>
        </w:tc>
      </w:tr>
      <w:tr>
        <w:tc>
          <w:tcPr>
            <w:tcW w:type="dxa" w:w="2880"/>
          </w:tcPr>
          <w:p>
            <w:r/>
            <w:r>
              <w:rPr>
                <w:rFonts w:ascii="Times New Roman" w:hAnsi="Times New Roman"/>
                <w:b w:val="0"/>
                <w:sz w:val="20"/>
              </w:rPr>
              <w:t>Rotate</w:t>
            </w:r>
          </w:p>
        </w:tc>
        <w:tc>
          <w:tcPr>
            <w:tcW w:type="dxa" w:w="2880"/>
          </w:tcPr>
          <w:p>
            <w:r/>
            <w:r>
              <w:rPr>
                <w:rFonts w:ascii="Times New Roman" w:hAnsi="Times New Roman"/>
                <w:b w:val="0"/>
                <w:sz w:val="20"/>
              </w:rPr>
              <w:t>Old agent ID + new public key + rotation proof</w:t>
            </w:r>
          </w:p>
        </w:tc>
        <w:tc>
          <w:tcPr>
            <w:tcW w:type="dxa" w:w="2880"/>
          </w:tcPr>
          <w:p>
            <w:r/>
            <w:r>
              <w:rPr>
                <w:rFonts w:ascii="Times New Roman" w:hAnsi="Times New Roman"/>
                <w:b w:val="0"/>
                <w:sz w:val="20"/>
              </w:rPr>
              <w:t>Signed rotation token</w:t>
            </w:r>
          </w:p>
        </w:tc>
      </w:tr>
    </w:tbl>
    <w:p/>
    <w:p>
      <w:r>
        <w:rPr>
          <w:b w:val="0"/>
          <w:i w:val="0"/>
        </w:rPr>
        <w:t>The Signing Authority is the root of trust for the AITP system. Its own integrity MUST be protected through standard cryptographic infrastructure: HSM-backed signing keys, quorum-based access controls, and offline root keys. Compromise of the Signing Authority is a catastrophic event equivalent to compromise of a certificate authority.</w:t>
      </w:r>
    </w:p>
    <w:p>
      <w:pPr>
        <w:pStyle w:val="Heading2"/>
      </w:pPr>
      <w:r>
        <w:t>3.6 Revocation</w:t>
      </w:r>
    </w:p>
    <w:p>
      <w:r>
        <w:rPr>
          <w:b w:val="0"/>
          <w:i w:val="0"/>
        </w:rPr>
        <w:t>When an agent identity is compromised, revocation MUST be immediate and propagating.</w:t>
      </w:r>
    </w:p>
    <w:p>
      <w:r>
        <w:rPr>
          <w:b/>
          <w:i w:val="0"/>
        </w:rPr>
        <w:t>Revocation sequence:</w:t>
      </w:r>
    </w:p>
    <w:p>
      <w:pPr>
        <w:pStyle w:val="ListBullet"/>
      </w:pPr>
      <w:r>
        <w:t>Key revocation. The compromised agent's public key is added to the revocation list maintained by the Signing Authority. All subsequent signing requests from that identity are rejected.</w:t>
      </w:r>
    </w:p>
    <w:p>
      <w:pPr>
        <w:pStyle w:val="ListBullet"/>
      </w:pPr>
      <w:r>
        <w:t>Action freeze. All pending actions by the compromised identity (actions that have been attested but not yet executed, or actions awaiting co-signature) are frozen. Frozen actions MUST NOT be executed and MUST NOT be automatically resumed.</w:t>
      </w:r>
    </w:p>
    <w:p>
      <w:pPr>
        <w:pStyle w:val="ListBullet"/>
      </w:pPr>
      <w:r>
        <w:t>Blast radius containment. Revocation scope is one agent, one key, one scope manifest. Other agents in the system continue to operate. The compromised agent's scope manifest is voided; its permissions cease to exist.</w:t>
      </w:r>
    </w:p>
    <w:p>
      <w:pPr>
        <w:pStyle w:val="ListBullet"/>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pPr>
        <w:pStyle w:val="ListBullet"/>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pPr>
        <w:pStyle w:val="ListBullet"/>
      </w:pPr>
      <w:r>
        <w:t>Re-keying. If the compromised agent is to be restored to service, it receives a new key pair through the standard registration process. The new identity has no cryptographic relationship to the compromised identity. It is a new agent.</w:t>
      </w:r>
    </w:p>
    <w:p>
      <w:r>
        <w:rPr>
          <w:b w:val="0"/>
          <w:i w:val="0"/>
        </w:rPr>
        <w:t>Revocation is the containment mechanism. Without it, a compromised agent is a permanent liability. With it, compromise is bounded: bounded in time (from compromise to revocation), bounded in scope (one agent's permissions), and bounded in impact (downstream effects are traceable through the attestation chain). A revoked key MUST NOT be reinstated. A new key pair MUST be generated, bound to a new scope manifest, and re-authorized.</w:t>
      </w:r>
    </w:p>
    <w:p>
      <w:pPr>
        <w:pStyle w:val="Heading1"/>
      </w:pPr>
      <w:r>
        <w:t>4. Operational Tiers</w:t>
      </w:r>
    </w:p>
    <w:p>
      <w:r>
        <w:rPr>
          <w:b w:val="0"/>
          <w:i w:val="0"/>
        </w:rP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pPr>
        <w:pStyle w:val="Heading2"/>
      </w:pPr>
      <w:r>
        <w:t>4.1 Tier 1: Crawl (Low Trust)</w:t>
      </w:r>
    </w:p>
    <w:p>
      <w:r>
        <w:rPr>
          <w:b w:val="0"/>
          <w:i w:val="0"/>
        </w:rPr>
        <w:t>Tier 1 agents operate in read-only mode. They fetch, scrape, retrieve, and ingest external data. They are the system's interface with the untrusted world.</w:t>
      </w:r>
    </w:p>
    <w:p>
      <w:r>
        <w:rPr>
          <w:b/>
          <w:i w:val="0"/>
        </w:rPr>
        <w:t>Constraints:</w:t>
      </w:r>
    </w:p>
    <w:p>
      <w:pPr>
        <w:pStyle w:val="ListBullet"/>
      </w:pPr>
      <w:r>
        <w:t>All operations are read-only. A Tier 1 agent MUST NOT post content, send messages, write files to production storage, modify databases, or execute any operation that alters state beyond its quarantine scope.</w:t>
      </w:r>
    </w:p>
    <w:p>
      <w:pPr>
        <w:pStyle w:val="ListBullet"/>
      </w:pPr>
      <w:r>
        <w:t>All output is written to a quarantine buffer. The quarantine buffer is a write-once store that Tier 1 agents can append to but MUST NOT read from, modify, or delete.</w:t>
      </w:r>
    </w:p>
    <w:p>
      <w:pPr>
        <w:pStyle w:val="ListBullet"/>
      </w:pPr>
      <w:r>
        <w:t>Tier 1 agents MUST NOT communicate with other agents directly. Their only output channel is the quarantine buffer.</w:t>
      </w:r>
    </w:p>
    <w:p>
      <w:pPr>
        <w:pStyle w:val="ListBullet"/>
      </w:pPr>
      <w:r>
        <w:t>Tier 1 agents observe the world. They do not act on it.</w:t>
      </w:r>
    </w:p>
    <w:p>
      <w:r>
        <w:rPr>
          <w:b w:val="0"/>
          <w:i w:val="0"/>
        </w:rPr>
        <w:t>Blast radius if compromised: Corrupted data in the quarantine buffer. No downstream agent has acted on it yet. No external system has been affected. The quarantine buffer is designed to be inspected before anything in it is consumed. A compromised Tier 1 agent is a data integrity problem, not an operational security problem.</w:t>
      </w:r>
    </w:p>
    <w:p>
      <w:pPr>
        <w:pStyle w:val="Heading2"/>
      </w:pPr>
      <w:r>
        <w:t>4.2 Tier 2: Analysis (Medium Trust)</w:t>
      </w:r>
    </w:p>
    <w:p>
      <w:r>
        <w:rPr>
          <w:b w:val="0"/>
          <w:i w:val="0"/>
        </w:rPr>
        <w:t>Tier 2 agents read from the quarantine buffer populated by Tier 1 and produce structured output: drafted posts, proposed messages, code changes, analysis reports. They are the system's reasoning layer.</w:t>
      </w:r>
    </w:p>
    <w:p>
      <w:r>
        <w:rPr>
          <w:b/>
          <w:i w:val="0"/>
        </w:rPr>
        <w:t>Constraints:</w:t>
      </w:r>
    </w:p>
    <w:p>
      <w:pPr>
        <w:pStyle w:val="ListBullet"/>
      </w:pPr>
      <w:r>
        <w:t>Input comes from the quarantine buffer only. Tier 2 agents MUST NOT consume raw external content. Everything they process has been placed there by Tier 1 agents and is treated as untrusted-but-contained.</w:t>
      </w:r>
    </w:p>
    <w:p>
      <w:pPr>
        <w:pStyle w:val="ListBullet"/>
      </w:pPr>
      <w:r>
        <w:t>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pPr>
        <w:pStyle w:val="ListBullet"/>
      </w:pPr>
      <w:r>
        <w:t>Tier 2 agents MAY draft posts, compose messages, generate code changes, and prepare any output intended for external effect. However, a Tier 2 agent MUST NOT publish, send, commit, or execute any action that modifies state outside the review buffer.</w:t>
      </w:r>
    </w:p>
    <w:p>
      <w:r>
        <w:rPr>
          <w:b w:val="0"/>
          <w:i w:val="0"/>
        </w:rPr>
        <w:t>Blast radius if compromised: Malicious content in the review buffer. The content has not been published, sent, or committed. It must pass co-signature validation (Section 5) before any Tier 3 agent acts on it.</w:t>
      </w:r>
    </w:p>
    <w:p>
      <w:pPr>
        <w:pStyle w:val="Heading2"/>
      </w:pPr>
      <w:r>
        <w:t>4.3 Tier 3: Action (High Trust)</w:t>
      </w:r>
    </w:p>
    <w:p>
      <w:r>
        <w:rPr>
          <w:b w:val="0"/>
          <w:i w:val="0"/>
        </w:rPr>
        <w:t>Tier 3 is the boundary where agent output touches the real world. Posts go live. Code is committed. Messages are sent. Files are written to production. Every Tier 3 action requires co-signature as defined in Section 5.</w:t>
      </w:r>
    </w:p>
    <w:p>
      <w:r>
        <w:rPr>
          <w:b/>
          <w:i w:val="0"/>
        </w:rPr>
        <w:t>Constraints:</w:t>
      </w:r>
    </w:p>
    <w:p>
      <w:pPr>
        <w:pStyle w:val="ListBullet"/>
      </w:pPr>
      <w:r>
        <w:t>All Tier 3 operations MUST require co-signature. No single agent can execute a Tier 3 action unilaterally.</w:t>
      </w:r>
    </w:p>
    <w:p>
      <w:pPr>
        <w:pStyle w:val="ListBullet"/>
      </w:pPr>
      <w:r>
        <w:t>Input comes from the review buffer only. Tier 3 agents do not draft, compose, or generate. They execute pre-approved actions.</w:t>
      </w:r>
    </w:p>
    <w:p>
      <w:pPr>
        <w:pStyle w:val="ListBullet"/>
      </w:pPr>
      <w:r>
        <w:t>Every Tier 3 action MUST produce an attestation record that includes both the acting agent's signature and the co-signer's signature.</w:t>
      </w:r>
    </w:p>
    <w:p>
      <w:r>
        <w:rPr>
          <w:b/>
          <w:i w:val="0"/>
        </w:rPr>
        <w:t>Co-signature requirements for Tier 3 execution: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Action Type</w:t>
            </w:r>
          </w:p>
        </w:tc>
        <w:tc>
          <w:tcPr>
            <w:tcW w:type="dxa" w:w="4320"/>
          </w:tcPr>
          <w:p>
            <w:r/>
            <w:r>
              <w:rPr>
                <w:rFonts w:ascii="Times New Roman" w:hAnsi="Times New Roman"/>
                <w:b/>
                <w:sz w:val="20"/>
              </w:rPr>
              <w:t>Required Co-signature</w:t>
            </w:r>
          </w:p>
        </w:tc>
      </w:tr>
      <w:tr>
        <w:tc>
          <w:tcPr>
            <w:tcW w:type="dxa" w:w="4320"/>
          </w:tcPr>
          <w:p>
            <w:r/>
            <w:r>
              <w:rPr>
                <w:rFonts w:ascii="Times New Roman" w:hAnsi="Times New Roman"/>
                <w:b w:val="0"/>
                <w:sz w:val="20"/>
              </w:rPr>
              <w:t>Standard publish/send/commit</w:t>
            </w:r>
          </w:p>
        </w:tc>
        <w:tc>
          <w:tcPr>
            <w:tcW w:type="dxa" w:w="4320"/>
          </w:tcPr>
          <w:p>
            <w:r/>
            <w:r>
              <w:rPr>
                <w:rFonts w:ascii="Times New Roman" w:hAnsi="Times New Roman"/>
                <w:b w:val="0"/>
                <w:sz w:val="20"/>
              </w:rPr>
              <w:t>Two Tier 2 agents agreeing, OR one Tier 2 agent plus orchestrator</w:t>
            </w:r>
          </w:p>
        </w:tc>
      </w:tr>
      <w:tr>
        <w:tc>
          <w:tcPr>
            <w:tcW w:type="dxa" w:w="4320"/>
          </w:tcPr>
          <w:p>
            <w:r/>
            <w:r>
              <w:rPr>
                <w:rFonts w:ascii="Times New Roman" w:hAnsi="Times New Roman"/>
                <w:b w:val="0"/>
                <w:sz w:val="20"/>
              </w:rPr>
              <w:t>Destructive operations (delete, overwrite, revoke)</w:t>
            </w:r>
          </w:p>
        </w:tc>
        <w:tc>
          <w:tcPr>
            <w:tcW w:type="dxa" w:w="4320"/>
          </w:tcPr>
          <w:p>
            <w:r/>
            <w:r>
              <w:rPr>
                <w:rFonts w:ascii="Times New Roman" w:hAnsi="Times New Roman"/>
                <w:b w:val="0"/>
                <w:sz w:val="20"/>
              </w:rPr>
              <w:t>Orchestrator co-signature required</w:t>
            </w:r>
          </w:p>
        </w:tc>
      </w:tr>
      <w:tr>
        <w:tc>
          <w:tcPr>
            <w:tcW w:type="dxa" w:w="4320"/>
          </w:tcPr>
          <w:p>
            <w:r/>
            <w:r>
              <w:rPr>
                <w:rFonts w:ascii="Times New Roman" w:hAnsi="Times New Roman"/>
                <w:b w:val="0"/>
                <w:sz w:val="20"/>
              </w:rPr>
              <w:t>Highest consequence (financial, legal, public-facing, safety-critical)</w:t>
            </w:r>
          </w:p>
        </w:tc>
        <w:tc>
          <w:tcPr>
            <w:tcW w:type="dxa" w:w="4320"/>
          </w:tcPr>
          <w:p>
            <w:r/>
            <w:r>
              <w:rPr>
                <w:rFonts w:ascii="Times New Roman" w:hAnsi="Times New Roman"/>
                <w:b w:val="0"/>
                <w:sz w:val="20"/>
              </w:rPr>
              <w:t>Human co-signature via out-of-band channel</w:t>
            </w:r>
          </w:p>
        </w:tc>
      </w:tr>
    </w:tbl>
    <w:p>
      <w:pPr>
        <w:pStyle w:val="Heading2"/>
      </w:pPr>
      <w:r>
        <w:t>4.4 Tier Separation Principles</w:t>
      </w:r>
    </w:p>
    <w:p>
      <w:r>
        <w:rPr>
          <w:b/>
          <w:i w:val="0"/>
        </w:rPr>
        <w:t>Tiers are not labels. They are architectural boundaries.</w:t>
      </w:r>
    </w:p>
    <w:p>
      <w:pPr>
        <w:pStyle w:val="ListBullet"/>
      </w:pPr>
      <w:r>
        <w:t>No tier skipping. Data MUST flow Tier 1 to Tier 2 to Tier 3 in sequence. A Tier 1 agent cannot trigger a Tier 3 action directly. There is no fast path from ingestion to action.</w:t>
      </w:r>
    </w:p>
    <w:p>
      <w:pPr>
        <w:pStyle w:val="ListBullet"/>
      </w:pPr>
      <w:r>
        <w:t>No shared execution context. Agents at different tiers MUST NOT share context windows, memory, tool sets, credential stores, processes, memory spaces, or network segments where feasible.</w:t>
      </w:r>
    </w:p>
    <w:p>
      <w:pPr>
        <w:pStyle w:val="ListBullet"/>
      </w:pPr>
      <w:r>
        <w:t>Autonomy is preserved. Dual authorization for standard operations is agent-to-agent. Human involvement is reserved for edge cases, disagreements, and highest-consequence decisions. The goal is not to put a human in every loop but to ensure that no single agent, operating alone, can cause irreversible external effect.</w:t>
      </w:r>
    </w:p>
    <w:p>
      <w:pPr>
        <w:pStyle w:val="Heading1"/>
      </w:pPr>
      <w:r>
        <w:t>5. Co-Signature Protocol (Two-Person Integrity)</w:t>
      </w:r>
    </w:p>
    <w:p>
      <w:pPr>
        <w:pStyle w:val="Heading2"/>
      </w:pPr>
      <w:r>
        <w:t>5.1 Two-Person Integrity for Autonomous Systems</w:t>
      </w:r>
    </w:p>
    <w:p>
      <w:r>
        <w:rPr>
          <w:b w:val="0"/>
          <w:i w:val="0"/>
        </w:rPr>
        <w:t>Two-Person Integrity (TPI) is a security control with a long operational history. Nuclear launch systems require two officers turning two keys simultaneously. Banking systems require dual authorization above transaction thresholds. Intelligence agencies require co-signatures on sensitive operations. The principle is the same in every domain: no single point of compromise can trigger a consequential action. Its application to agentic AI systems is novel.</w:t>
      </w:r>
    </w:p>
    <w:p>
      <w:r>
        <w:rPr>
          <w:b w:val="0"/>
          <w:i w:val="0"/>
        </w:rPr>
        <w:t>AITP applies TPI to agent operations. The agent framework industry optimizes for autonomy: more tools, more delegation, less human friction. Nobody is building the trust constraint layer. That is the gap AITP fills.</w:t>
      </w:r>
    </w:p>
    <w:p>
      <w:pPr>
        <w:pStyle w:val="Heading2"/>
      </w:pPr>
      <w:r>
        <w:t>5.2 Co-Signer Classes</w:t>
      </w:r>
    </w:p>
    <w:p>
      <w:r>
        <w:rPr>
          <w:b w:val="0"/>
          <w:i w:val="0"/>
        </w:rPr>
        <w:t>AITP defines three classes of valid co-signers, each with distinct trust properties:</w:t>
      </w:r>
    </w:p>
    <w:p>
      <w:r/>
      <w:r>
        <w:rPr>
          <w:b/>
        </w:rPr>
        <w:t>Peer Agent.</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The peer MUST NOT share an execution context, upstream data source, or tool set with the requesting agent. Compromise of the requesting agent does not imply compromise of the peer.</w:t>
      </w:r>
    </w:p>
    <w:p>
      <w:r/>
      <w:r>
        <w:rPr>
          <w:b/>
        </w:rPr>
        <w:t>Orchestrator.</w:t>
      </w:r>
      <w:r>
        <w:t xml:space="preserve"> A supervisory agent (Siv-class or equivalent)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draft messages, or produce analysis. It validates that proposed actions are authorized and procedurally sound. It is a policy enforcer, not a decision maker.</w:t>
      </w:r>
    </w:p>
    <w:p>
      <w:r/>
      <w:r>
        <w:rPr>
          <w:b/>
        </w:rPr>
        <w:t>Human Operator.</w:t>
      </w:r>
      <w:r>
        <w:t xml:space="preserve"> A human who confirms authorization via out-of-band communication channel using a one-time cryptographic nonce. The out-of-band requirement prevents a compromised agent from simulating human approval within the system's primary communication channel. Out-of-band means a communication channel that is architecturally separate from the agent's communication channels. This is not a chat message saying "approve?" It is a cryptographic confirmation through an independent system.</w:t>
      </w:r>
    </w:p>
    <w:p>
      <w:pPr>
        <w:pStyle w:val="Heading2"/>
      </w:pPr>
      <w:r>
        <w:t>5.3 Co-Signature Requirements by Tier Transition</w:t>
      </w:r>
    </w:p>
    <w:p>
      <w:r/>
      <w:r>
        <w:rPr>
          <w:b/>
        </w:rPr>
        <w:t>Tier 1 to Tier 2 (quarantine to analysis).</w:t>
      </w:r>
      <w:r>
        <w:t xml:space="preserve"> 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r/>
      <w:r>
        <w:rPr>
          <w:b/>
        </w:rPr>
        <w:t>Tier 2 to Tier 3 (review to execution).</w:t>
      </w:r>
      <w:r>
        <w:t xml:space="preserve"> Requires review and co-signature by a Tier 2 agent of different architecture than the agent that produced the output. The reviewing agent checks for: credential leakage, internal data exposure (file paths, database schemas, infrastructure details), prompt injection artifacts (embedded instructions, role-override attempts, encoding-masked directives), and content alignment with the stated task. The reviewer's attestation record is bound to the specific output hash it reviewed. The reviewer does not evaluate correctness. It evaluates safety.</w:t>
      </w:r>
    </w:p>
    <w:p>
      <w:r/>
      <w:r>
        <w:rPr>
          <w:b/>
        </w:rPr>
        <w:t>Destructive operations.</w:t>
      </w:r>
      <w:r>
        <w:t xml:space="preserve"> 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r/>
      <w:r>
        <w:rPr>
          <w:b/>
        </w:rPr>
        <w:t>Highest-consequence operations.</w:t>
      </w:r>
      <w:r>
        <w:t xml:space="preserve"> Human co-signature required via out-of-band nonce. The nonce is single-use, time-bounded, and cryptographically tied to the specific action being authorized.</w:t>
      </w:r>
    </w:p>
    <w:p>
      <w:pPr>
        <w:pStyle w:val="Heading2"/>
      </w:pPr>
      <w:r>
        <w:t>5.4 Signing Authority Integration</w:t>
      </w:r>
    </w:p>
    <w:p>
      <w:r>
        <w:rPr>
          <w:b w:val="0"/>
          <w:i w:val="0"/>
        </w:rP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pPr>
        <w:pStyle w:val="Heading1"/>
      </w:pPr>
      <w:r>
        <w:t>6. Revocation and Recovery</w:t>
      </w:r>
    </w:p>
    <w:p>
      <w:pPr>
        <w:pStyle w:val="Heading2"/>
      </w:pPr>
      <w:r>
        <w:t>6.1 Revocation Model</w:t>
      </w:r>
    </w:p>
    <w:p>
      <w:r>
        <w:rPr>
          <w:b w:val="0"/>
          <w:i w:val="0"/>
        </w:rPr>
        <w:t>Compromise is an operational certainty. Any trust architecture that does not include a revocation mechanism is incomplete. AITP treats revocation as a first-class operation with defined triggers, immediate effects, and a recovery path.</w:t>
      </w:r>
    </w:p>
    <w:p>
      <w:r>
        <w:rPr>
          <w:b/>
          <w:i w:val="0"/>
        </w:rPr>
        <w:t>When compromise is detected, the response sequence is:</w:t>
      </w:r>
    </w:p>
    <w:p>
      <w:pPr>
        <w:pStyle w:val="ListBullet"/>
      </w:pPr>
      <w:r>
        <w:t>Immediate key revocation. The compromised agent's public key is added to the Signing Authority's revocation list. All subsequent signing requests from that identity are rejected. This is instantaneous.</w:t>
      </w:r>
    </w:p>
    <w:p>
      <w:pPr>
        <w:pStyle w:val="ListBullet"/>
      </w:pPr>
      <w:r>
        <w:t>Action freeze. All pending actions from the compromised identity are frozen. Actions awaiting co-signature are not co-signed. Actions awaiting execution are not executed. The freeze is automatic upon revocation; it does not require a separate command.</w:t>
      </w:r>
    </w:p>
    <w:p>
      <w:pPr>
        <w:pStyle w:val="ListBullet"/>
      </w:pPr>
      <w:r>
        <w:t>Blast radius containment. Revocation scope is one agent, one key, one scope manifest. No ambient authority means the compromised agent cannot escalate to other agents' permissions. Other agents continue to operate normally.</w:t>
      </w:r>
    </w:p>
    <w:p>
      <w:pPr>
        <w:pStyle w:val="ListBullet"/>
      </w:pPr>
      <w:r>
        <w:t>Audit chain reconstruction. The attestation chain (Section 3.3) provides a complete record of every action the compromised agent took, with what inputs, producing what outputs, and at what times. Investigators can reconstruct the full operational history without relying on the agent itself.</w:t>
      </w:r>
    </w:p>
    <w:p>
      <w:pPr>
        <w:pStyle w:val="Heading2"/>
      </w:pPr>
      <w:r>
        <w:t>6.2 Revocation Triggers</w:t>
      </w:r>
    </w:p>
    <w:p>
      <w:r>
        <w:rPr>
          <w:b w:val="0"/>
          <w:i w:val="0"/>
        </w:rPr>
        <w:t>Revocation MAY be triggered by:</w:t>
      </w:r>
    </w:p>
    <w:p>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pPr>
        <w:pStyle w:val="ListBullet"/>
      </w:pPr>
      <w:r>
        <w:t>Failed attestation verification. An attestation record fails signature verification, hash chain validation, or scope consistency checks. This indicates either key compromise or data tampering.</w:t>
      </w:r>
    </w:p>
    <w:p>
      <w:pPr>
        <w:pStyle w:val="ListBullet"/>
      </w:pPr>
      <w:r>
        <w:t>Human override. A human operator initiates revocation through the Signing Authority. This is the manual circuit breaker.</w:t>
      </w:r>
    </w:p>
    <w:p>
      <w:pPr>
        <w:pStyle w:val="ListBullet"/>
      </w:pPr>
      <w:r>
        <w:t>Signing Authority policy violation. The agent submits a signing request that violates a deterministic policy rule: out-of-scope action, expired key, exceeded rate limit, missing co-signature for a required action class.</w:t>
      </w:r>
    </w:p>
    <w:p>
      <w:pPr>
        <w:pStyle w:val="Heading2"/>
      </w:pPr>
      <w:r>
        <w:t>6.3 Recovery</w:t>
      </w:r>
    </w:p>
    <w:p>
      <w:r>
        <w:rPr>
          <w:b/>
          <w:i w:val="0"/>
        </w:rPr>
        <w:t>Recovery follows a defined sequence. There is no shortcut.</w:t>
      </w:r>
    </w:p>
    <w:p>
      <w:pPr>
        <w:pStyle w:val="ListBullet"/>
      </w:pPr>
      <w:r>
        <w:t>New identity issuance. A new Ed25519 key pair is generated through the standard registration process. The new identity has no cryptographic relationship to the compromised identity. It is a new agent.</w:t>
      </w:r>
    </w:p>
    <w:p>
      <w:pPr>
        <w:pStyle w:val="ListBullet"/>
      </w:pPr>
      <w:r>
        <w:t>Tier reset. The recovered agent re-enters the system at Tier 1. It MUST re-earn tier promotion through normal operational history. There is no fast-track back to the trust level it held before compromise.</w:t>
      </w:r>
    </w:p>
    <w:p>
      <w:pPr>
        <w:pStyle w:val="ListBullet"/>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pPr>
        <w:pStyle w:val="ListBullet"/>
      </w:pPr>
      <w:r>
        <w:t>Incident record. A revocation incident record MUST be appended to the immutable audit log. The record includes: the compromised identity, the revocation trigger, the estimated compromise window, the list of frozen actions, and the list of downstream agents flagged for review. This record is permanent and MUST NOT be modified or deleted.</w:t>
      </w:r>
    </w:p>
    <w:p>
      <w:pPr>
        <w:pStyle w:val="Heading2"/>
      </w:pPr>
      <w:r>
        <w:t>6.4 Containment Properties</w:t>
      </w:r>
    </w:p>
    <w:p>
      <w:r>
        <w:rPr>
          <w:b w:val="0"/>
          <w:i w:val="0"/>
        </w:rPr>
        <w:t>Revocation provides three containment guarantees:</w:t>
      </w:r>
    </w:p>
    <w:p>
      <w:pPr>
        <w:pStyle w:val="ListBullet"/>
      </w:pPr>
      <w:r>
        <w:t>Bounded in time. Compromise runs from the moment of actual compromise to the moment of revocation. The attestation chain makes the time boundary determinable.</w:t>
      </w:r>
    </w:p>
    <w:p>
      <w:pPr>
        <w:pStyle w:val="ListBullet"/>
      </w:pPr>
      <w:r>
        <w:t>Bounded in scope. Compromise affects one agent's permissions. No ambient authority, no implicit trust inheritance, no shared credentials between agents.</w:t>
      </w:r>
    </w:p>
    <w:p>
      <w:pPr>
        <w:pStyle w:val="ListBullet"/>
      </w:pPr>
      <w:r>
        <w:t>Bounded in impact. Downstream effects are traceable. Every agent that consumed output from the compromised agent is identifiable through the attestation chain. Every action influenced by the compromised output is flagged.</w:t>
      </w:r>
    </w:p>
    <w:p>
      <w:r>
        <w:rPr>
          <w:b w:val="0"/>
          <w:i w:val="0"/>
        </w:rPr>
        <w:t>Without revocation, a compromised agent is a permanent liability with unbounded blast radius. With revocation, compromise is a contained incident with a defined recovery path.</w:t>
      </w:r>
    </w:p>
    <w:p>
      <w:pPr>
        <w:pStyle w:val="Heading1"/>
      </w:pPr>
      <w:r>
        <w:t>7. Distributed Deterministic Attestation (DDA)</w:t>
      </w:r>
    </w:p>
    <w:p>
      <w:r>
        <w:rPr>
          <w:b w:val="0"/>
          <w:i w:val="0"/>
        </w:rP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r>
        <w:rPr>
          <w:b/>
          <w:i w:val="0"/>
        </w:rPr>
        <w:t>DDA is built on three design principles:</w:t>
      </w:r>
    </w:p>
    <w:p>
      <w:pPr>
        <w:pStyle w:val="ListBullet"/>
      </w:pPr>
      <w:r>
        <w:t>Distributed. The verification workload is sharded across many agents. No single agent sees the entire corpus. Each agent signs its assigned slice.</w:t>
      </w:r>
    </w:p>
    <w:p>
      <w:pPr>
        <w:pStyle w:val="ListBullet"/>
      </w:pPr>
      <w:r>
        <w:t>Deterministic. Verification at each tier is mechanically reproducible. No language model participates in the validation loop. Attestation validity is provable by re-execution.</w:t>
      </w:r>
    </w:p>
    <w:p>
      <w:pPr>
        <w:pStyle w:val="ListBullet"/>
      </w:pPr>
      <w:r>
        <w:t>Attestation. Every agent signs a cryptographic attestation for its slice. The attestation chain is the proof artifact. It can be independently verified without re-running the analysis.</w:t>
      </w:r>
    </w:p>
    <w:p>
      <w:pPr>
        <w:pStyle w:val="Heading2"/>
      </w:pPr>
      <w:r>
        <w:t>7.1 Shard Mathematics</w:t>
      </w:r>
    </w:p>
    <w:p>
      <w:r>
        <w:rPr>
          <w:b w:val="0"/>
          <w:i w:val="0"/>
        </w:rPr>
        <w:t>Given a corpus of S items distributed across n agents, each agent receives S/n items with boundary overlap. S mod n MUST equal 0 (the corpus is padded if necessary). Boundary overlap means adjacent shards share items at their edges, creating independent cross-checks without requiring a separate validation pass. Disagreements at shard boundaries are the first signal of anomaly.</w:t>
      </w:r>
    </w:p>
    <w:p>
      <w:pPr>
        <w:pStyle w:val="Heading2"/>
      </w:pPr>
      <w:r>
        <w:t>7.2 Hierarchical Verification Pyramid</w:t>
      </w:r>
    </w:p>
    <w:p>
      <w:r>
        <w:rPr>
          <w:b w:val="0"/>
          <w:i w:val="0"/>
        </w:rPr>
        <w:t>DDA defines a five-tier verification pyramid:</w:t>
      </w:r>
    </w:p>
    <w:p>
      <w:r/>
      <w:r>
        <w:rPr>
          <w:b/>
        </w:rPr>
        <w:t>Tier 0 (Raw Validation).</w:t>
      </w:r>
      <w:r>
        <w:t xml:space="preserve"> Approximately 1,000 agents, each processing approximately 6,000 files. Agents perform structural validation, hash verification, format compliance, and content classification. Each agent produces a signed attestation for its shard. Boundary overlap between adjacent shards provides built-in cross-verification.</w:t>
      </w:r>
    </w:p>
    <w:p>
      <w:r/>
      <w:r>
        <w:rPr>
          <w:b/>
        </w:rPr>
        <w:t>Tier 1 (Cross-Validation).</w:t>
      </w:r>
      <w:r>
        <w:t xml:space="preserve"> Approximately 50 agents operating on a different model architecture than Tier 0. These agents receive only anomalies and boundary disagreements from Tier 0, not the full corpus. They produce meta-attestations that either confirm or challenge Tier 0 findings.</w:t>
      </w:r>
    </w:p>
    <w:p>
      <w:r/>
      <w:r>
        <w:rPr>
          <w:b/>
        </w:rPr>
        <w:t>Tier 2 (Aggregation).</w:t>
      </w:r>
      <w:r>
        <w:t xml:space="preserve"> Approximately 10 agents operating on an offline, air-gapped model. These agents receive pattern clusters and anomaly summaries from Tier 1. They produce confidence scores and identify systemic patterns that span multiple shards.</w:t>
      </w:r>
    </w:p>
    <w:p>
      <w:r/>
      <w:r>
        <w:rPr>
          <w:b/>
        </w:rPr>
        <w:t>Tier 3 (Summary).</w:t>
      </w:r>
      <w:r>
        <w:t xml:space="preserve"> Two agents of different architectures independently review the Tier 2 output. Agreement between both agents confirms the finding. Disagreement triggers escalation to Tier 4.</w:t>
      </w:r>
    </w:p>
    <w:p>
      <w:r/>
      <w:r>
        <w:rPr>
          <w:b/>
        </w:rPr>
        <w:t>Tier 4 (Human Orchestrator).</w:t>
      </w:r>
      <w:r>
        <w:t xml:space="preserve"> A human decision-maker receives single-digit decision points distilled from the entire corpus. The human acts on summaries, not raw data.</w:t>
      </w:r>
    </w:p>
    <w:p>
      <w:r>
        <w:rPr>
          <w:b w:val="0"/>
          <w:i/>
        </w:rPr>
        <w:t>The cascade for a six-million-file corpus: 6,000,000 files produce approximately 30,000 anomalies at Tier 0, reduced to approximately 500 cross-validation items at Tier 1, aggregated to approximately 20 pattern clusters at Tier 2, summarized to 2 independent reports at Tier 3, yielding single-digit decision points for the human at Tier 4.</w:t>
      </w:r>
    </w:p>
    <w:p>
      <w:pPr>
        <w:pStyle w:val="Heading2"/>
      </w:pPr>
      <w:r>
        <w:t>7.3 Cross-Architecture Requirement</w:t>
      </w:r>
    </w:p>
    <w:p>
      <w:r>
        <w:rPr>
          <w:b w:val="0"/>
          <w:i w:val="0"/>
        </w:rP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pPr>
        <w:pStyle w:val="Heading2"/>
      </w:pPr>
      <w:r>
        <w:t>7.4 Anomaly Resolution Agent (ARA)</w:t>
      </w:r>
    </w:p>
    <w:p>
      <w:r>
        <w:rPr>
          <w:b w:val="0"/>
          <w:i w:val="0"/>
        </w:rP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r>
        <w:rPr>
          <w:b/>
          <w:i w:val="0"/>
        </w:rPr>
        <w:t>The ARA resolution loop produces one of three outcomes per iteration:</w:t>
      </w:r>
    </w:p>
    <w:p>
      <w:r/>
      <w:r>
        <w:rPr>
          <w:b/>
        </w:rPr>
        <w:t>Outcome A: Resolved, requires human approval.</w:t>
      </w:r>
      <w:r>
        <w:t xml:space="preserve"> The ARA identifies a deterministic cause (e.g., an agent crashed mid-slice, a shard was incompletely processed) and recommends a specific corrective action such as reprocessing the affected shard. The recommendation requires human sign-off before execution.</w:t>
      </w:r>
    </w:p>
    <w:p>
      <w:r/>
      <w:r>
        <w:rPr>
          <w:b/>
        </w:rPr>
        <w:t>Outcome B: Cannot resolve, escalate.</w:t>
      </w:r>
      <w:r>
        <w:t xml:space="preserve"> Both sides of the disagreement are internally consistent. The conflict is genuinely ambiguous. The ARA documents both positions and escalates to the human orchestrator at Tier 4.</w:t>
      </w:r>
    </w:p>
    <w:p>
      <w:r/>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r>
        <w:rPr>
          <w:b w:val="0"/>
          <w:i w:val="0"/>
        </w:rP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pPr>
        <w:pStyle w:val="Heading1"/>
      </w:pPr>
      <w:r>
        <w:t>8. Resilience Requirements</w:t>
      </w:r>
    </w:p>
    <w:p>
      <w:r>
        <w:rPr>
          <w:b w:val="0"/>
          <w:i w:val="0"/>
        </w:rP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pPr>
        <w:pStyle w:val="Heading2"/>
      </w:pPr>
      <w:r>
        <w:t>8.1 Hybrid Architecture Requirement</w:t>
      </w:r>
    </w:p>
    <w:p>
      <w:r>
        <w:rPr>
          <w:b w:val="0"/>
          <w:i w:val="0"/>
        </w:rPr>
        <w:t>AITP-compliant systems MUST implement a hybrid execution architecture spanning at least two of the following three deployment classes:</w:t>
      </w:r>
    </w:p>
    <w:p>
      <w:r/>
      <w:r>
        <w:rPr>
          <w:b/>
        </w:rPr>
        <w:t>Cloud (target: 80% of operational workload).</w:t>
      </w:r>
      <w:r>
        <w:t xml:space="preserve"> Cloud-hosted models (Opus, Sonnet, GPT-class, or equivalent) provide the primary intelligence layer. Cloud infrastructure is fast, capable, and fragile: it depends on network connectivity, provider availability, and third-party operational decisions outside the system operator's control.</w:t>
      </w:r>
    </w:p>
    <w:p>
      <w:r/>
      <w:r>
        <w:rPr>
          <w:b/>
        </w:rPr>
        <w:t>Local (target: 15% of operational workload).</w:t>
      </w:r>
      <w:r>
        <w:t xml:space="preserve"> Locally hosted models (Llama, Qwen, Mistral, or equivalent) running on operator-controlled hardware provide a continuity layer. Local models are slower and less capable than cloud models but operate independently of external providers.</w:t>
      </w:r>
    </w:p>
    <w:p>
      <w:r/>
      <w:r>
        <w:rPr>
          <w:b/>
        </w:rPr>
        <w:t>Offline (target: 5% of operational workload).</w:t>
      </w:r>
      <w:r>
        <w:t xml:space="preserve"> Air-gapped models with no network connectivity perform trust-critical validation tasks. Offline nodes cannot be compromised via network-based attacks. At least one verification node in the DDA pyramid (Section 7) MUST operate without external connectivity.</w:t>
      </w:r>
    </w:p>
    <w:p>
      <w:pPr>
        <w:pStyle w:val="Heading2"/>
      </w:pPr>
      <w:r>
        <w:t>8.2 Degradation Behavior</w:t>
      </w:r>
    </w:p>
    <w:p>
      <w:r>
        <w:rPr>
          <w:b w:val="0"/>
          <w:i w:val="0"/>
        </w:rPr>
        <w:t>When the cloud layer is unavailable, the local and offline layers absorb the workload. Operations are slower. Capability is reduced. But the system remains operational. The mission does not stop. The trust chain does not break.</w:t>
      </w:r>
    </w:p>
    <w:p>
      <w:r>
        <w:rPr>
          <w:b w:val="0"/>
          <w:i w:val="0"/>
        </w:rPr>
        <w:t>The air-gapped validator is elevated from an optional deployment to a REQUIREMENT. Any trust standard that depends on a single external provider for its verification infrastructure is not a trust standard. It is an availability bet.</w:t>
      </w:r>
    </w:p>
    <w:p>
      <w:pPr>
        <w:pStyle w:val="Heading1"/>
      </w:pPr>
      <w:r>
        <w:t>9. Security Considerations</w:t>
      </w:r>
    </w:p>
    <w:p>
      <w:r>
        <w:rPr>
          <w:b w:val="0"/>
          <w:i w:val="0"/>
        </w:rPr>
        <w:t>This section identifies security properties, assumptions, and residual risks that implementers MUST consider when deploying AITP-compliant systems.</w:t>
      </w:r>
    </w:p>
    <w:p>
      <w:pPr>
        <w:pStyle w:val="Heading2"/>
      </w:pPr>
      <w:r>
        <w:t>9.1 Root of Trust Protection</w:t>
      </w:r>
    </w:p>
    <w:p>
      <w:r>
        <w:rPr>
          <w:b w:val="0"/>
          <w:i w:val="0"/>
        </w:rPr>
        <w:t>The Signing Authority constitutes the root of trust for the entire AITP architecture. Its compromise is equivalent to the compromise of a certificate authority in PKI. Implementers MUST protect the Signing Authority with HSM-backed signing keys, quorum-based administrative access controls, and offline root key storage. The Signing Authority SHOULD be deployed as a minimal-surface service with no unnecessary network exposure, no dynamic code loading, and no dependency on components that process natural language.</w:t>
      </w:r>
    </w:p>
    <w:p>
      <w:pPr>
        <w:pStyle w:val="Heading2"/>
      </w:pPr>
      <w:r>
        <w:t>9.2 Key Management</w:t>
      </w:r>
    </w:p>
    <w:p>
      <w:r>
        <w:rPr>
          <w:b w:val="0"/>
          <w:i w:val="0"/>
        </w:rPr>
        <w:t>Agent private keys MUST NOT be accessible to agent application logic. Signing operations MUST be performed by a keystore service on the agent's behalf. On platforms that support hardware security modules or trusted platform modules, private keys SHOULD be stored in hardware-backed enclaves. Key rotation schedules MUST be enforced automatically; manual rotation is insufficient for systems operating at agent scale.</w:t>
      </w:r>
    </w:p>
    <w:p>
      <w:pPr>
        <w:pStyle w:val="Heading2"/>
      </w:pPr>
      <w:r>
        <w:t>9.3 Attestation Log Integrity</w:t>
      </w:r>
    </w:p>
    <w:p>
      <w:r>
        <w:rPr>
          <w:b w:val="0"/>
          <w:i w:val="0"/>
        </w:rPr>
        <w:t>The append-only attestation log is the evidentiary foundation of AITP. Implementers MUST ensure that the log storage backend enforces append-only semantics at the storage layer, not merely at the application layer. Options include write-once media, append-only filesystems, blockchain-backed storage, or distributed append-only logs with independent witnesses. The attestation log SHOULD be replicated to at least two geographically separated locations.</w:t>
      </w:r>
    </w:p>
    <w:p>
      <w:pPr>
        <w:pStyle w:val="Heading2"/>
      </w:pPr>
      <w:r>
        <w:t>9.4 Side-Channel Risks</w:t>
      </w:r>
    </w:p>
    <w:p>
      <w:r>
        <w:rPr>
          <w:b w:val="0"/>
          <w:i w:val="0"/>
        </w:rPr>
        <w:t>AITP's attestation and co-signature mechanisms address the integrity of agent actions but do not directly mitigate all side-channel risks. Timing attacks against the Signing Authority, power analysis of hardware keystores, and network traffic analysis of agent communication patterns represent residual risks that fall outside the scope of this specification but SHOULD be addressed in deployment-specific security assessments.</w:t>
      </w:r>
    </w:p>
    <w:p>
      <w:pPr>
        <w:pStyle w:val="Heading2"/>
      </w:pPr>
      <w:r>
        <w:t>9.5 Denial of Service Against the Signing Authority</w:t>
      </w:r>
    </w:p>
    <w:p>
      <w:r>
        <w:rPr>
          <w:b w:val="0"/>
          <w:i w:val="0"/>
        </w:rPr>
        <w:t>Because all consequential agent actions require Signing Authority validation, the Signing Authority is a natural target for denial-of-service attacks. An unavailable Signing Authority halts all Tier 3 operations. Implementers MUST deploy the Signing Authority with sufficient redundancy and rate limiting to maintain availability under adversarial conditions. Degradation behavior (Section 8) applies: a temporarily unavailable Signing Authority SHOULD cause Tier 3 actions to queue, not fail permanently.</w:t>
      </w:r>
    </w:p>
    <w:p>
      <w:pPr>
        <w:pStyle w:val="Heading2"/>
      </w:pPr>
      <w:r>
        <w:t>9.6 Multi-Tenancy Isolation</w:t>
      </w:r>
    </w:p>
    <w:p>
      <w:r>
        <w:rPr>
          <w:b w:val="0"/>
          <w:i w:val="0"/>
        </w:rPr>
        <w:t>In deployments where multiple organizations share AITP infrastructure, agent identities, scope manifests, attestation logs, and revocation lists MUST be isolated per tenant. Cross-tenant key sharing, cross-tenant co-signing, and cross-tenant attestation chain access MUST NOT be permitted unless explicitly configured by both tenants through a mutual trust agreement registered with the Signing Authority.</w:t>
      </w:r>
    </w:p>
    <w:p>
      <w:pPr>
        <w:pStyle w:val="Heading2"/>
      </w:pPr>
      <w:r>
        <w:t>9.7 Cryptographic Algorithm Agility</w:t>
      </w:r>
    </w:p>
    <w:p>
      <w:r>
        <w:rPr>
          <w:b w:val="0"/>
          <w:i w:val="0"/>
        </w:rPr>
        <w:t>This specification mandates Ed25519 for agent identity and SHA-256/SHA-512 for attestation hashing. Implementers SHOULD design systems to support algorithm migration (e.g., transition to post-quantum signature schemes) without requiring full re-registration of all agent identities. Algorithm identifiers SHOULD be included in attestation records to enable forward-compatible verification.</w:t>
      </w:r>
    </w:p>
    <w:p>
      <w:pPr>
        <w:pStyle w:val="Heading1"/>
      </w:pPr>
      <w:r>
        <w:t>10. What AITP Does Not Solve</w:t>
      </w:r>
    </w:p>
    <w:p>
      <w:r>
        <w:rPr>
          <w:b w:val="0"/>
          <w:i w:val="0"/>
        </w:rPr>
        <w:t>AITP guarantees process integrity and nonrepudiation. It does NOT guarantee output correctness. A signed, attested, co-verified output can still be wrong. AITP ensures you can prove who produced it, what they were authorized to do, and that the process followed the defined trust chain. It does not ensure the output is true.</w:t>
      </w:r>
    </w:p>
    <w:p>
      <w:r>
        <w:rPr>
          <w:b w:val="0"/>
          <w:i w:val="0"/>
        </w:rP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r>
        <w:rPr>
          <w:b w:val="0"/>
          <w:i w:val="0"/>
        </w:rPr>
        <w:t>AITP provides the same class of guarantee for agentic systems. Output is auditable, verifiable, and challengeable. AITP delivers due process for agent operations, not a stamp of truth.</w:t>
      </w:r>
    </w:p>
    <w:p>
      <w:r>
        <w:rPr>
          <w:b/>
          <w:i w:val="0"/>
        </w:rPr>
        <w:t>Specific limitations:</w:t>
      </w:r>
    </w:p>
    <w:p>
      <w:pPr>
        <w:pStyle w:val="ListBullet"/>
      </w:pPr>
      <w:r>
        <w:t>Output correctness. A fully compliant AITP pipeline can produce factually incorrect output. The attestation chain proves process was followed, not that the result is right.</w:t>
      </w:r>
    </w:p>
    <w:p>
      <w:pPr>
        <w:pStyle w:val="ListBullet"/>
      </w:pPr>
      <w:r>
        <w:t>Model quality. AITP is agnostic to the capability, training quality, or reasoning fidelity of the underlying models. A poorly trained model operating within AITP produces attested garbage. The garbage is auditable, but it is still garbage.</w:t>
      </w:r>
    </w:p>
    <w:p>
      <w:pPr>
        <w:pStyle w:val="ListBullet"/>
      </w:pPr>
      <w:r>
        <w:t>Insider threats at the operator level. AITP protects against compromised agents. It does not protect against a malicious system operator who controls the Signing Authority, the agent deployment pipeline, and the attestation log infrastructure. Operator-level compromise is addressed by organizational controls, not protocol controls.</w:t>
      </w:r>
    </w:p>
    <w:p>
      <w:pPr>
        <w:pStyle w:val="ListBullet"/>
      </w:pPr>
      <w:r>
        <w:t>Emergent agent behavior. AITP attests what an agent did. It does not predict what an agent will do. Novel, unexpected agent behaviors that fall within the agent's scope manifest are authorized by definition. AITP detects scope violations, not creative use of authorized capabilities.</w:t>
      </w:r>
    </w:p>
    <w:p>
      <w:pPr>
        <w:pStyle w:val="ListBullet"/>
      </w:pPr>
      <w:r>
        <w:t>Real-time prevention of all attacks. AITP is designed for detection, attribution, and recovery. Some attacks will succeed before they are detected. The design goal is bounded blast radius and forensic reconstructability, not zero-breach prevention.</w:t>
      </w:r>
    </w:p>
    <w:p>
      <w:pPr>
        <w:pStyle w:val="ListBullet"/>
      </w:pPr>
      <w:r>
        <w:t>Cross-system trust federation. AITP defines trust within a single AITP deployment. Trust federation between independent AITP deployments (e.g., two organizations exchanging agent-produced artifacts) requires additional federation protocols not specified in this version.</w:t>
      </w:r>
    </w:p>
    <w:p>
      <w:pPr>
        <w:pStyle w:val="Heading1"/>
      </w:pPr>
      <w:r>
        <w:t>11. AITP Top 10 Agent Trust Risks</w:t>
      </w:r>
    </w:p>
    <w:p>
      <w:r>
        <w:rPr>
          <w:b w:val="0"/>
          <w:i w:val="0"/>
        </w:rPr>
        <w:t>Modeled after the OWASP Top 10 for web application security, the following list identifies the ten most critical trust risks in agentic AI systems. Each risk represents an architectural failure that AITP is designed to prevent or mitigate.</w:t>
      </w:r>
    </w:p>
    <w:p>
      <w:r/>
      <w:r>
        <w:rPr>
          <w:b/>
        </w:rPr>
        <w:t>ATR-1: Unsigned Agent Actions.</w:t>
      </w:r>
      <w:r>
        <w:t xml:space="preserve"> Agent operations that produce no cryptographic attestation. Without a signature, there is no nonrepudiation, no audit trail, and no ability to attribute an action to a specific agent identity. Every consequential agent action MUST produce a signed attestation record.</w:t>
      </w:r>
    </w:p>
    <w:p>
      <w:r/>
      <w:r>
        <w:rPr>
          <w:b/>
        </w:rPr>
        <w:t>ATR-2: Single-Model Verification.</w:t>
      </w:r>
      <w:r>
        <w:t xml:space="preserve"> Verification performed exclusively by agents sharing the same model, architecture, or provider. Single-model verification provides no adversarial cross-check. A vulnerability in the model affects both the producer and the verifier. Verification MUST involve at least one agent of different architecture.</w:t>
      </w:r>
    </w:p>
    <w:p>
      <w:r/>
      <w:r>
        <w:rPr>
          <w:b/>
        </w:rPr>
        <w:t>ATR-3: Unscoped Tool Permissions.</w:t>
      </w:r>
      <w:r>
        <w:t xml:space="preserve"> Agents granted broad or implicit tool access without explicit permission manifests. An agent with unscoped permissions can perform any operation its tools support, regardless of whether that operation is relevant to its assigned task. Every agent MUST be bound to a scope manifest (Section 3.2) that enumerates its permitted operations.</w:t>
      </w:r>
    </w:p>
    <w:p>
      <w:r/>
      <w:r>
        <w:rPr>
          <w:b/>
        </w:rPr>
        <w:t>ATR-4: No Cryptographic Identity for Agents.</w:t>
      </w:r>
      <w:r>
        <w:t xml:space="preserve"> Agents that operate without unique, verifiable cryptographic identity. Without identity, there is no accountability, no scope binding, and no revocation capability. Every agent instance MUST hold an Ed25519 key pair generated at instantiation (Section 3.1).</w:t>
      </w:r>
    </w:p>
    <w:p>
      <w:r/>
      <w:r>
        <w:rPr>
          <w:b/>
        </w:rPr>
        <w:t>ATR-5: Implicit Trust Inheritance.</w:t>
      </w:r>
      <w:r>
        <w:t xml:space="preserve"> An agent automatically inheriting the trust level, permissions, or credentials of the agent that spawned it. Trust MUST be explicitly granted per scope manifest, not inherited. A child agent's permissions are defined by its own manifest, not its parent's.</w:t>
      </w:r>
    </w:p>
    <w:p>
      <w:r/>
      <w:r>
        <w:rPr>
          <w:b/>
        </w:rPr>
        <w:t>ATR-6: No Audit Chain for Agent Decisions.</w:t>
      </w:r>
      <w:r>
        <w:t xml:space="preserve"> Agent decision paths that cannot be reconstructed after the fact. If an agent produces output but the reasoning chain, input data, and intermediate steps are not recorded, the output cannot be challenged or verified. The attestation chain (Section 3.3) MUST capture sufficient context to reconstruct the decision path.</w:t>
      </w:r>
    </w:p>
    <w:p>
      <w:r/>
      <w:r>
        <w:rPr>
          <w:b/>
        </w:rPr>
        <w:t>ATR-7: Poisonable Context Windows.</w:t>
      </w:r>
      <w:r>
        <w:t xml:space="preserve"> Agent context windows that accept external input without sanitization or boundary enforcement. Prompt injection via external data sources (Section 2.1) exploits this risk. Input from external sources MUST be quarantined and scanned before entering an agent's operational context.</w:t>
      </w:r>
    </w:p>
    <w:p>
      <w:r/>
      <w:r>
        <w:rPr>
          <w:b/>
        </w:rPr>
        <w:t>ATR-8: Unverified External Data Ingestion.</w:t>
      </w:r>
      <w:r>
        <w:t xml:space="preserve"> Agents that consume external data (APIs, web content, documents, user input) without provenance verification or integrity checking. External data SHOULD carry its own attestation where available. Where external attestation is unavailable, the ingesting agent MUST record the source, timestamp, and hash of ingested data in its attestation record.</w:t>
      </w:r>
    </w:p>
    <w:p>
      <w:r/>
      <w:r>
        <w:rPr>
          <w:b/>
        </w:rPr>
        <w:t>ATR-9: No Revocation Mechanism for Compromised Agents.</w:t>
      </w:r>
      <w:r>
        <w:t xml:space="preserve"> Systems with no ability to immediately revoke a compromised agent's identity and freeze its pending actions. Revocation (Section 3.6) MUST be immediate and permanent. A compromised agent's key pair is revoked, its pending actions are frozen, and its scope is terminated.</w:t>
      </w:r>
    </w:p>
    <w:p>
      <w:r/>
      <w:r>
        <w:rPr>
          <w:b/>
        </w:rPr>
        <w:t>ATR-10: Human-Out-of-the-Loop for Consequential Actions.</w:t>
      </w:r>
      <w:r>
        <w:t xml:space="preserve"> Systems where consequential, irreversible actions can be executed without any path to human oversight. AITP does not require a human in every loop. It requires that highest-consequence operations have a defined escalation path to a human operator via out-of-band confirmation (Section 5).</w:t>
      </w:r>
    </w:p>
    <w:p>
      <w:pPr>
        <w:pStyle w:val="Heading1"/>
      </w:pPr>
      <w:r>
        <w:t>12. Agent Definition</w:t>
      </w:r>
    </w:p>
    <w:p>
      <w:r>
        <w:rPr>
          <w:b w:val="0"/>
          <w:i w:val="0"/>
        </w:rPr>
        <w:t>For the purposes of this specification, an "agent" is any autonomous or semi-autonomous system that receives instructions, processes information, and produces output or takes actions on behalf of a principal. This definition is deliberately broad.</w:t>
      </w:r>
    </w:p>
    <w:p>
      <w:r>
        <w:rPr>
          <w:b w:val="0"/>
          <w:i w:val="0"/>
        </w:rPr>
        <w:t>An agent MAY be a large language model, a hybrid system combining language models with deterministic components, a pure rules engine, a reinforcement learning system, a retrieval-augmented generation pipeline, or any architecture that does not yet exist. AITP is implementation-agnostic. The trust problem it addresses is identical regardless of what technology an agent is built on: an autonomous system acting on behalf of a principal requires identity, scope, attestation, co-verification, and revocation.</w:t>
      </w:r>
    </w:p>
    <w:p>
      <w:r>
        <w:rPr>
          <w:b w:val="0"/>
          <w:i w:val="0"/>
        </w:rP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pPr>
        <w:pStyle w:val="Heading1"/>
      </w:pPr>
      <w:r>
        <w:t>13. Mapping to NIST AI Risk Management Framework</w:t>
      </w:r>
    </w:p>
    <w:p>
      <w:r>
        <w:rPr>
          <w:b w:val="0"/>
          <w:i w:val="0"/>
        </w:rPr>
        <w:t>The NIST AI Risk Management Framework (AI RMF 1.0, AI 100-1) defines four core functions for managing AI risk: GOVERN, MAP, MEASURE, and MANAGE. This section provides an explicit mapping between AITP components and the AI RMF functions, demonstrating how AITP implementation supports compliance with the framework.</w:t>
      </w:r>
    </w:p>
    <w:p>
      <w:pPr>
        <w:pStyle w:val="Heading2"/>
      </w:pPr>
      <w:r>
        <w:t>13.1 GOVERN</w:t>
      </w:r>
    </w:p>
    <w:p>
      <w:r>
        <w:rPr>
          <w:b w:val="0"/>
          <w:i w:val="0"/>
        </w:rPr>
        <w:t>The GOVERN function establishes and maintains organizational AI risk management processes, policies, and accountability structures.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AI RMF Subcategory</w:t>
            </w:r>
          </w:p>
        </w:tc>
        <w:tc>
          <w:tcPr>
            <w:tcW w:type="dxa" w:w="2880"/>
          </w:tcPr>
          <w:p>
            <w:r/>
            <w:r>
              <w:rPr>
                <w:rFonts w:ascii="Times New Roman" w:hAnsi="Times New Roman"/>
                <w:b/>
                <w:sz w:val="20"/>
              </w:rPr>
              <w:t>AITP Component</w:t>
            </w:r>
          </w:p>
        </w:tc>
        <w:tc>
          <w:tcPr>
            <w:tcW w:type="dxa" w:w="2880"/>
          </w:tcPr>
          <w:p>
            <w:r/>
            <w:r>
              <w:rPr>
                <w:rFonts w:ascii="Times New Roman" w:hAnsi="Times New Roman"/>
                <w:b/>
                <w:sz w:val="20"/>
              </w:rPr>
              <w:t>How AITP Supports Compliance</w:t>
            </w:r>
          </w:p>
        </w:tc>
      </w:tr>
      <w:tr>
        <w:tc>
          <w:tcPr>
            <w:tcW w:type="dxa" w:w="2880"/>
          </w:tcPr>
          <w:p>
            <w:r/>
            <w:r>
              <w:rPr>
                <w:rFonts w:ascii="Times New Roman" w:hAnsi="Times New Roman"/>
                <w:b w:val="0"/>
                <w:sz w:val="20"/>
              </w:rPr>
              <w:t>GOVERN 1.1: Legal and regulatory requirements are identified</w:t>
            </w:r>
          </w:p>
        </w:tc>
        <w:tc>
          <w:tcPr>
            <w:tcW w:type="dxa" w:w="2880"/>
          </w:tcPr>
          <w:p>
            <w:r/>
            <w:r>
              <w:rPr>
                <w:rFonts w:ascii="Times New Roman" w:hAnsi="Times New Roman"/>
                <w:b w:val="0"/>
                <w:sz w:val="20"/>
              </w:rPr>
              <w:t>Scope Binding (3.2), Attestation (3.3)</w:t>
            </w:r>
          </w:p>
        </w:tc>
        <w:tc>
          <w:tcPr>
            <w:tcW w:type="dxa" w:w="2880"/>
          </w:tcPr>
          <w:p>
            <w:r/>
            <w:r>
              <w:rPr>
                <w:rFonts w:ascii="Times New Roman" w:hAnsi="Times New Roman"/>
                <w:b w:val="0"/>
                <w:sz w:val="20"/>
              </w:rPr>
              <w:t>Permission manifests create auditable records of what each agent is authorized to do. Attestation logs provide evidence of compliance for regulatory review.</w:t>
            </w:r>
          </w:p>
        </w:tc>
      </w:tr>
      <w:tr>
        <w:tc>
          <w:tcPr>
            <w:tcW w:type="dxa" w:w="2880"/>
          </w:tcPr>
          <w:p>
            <w:r/>
            <w:r>
              <w:rPr>
                <w:rFonts w:ascii="Times New Roman" w:hAnsi="Times New Roman"/>
                <w:b w:val="0"/>
                <w:sz w:val="20"/>
              </w:rPr>
              <w:t>GOVERN 1.2: Trustworthy AI characteristics are integrated into policies</w:t>
            </w:r>
          </w:p>
        </w:tc>
        <w:tc>
          <w:tcPr>
            <w:tcW w:type="dxa" w:w="2880"/>
          </w:tcPr>
          <w:p>
            <w:r/>
            <w:r>
              <w:rPr>
                <w:rFonts w:ascii="Times New Roman" w:hAnsi="Times New Roman"/>
                <w:b w:val="0"/>
                <w:sz w:val="20"/>
              </w:rPr>
              <w:t>Trust Primitives (Section 3), Operational Tiers (Section 4)</w:t>
            </w:r>
          </w:p>
        </w:tc>
        <w:tc>
          <w:tcPr>
            <w:tcW w:type="dxa" w:w="2880"/>
          </w:tcPr>
          <w:p>
            <w:r/>
            <w:r>
              <w:rPr>
                <w:rFonts w:ascii="Times New Roman" w:hAnsi="Times New Roman"/>
                <w:b w:val="0"/>
                <w:sz w:val="20"/>
              </w:rPr>
              <w:t>AITP defines concrete, enforceable trust properties (identity, scope, attestation, co-signature, revocation) that translate organizational policy into infrastructure-level controls.</w:t>
            </w:r>
          </w:p>
        </w:tc>
      </w:tr>
      <w:tr>
        <w:tc>
          <w:tcPr>
            <w:tcW w:type="dxa" w:w="2880"/>
          </w:tcPr>
          <w:p>
            <w:r/>
            <w:r>
              <w:rPr>
                <w:rFonts w:ascii="Times New Roman" w:hAnsi="Times New Roman"/>
                <w:b w:val="0"/>
                <w:sz w:val="20"/>
              </w:rPr>
              <w:t>GOVERN 2.1: Roles and responsibilities are defined</w:t>
            </w:r>
          </w:p>
        </w:tc>
        <w:tc>
          <w:tcPr>
            <w:tcW w:type="dxa" w:w="2880"/>
          </w:tcPr>
          <w:p>
            <w:r/>
            <w:r>
              <w:rPr>
                <w:rFonts w:ascii="Times New Roman" w:hAnsi="Times New Roman"/>
                <w:b w:val="0"/>
                <w:sz w:val="20"/>
              </w:rPr>
              <w:t>Agent Identity (3.1), Co-signer Classes (5.2)</w:t>
            </w:r>
          </w:p>
        </w:tc>
        <w:tc>
          <w:tcPr>
            <w:tcW w:type="dxa" w:w="2880"/>
          </w:tcPr>
          <w:p>
            <w:r/>
            <w:r>
              <w:rPr>
                <w:rFonts w:ascii="Times New Roman" w:hAnsi="Times New Roman"/>
                <w:b w:val="0"/>
                <w:sz w:val="20"/>
              </w:rPr>
              <w:t>Cryptographic identity binds each agent to a defined role. Co-signer class requirements ensure separation of duties between actors, reviewers, and authorizers.</w:t>
            </w:r>
          </w:p>
        </w:tc>
      </w:tr>
      <w:tr>
        <w:tc>
          <w:tcPr>
            <w:tcW w:type="dxa" w:w="2880"/>
          </w:tcPr>
          <w:p>
            <w:r/>
            <w:r>
              <w:rPr>
                <w:rFonts w:ascii="Times New Roman" w:hAnsi="Times New Roman"/>
                <w:b w:val="0"/>
                <w:sz w:val="20"/>
              </w:rPr>
              <w:t>GOVERN 4.1: Organizational practices for risk management</w:t>
            </w:r>
          </w:p>
        </w:tc>
        <w:tc>
          <w:tcPr>
            <w:tcW w:type="dxa" w:w="2880"/>
          </w:tcPr>
          <w:p>
            <w:r/>
            <w:r>
              <w:rPr>
                <w:rFonts w:ascii="Times New Roman" w:hAnsi="Times New Roman"/>
                <w:b w:val="0"/>
                <w:sz w:val="20"/>
              </w:rPr>
              <w:t>Revocation (Section 6), Resilience (Section 8)</w:t>
            </w:r>
          </w:p>
        </w:tc>
        <w:tc>
          <w:tcPr>
            <w:tcW w:type="dxa" w:w="2880"/>
          </w:tcPr>
          <w:p>
            <w:r/>
            <w:r>
              <w:rPr>
                <w:rFonts w:ascii="Times New Roman" w:hAnsi="Times New Roman"/>
                <w:b w:val="0"/>
                <w:sz w:val="20"/>
              </w:rPr>
              <w:t>Revocation provides incident response procedures. Resilience requirements ensure continuity of risk management controls across deployment modes.</w:t>
            </w:r>
          </w:p>
        </w:tc>
      </w:tr>
    </w:tbl>
    <w:p>
      <w:pPr>
        <w:pStyle w:val="Heading2"/>
      </w:pPr>
      <w:r>
        <w:t>13.2 MAP</w:t>
      </w:r>
    </w:p>
    <w:p>
      <w:r>
        <w:rPr>
          <w:b w:val="0"/>
          <w:i w:val="0"/>
        </w:rPr>
        <w:t>The MAP function categorizes AI risks and identifies the context in which AI systems operate.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AI RMF Subcategory</w:t>
            </w:r>
          </w:p>
        </w:tc>
        <w:tc>
          <w:tcPr>
            <w:tcW w:type="dxa" w:w="2880"/>
          </w:tcPr>
          <w:p>
            <w:r/>
            <w:r>
              <w:rPr>
                <w:rFonts w:ascii="Times New Roman" w:hAnsi="Times New Roman"/>
                <w:b/>
                <w:sz w:val="20"/>
              </w:rPr>
              <w:t>AITP Component</w:t>
            </w:r>
          </w:p>
        </w:tc>
        <w:tc>
          <w:tcPr>
            <w:tcW w:type="dxa" w:w="2880"/>
          </w:tcPr>
          <w:p>
            <w:r/>
            <w:r>
              <w:rPr>
                <w:rFonts w:ascii="Times New Roman" w:hAnsi="Times New Roman"/>
                <w:b/>
                <w:sz w:val="20"/>
              </w:rPr>
              <w:t>How AITP Supports Compliance</w:t>
            </w:r>
          </w:p>
        </w:tc>
      </w:tr>
      <w:tr>
        <w:tc>
          <w:tcPr>
            <w:tcW w:type="dxa" w:w="2880"/>
          </w:tcPr>
          <w:p>
            <w:r/>
            <w:r>
              <w:rPr>
                <w:rFonts w:ascii="Times New Roman" w:hAnsi="Times New Roman"/>
                <w:b w:val="0"/>
                <w:sz w:val="20"/>
              </w:rPr>
              <w:t>MAP 1.1: Intended purpose and context of use are documented</w:t>
            </w:r>
          </w:p>
        </w:tc>
        <w:tc>
          <w:tcPr>
            <w:tcW w:type="dxa" w:w="2880"/>
          </w:tcPr>
          <w:p>
            <w:r/>
            <w:r>
              <w:rPr>
                <w:rFonts w:ascii="Times New Roman" w:hAnsi="Times New Roman"/>
                <w:b w:val="0"/>
                <w:sz w:val="20"/>
              </w:rPr>
              <w:t>Scope Binding (3.2)</w:t>
            </w:r>
          </w:p>
        </w:tc>
        <w:tc>
          <w:tcPr>
            <w:tcW w:type="dxa" w:w="2880"/>
          </w:tcPr>
          <w:p>
            <w:r/>
            <w:r>
              <w:rPr>
                <w:rFonts w:ascii="Times New Roman" w:hAnsi="Times New Roman"/>
                <w:b w:val="0"/>
                <w:sz w:val="20"/>
              </w:rPr>
              <w:t>Each agent's scope manifest explicitly documents its intended purpose: which resources it may access, what actions it may perform, and what outputs it may produce.</w:t>
            </w:r>
          </w:p>
        </w:tc>
      </w:tr>
      <w:tr>
        <w:tc>
          <w:tcPr>
            <w:tcW w:type="dxa" w:w="2880"/>
          </w:tcPr>
          <w:p>
            <w:r/>
            <w:r>
              <w:rPr>
                <w:rFonts w:ascii="Times New Roman" w:hAnsi="Times New Roman"/>
                <w:b w:val="0"/>
                <w:sz w:val="20"/>
              </w:rPr>
              <w:t>MAP 2.1: Risks and benefits are understood</w:t>
            </w:r>
          </w:p>
        </w:tc>
        <w:tc>
          <w:tcPr>
            <w:tcW w:type="dxa" w:w="2880"/>
          </w:tcPr>
          <w:p>
            <w:r/>
            <w:r>
              <w:rPr>
                <w:rFonts w:ascii="Times New Roman" w:hAnsi="Times New Roman"/>
                <w:b w:val="0"/>
                <w:sz w:val="20"/>
              </w:rPr>
              <w:t>Threat Model (Section 2), AITP Top 10 (Section 11)</w:t>
            </w:r>
          </w:p>
        </w:tc>
        <w:tc>
          <w:tcPr>
            <w:tcW w:type="dxa" w:w="2880"/>
          </w:tcPr>
          <w:p>
            <w:r/>
            <w:r>
              <w:rPr>
                <w:rFonts w:ascii="Times New Roman" w:hAnsi="Times New Roman"/>
                <w:b w:val="0"/>
                <w:sz w:val="20"/>
              </w:rPr>
              <w:t>The threat model identifies eight specific attack vectors. The AITP Top 10 provides a prioritized risk taxonomy for agent trust failures.</w:t>
            </w:r>
          </w:p>
        </w:tc>
      </w:tr>
      <w:tr>
        <w:tc>
          <w:tcPr>
            <w:tcW w:type="dxa" w:w="2880"/>
          </w:tcPr>
          <w:p>
            <w:r/>
            <w:r>
              <w:rPr>
                <w:rFonts w:ascii="Times New Roman" w:hAnsi="Times New Roman"/>
                <w:b w:val="0"/>
                <w:sz w:val="20"/>
              </w:rPr>
              <w:t>MAP 3.1: Potential harms are identified and assessed</w:t>
            </w:r>
          </w:p>
        </w:tc>
        <w:tc>
          <w:tcPr>
            <w:tcW w:type="dxa" w:w="2880"/>
          </w:tcPr>
          <w:p>
            <w:r/>
            <w:r>
              <w:rPr>
                <w:rFonts w:ascii="Times New Roman" w:hAnsi="Times New Roman"/>
                <w:b w:val="0"/>
                <w:sz w:val="20"/>
              </w:rPr>
              <w:t>Operational Tiers (Section 4), Blast radius analysis per tier</w:t>
            </w:r>
          </w:p>
        </w:tc>
        <w:tc>
          <w:tcPr>
            <w:tcW w:type="dxa" w:w="2880"/>
          </w:tcPr>
          <w:p>
            <w:r/>
            <w:r>
              <w:rPr>
                <w:rFonts w:ascii="Times New Roman" w:hAnsi="Times New Roman"/>
                <w:b w:val="0"/>
                <w:sz w:val="20"/>
              </w:rPr>
              <w:t>Each operational tier defines its blast radius if compromised. Tier separation ensures that harm from any single compromised agent is bounded and predictable.</w:t>
            </w:r>
          </w:p>
        </w:tc>
      </w:tr>
      <w:tr>
        <w:tc>
          <w:tcPr>
            <w:tcW w:type="dxa" w:w="2880"/>
          </w:tcPr>
          <w:p>
            <w:r/>
            <w:r>
              <w:rPr>
                <w:rFonts w:ascii="Times New Roman" w:hAnsi="Times New Roman"/>
                <w:b w:val="0"/>
                <w:sz w:val="20"/>
              </w:rPr>
              <w:t>MAP 5.1: Impacts to individuals and communities are identified</w:t>
            </w:r>
          </w:p>
        </w:tc>
        <w:tc>
          <w:tcPr>
            <w:tcW w:type="dxa" w:w="2880"/>
          </w:tcPr>
          <w:p>
            <w:r/>
            <w:r>
              <w:rPr>
                <w:rFonts w:ascii="Times New Roman" w:hAnsi="Times New Roman"/>
                <w:b w:val="0"/>
                <w:sz w:val="20"/>
              </w:rPr>
              <w:t>Co-signature Protocol (Section 5), Human escalation path</w:t>
            </w:r>
          </w:p>
        </w:tc>
        <w:tc>
          <w:tcPr>
            <w:tcW w:type="dxa" w:w="2880"/>
          </w:tcPr>
          <w:p>
            <w:r/>
            <w:r>
              <w:rPr>
                <w:rFonts w:ascii="Times New Roman" w:hAnsi="Times New Roman"/>
                <w:b w:val="0"/>
                <w:sz w:val="20"/>
              </w:rPr>
              <w:t>Highest-consequence actions (legal, financial, safety-critical) require human co-signature, ensuring human judgment for actions with potential community impact.</w:t>
            </w:r>
          </w:p>
        </w:tc>
      </w:tr>
    </w:tbl>
    <w:p>
      <w:pPr>
        <w:pStyle w:val="Heading2"/>
      </w:pPr>
      <w:r>
        <w:t>13.3 MEASURE</w:t>
      </w:r>
    </w:p>
    <w:p>
      <w:r>
        <w:rPr>
          <w:b w:val="0"/>
          <w:i w:val="0"/>
        </w:rPr>
        <w:t>The MEASURE function develops and applies quantitative and qualitative methods for analyzing AI risk.</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AI RMF Subcategory</w:t>
            </w:r>
          </w:p>
        </w:tc>
        <w:tc>
          <w:tcPr>
            <w:tcW w:type="dxa" w:w="2880"/>
          </w:tcPr>
          <w:p>
            <w:r/>
            <w:r>
              <w:rPr>
                <w:rFonts w:ascii="Times New Roman" w:hAnsi="Times New Roman"/>
                <w:b/>
                <w:sz w:val="20"/>
              </w:rPr>
              <w:t>AITP Component</w:t>
            </w:r>
          </w:p>
        </w:tc>
        <w:tc>
          <w:tcPr>
            <w:tcW w:type="dxa" w:w="2880"/>
          </w:tcPr>
          <w:p>
            <w:r/>
            <w:r>
              <w:rPr>
                <w:rFonts w:ascii="Times New Roman" w:hAnsi="Times New Roman"/>
                <w:b/>
                <w:sz w:val="20"/>
              </w:rPr>
              <w:t>How AITP Supports Compliance</w:t>
            </w:r>
          </w:p>
        </w:tc>
      </w:tr>
      <w:tr>
        <w:tc>
          <w:tcPr>
            <w:tcW w:type="dxa" w:w="2880"/>
          </w:tcPr>
          <w:p>
            <w:r/>
            <w:r>
              <w:rPr>
                <w:rFonts w:ascii="Times New Roman" w:hAnsi="Times New Roman"/>
                <w:b w:val="0"/>
                <w:sz w:val="20"/>
              </w:rPr>
              <w:t>MEASURE 1.1: Approaches for measuring AI risks are developed</w:t>
            </w:r>
          </w:p>
        </w:tc>
        <w:tc>
          <w:tcPr>
            <w:tcW w:type="dxa" w:w="2880"/>
          </w:tcPr>
          <w:p>
            <w:r/>
            <w:r>
              <w:rPr>
                <w:rFonts w:ascii="Times New Roman" w:hAnsi="Times New Roman"/>
                <w:b w:val="0"/>
                <w:sz w:val="20"/>
              </w:rPr>
              <w:t>Attestation (3.3), DDA (Section 7)</w:t>
            </w:r>
          </w:p>
        </w:tc>
        <w:tc>
          <w:tcPr>
            <w:tcW w:type="dxa" w:w="2880"/>
          </w:tcPr>
          <w:p>
            <w:r/>
            <w:r>
              <w:rPr>
                <w:rFonts w:ascii="Times New Roman" w:hAnsi="Times New Roman"/>
                <w:b w:val="0"/>
                <w:sz w:val="20"/>
              </w:rPr>
              <w:t>Attestation chains provide the raw data for risk measurement. DDA provides a scalable methodology for measuring verification coverage across large artifact sets.</w:t>
            </w:r>
          </w:p>
        </w:tc>
      </w:tr>
      <w:tr>
        <w:tc>
          <w:tcPr>
            <w:tcW w:type="dxa" w:w="2880"/>
          </w:tcPr>
          <w:p>
            <w:r/>
            <w:r>
              <w:rPr>
                <w:rFonts w:ascii="Times New Roman" w:hAnsi="Times New Roman"/>
                <w:b w:val="0"/>
                <w:sz w:val="20"/>
              </w:rPr>
              <w:t>MEASURE 2.1: AI system evaluations are conducted</w:t>
            </w:r>
          </w:p>
        </w:tc>
        <w:tc>
          <w:tcPr>
            <w:tcW w:type="dxa" w:w="2880"/>
          </w:tcPr>
          <w:p>
            <w:r/>
            <w:r>
              <w:rPr>
                <w:rFonts w:ascii="Times New Roman" w:hAnsi="Times New Roman"/>
                <w:b w:val="0"/>
                <w:sz w:val="20"/>
              </w:rPr>
              <w:t>Cross-Architecture Requirement (7.3), ARA (7.4)</w:t>
            </w:r>
          </w:p>
        </w:tc>
        <w:tc>
          <w:tcPr>
            <w:tcW w:type="dxa" w:w="2880"/>
          </w:tcPr>
          <w:p>
            <w:r/>
            <w:r>
              <w:rPr>
                <w:rFonts w:ascii="Times New Roman" w:hAnsi="Times New Roman"/>
                <w:b w:val="0"/>
                <w:sz w:val="20"/>
              </w:rPr>
              <w:t>Multi-architecture verification ensures evaluations are not biased by shared model vulnerabilities. The ARA provides a systematic approach to resolving evaluation disagreements.</w:t>
            </w:r>
          </w:p>
        </w:tc>
      </w:tr>
      <w:tr>
        <w:tc>
          <w:tcPr>
            <w:tcW w:type="dxa" w:w="2880"/>
          </w:tcPr>
          <w:p>
            <w:r/>
            <w:r>
              <w:rPr>
                <w:rFonts w:ascii="Times New Roman" w:hAnsi="Times New Roman"/>
                <w:b w:val="0"/>
                <w:sz w:val="20"/>
              </w:rPr>
              <w:t>MEASURE 2.6: AI system performance is tracked over time</w:t>
            </w:r>
          </w:p>
        </w:tc>
        <w:tc>
          <w:tcPr>
            <w:tcW w:type="dxa" w:w="2880"/>
          </w:tcPr>
          <w:p>
            <w:r/>
            <w:r>
              <w:rPr>
                <w:rFonts w:ascii="Times New Roman" w:hAnsi="Times New Roman"/>
                <w:b w:val="0"/>
                <w:sz w:val="20"/>
              </w:rPr>
              <w:t>Attestation logs, Revocation history</w:t>
            </w:r>
          </w:p>
        </w:tc>
        <w:tc>
          <w:tcPr>
            <w:tcW w:type="dxa" w:w="2880"/>
          </w:tcPr>
          <w:p>
            <w:r/>
            <w:r>
              <w:rPr>
                <w:rFonts w:ascii="Times New Roman" w:hAnsi="Times New Roman"/>
                <w:b w:val="0"/>
                <w:sz w:val="20"/>
              </w:rPr>
              <w:t>The immutable attestation log provides a complete performance history for each agent identity. Revocation records track trust failures over time.</w:t>
            </w:r>
          </w:p>
        </w:tc>
      </w:tr>
      <w:tr>
        <w:tc>
          <w:tcPr>
            <w:tcW w:type="dxa" w:w="2880"/>
          </w:tcPr>
          <w:p>
            <w:r/>
            <w:r>
              <w:rPr>
                <w:rFonts w:ascii="Times New Roman" w:hAnsi="Times New Roman"/>
                <w:b w:val="0"/>
                <w:sz w:val="20"/>
              </w:rPr>
              <w:t>MEASURE 4.1: Measurement approaches for identified risks</w:t>
            </w:r>
          </w:p>
        </w:tc>
        <w:tc>
          <w:tcPr>
            <w:tcW w:type="dxa" w:w="2880"/>
          </w:tcPr>
          <w:p>
            <w:r/>
            <w:r>
              <w:rPr>
                <w:rFonts w:ascii="Times New Roman" w:hAnsi="Times New Roman"/>
                <w:b w:val="0"/>
                <w:sz w:val="20"/>
              </w:rPr>
              <w:t>Shard Mathematics (7.1), Hierarchical Pyramid (7.2)</w:t>
            </w:r>
          </w:p>
        </w:tc>
        <w:tc>
          <w:tcPr>
            <w:tcW w:type="dxa" w:w="2880"/>
          </w:tcPr>
          <w:p>
            <w:r/>
            <w:r>
              <w:rPr>
                <w:rFonts w:ascii="Times New Roman" w:hAnsi="Times New Roman"/>
                <w:b w:val="0"/>
                <w:sz w:val="20"/>
              </w:rPr>
              <w:t>DDA provides concrete mathematical guarantees for verification coverage (S/n items per agent, boundary overlap for cross-checking, five-tier reduction to human-manageable decision points).</w:t>
            </w:r>
          </w:p>
        </w:tc>
      </w:tr>
    </w:tbl>
    <w:p>
      <w:pPr>
        <w:pStyle w:val="Heading2"/>
      </w:pPr>
      <w:r>
        <w:t>13.4 MANAGE</w:t>
      </w:r>
    </w:p>
    <w:p>
      <w:r>
        <w:rPr>
          <w:b w:val="0"/>
          <w:i w:val="0"/>
        </w:rPr>
        <w:t>The MANAGE function deploys and monitors risk treatment actions based on assessed risks.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AI RMF Subcategory</w:t>
            </w:r>
          </w:p>
        </w:tc>
        <w:tc>
          <w:tcPr>
            <w:tcW w:type="dxa" w:w="2880"/>
          </w:tcPr>
          <w:p>
            <w:r/>
            <w:r>
              <w:rPr>
                <w:rFonts w:ascii="Times New Roman" w:hAnsi="Times New Roman"/>
                <w:b/>
                <w:sz w:val="20"/>
              </w:rPr>
              <w:t>AITP Component</w:t>
            </w:r>
          </w:p>
        </w:tc>
        <w:tc>
          <w:tcPr>
            <w:tcW w:type="dxa" w:w="2880"/>
          </w:tcPr>
          <w:p>
            <w:r/>
            <w:r>
              <w:rPr>
                <w:rFonts w:ascii="Times New Roman" w:hAnsi="Times New Roman"/>
                <w:b/>
                <w:sz w:val="20"/>
              </w:rPr>
              <w:t>How AITP Supports Compliance</w:t>
            </w:r>
          </w:p>
        </w:tc>
      </w:tr>
      <w:tr>
        <w:tc>
          <w:tcPr>
            <w:tcW w:type="dxa" w:w="2880"/>
          </w:tcPr>
          <w:p>
            <w:r/>
            <w:r>
              <w:rPr>
                <w:rFonts w:ascii="Times New Roman" w:hAnsi="Times New Roman"/>
                <w:b w:val="0"/>
                <w:sz w:val="20"/>
              </w:rPr>
              <w:t>MANAGE 1.1: Risk treatments are identified and managed</w:t>
            </w:r>
          </w:p>
        </w:tc>
        <w:tc>
          <w:tcPr>
            <w:tcW w:type="dxa" w:w="2880"/>
          </w:tcPr>
          <w:p>
            <w:r/>
            <w:r>
              <w:rPr>
                <w:rFonts w:ascii="Times New Roman" w:hAnsi="Times New Roman"/>
                <w:b w:val="0"/>
                <w:sz w:val="20"/>
              </w:rPr>
              <w:t>Trust Primitives (Section 3), Operational Tiers (Section 4)</w:t>
            </w:r>
          </w:p>
        </w:tc>
        <w:tc>
          <w:tcPr>
            <w:tcW w:type="dxa" w:w="2880"/>
          </w:tcPr>
          <w:p>
            <w:r/>
            <w:r>
              <w:rPr>
                <w:rFonts w:ascii="Times New Roman" w:hAnsi="Times New Roman"/>
                <w:b w:val="0"/>
                <w:sz w:val="20"/>
              </w:rPr>
              <w:t>Each trust primitive is a specific risk treatment. Operational tiers implement graduated risk treatment proportional to agent trust level and action consequence.</w:t>
            </w:r>
          </w:p>
        </w:tc>
      </w:tr>
      <w:tr>
        <w:tc>
          <w:tcPr>
            <w:tcW w:type="dxa" w:w="2880"/>
          </w:tcPr>
          <w:p>
            <w:r/>
            <w:r>
              <w:rPr>
                <w:rFonts w:ascii="Times New Roman" w:hAnsi="Times New Roman"/>
                <w:b w:val="0"/>
                <w:sz w:val="20"/>
              </w:rPr>
              <w:t>MANAGE 2.1: Risks are monitored</w:t>
            </w:r>
          </w:p>
        </w:tc>
        <w:tc>
          <w:tcPr>
            <w:tcW w:type="dxa" w:w="2880"/>
          </w:tcPr>
          <w:p>
            <w:r/>
            <w:r>
              <w:rPr>
                <w:rFonts w:ascii="Times New Roman" w:hAnsi="Times New Roman"/>
                <w:b w:val="0"/>
                <w:sz w:val="20"/>
              </w:rPr>
              <w:t>Attestation (3.3), Anomalous behavior detection (6.2)</w:t>
            </w:r>
          </w:p>
        </w:tc>
        <w:tc>
          <w:tcPr>
            <w:tcW w:type="dxa" w:w="2880"/>
          </w:tcPr>
          <w:p>
            <w:r/>
            <w:r>
              <w:rPr>
                <w:rFonts w:ascii="Times New Roman" w:hAnsi="Times New Roman"/>
                <w:b w:val="0"/>
                <w:sz w:val="20"/>
              </w:rPr>
              <w:t>Continuous attestation provides ongoing monitoring. Anomalous behavior triggers (Section 6.2) provide automated risk detection.</w:t>
            </w:r>
          </w:p>
        </w:tc>
      </w:tr>
      <w:tr>
        <w:tc>
          <w:tcPr>
            <w:tcW w:type="dxa" w:w="2880"/>
          </w:tcPr>
          <w:p>
            <w:r/>
            <w:r>
              <w:rPr>
                <w:rFonts w:ascii="Times New Roman" w:hAnsi="Times New Roman"/>
                <w:b w:val="0"/>
                <w:sz w:val="20"/>
              </w:rPr>
              <w:t>MANAGE 2.2: Risk treatments are reviewed and updated</w:t>
            </w:r>
          </w:p>
        </w:tc>
        <w:tc>
          <w:tcPr>
            <w:tcW w:type="dxa" w:w="2880"/>
          </w:tcPr>
          <w:p>
            <w:r/>
            <w:r>
              <w:rPr>
                <w:rFonts w:ascii="Times New Roman" w:hAnsi="Times New Roman"/>
                <w:b w:val="0"/>
                <w:sz w:val="20"/>
              </w:rPr>
              <w:t>Key Rotation (3.1), Scope manifest versioning (3.2)</w:t>
            </w:r>
          </w:p>
        </w:tc>
        <w:tc>
          <w:tcPr>
            <w:tcW w:type="dxa" w:w="2880"/>
          </w:tcPr>
          <w:p>
            <w:r/>
            <w:r>
              <w:rPr>
                <w:rFonts w:ascii="Times New Roman" w:hAnsi="Times New Roman"/>
                <w:b w:val="0"/>
                <w:sz w:val="20"/>
              </w:rPr>
              <w:t>Periodic key rotation and manifest updates provide a mechanism for reviewing and updating risk treatments as operational conditions change.</w:t>
            </w:r>
          </w:p>
        </w:tc>
      </w:tr>
      <w:tr>
        <w:tc>
          <w:tcPr>
            <w:tcW w:type="dxa" w:w="2880"/>
          </w:tcPr>
          <w:p>
            <w:r/>
            <w:r>
              <w:rPr>
                <w:rFonts w:ascii="Times New Roman" w:hAnsi="Times New Roman"/>
                <w:b w:val="0"/>
                <w:sz w:val="20"/>
              </w:rPr>
              <w:t>MANAGE 3.1: Risks from third-party entities are managed</w:t>
            </w:r>
          </w:p>
        </w:tc>
        <w:tc>
          <w:tcPr>
            <w:tcW w:type="dxa" w:w="2880"/>
          </w:tcPr>
          <w:p>
            <w:r/>
            <w:r>
              <w:rPr>
                <w:rFonts w:ascii="Times New Roman" w:hAnsi="Times New Roman"/>
                <w:b w:val="0"/>
                <w:sz w:val="20"/>
              </w:rPr>
              <w:t>Supply chain threat model (2.3), Scope binding for tools</w:t>
            </w:r>
          </w:p>
        </w:tc>
        <w:tc>
          <w:tcPr>
            <w:tcW w:type="dxa" w:w="2880"/>
          </w:tcPr>
          <w:p>
            <w:r/>
            <w:r>
              <w:rPr>
                <w:rFonts w:ascii="Times New Roman" w:hAnsi="Times New Roman"/>
                <w:b w:val="0"/>
                <w:sz w:val="20"/>
              </w:rPr>
              <w:t>AITP addresses third-party risk through tool scope binding, attestation of tool behavior, and revocation of compromised components.</w:t>
            </w:r>
          </w:p>
        </w:tc>
      </w:tr>
      <w:tr>
        <w:tc>
          <w:tcPr>
            <w:tcW w:type="dxa" w:w="2880"/>
          </w:tcPr>
          <w:p>
            <w:r/>
            <w:r>
              <w:rPr>
                <w:rFonts w:ascii="Times New Roman" w:hAnsi="Times New Roman"/>
                <w:b w:val="0"/>
                <w:sz w:val="20"/>
              </w:rPr>
              <w:t>MANAGE 4.1: Post-deployment monitoring</w:t>
            </w:r>
          </w:p>
        </w:tc>
        <w:tc>
          <w:tcPr>
            <w:tcW w:type="dxa" w:w="2880"/>
          </w:tcPr>
          <w:p>
            <w:r/>
            <w:r>
              <w:rPr>
                <w:rFonts w:ascii="Times New Roman" w:hAnsi="Times New Roman"/>
                <w:b w:val="0"/>
                <w:sz w:val="20"/>
              </w:rPr>
              <w:t>Attestation logs, Revocation (Section 6), Resilience (Section 8)</w:t>
            </w:r>
          </w:p>
        </w:tc>
        <w:tc>
          <w:tcPr>
            <w:tcW w:type="dxa" w:w="2880"/>
          </w:tcPr>
          <w:p>
            <w:r/>
            <w:r>
              <w:rPr>
                <w:rFonts w:ascii="Times New Roman" w:hAnsi="Times New Roman"/>
                <w:b w:val="0"/>
                <w:sz w:val="20"/>
              </w:rPr>
              <w:t>Attestation logs enable continuous post-deployment monitoring. Revocation provides incident response. Resilience requirements ensure monitoring persists across deployment modes.</w:t>
            </w:r>
          </w:p>
        </w:tc>
      </w:tr>
    </w:tbl>
    <w:p>
      <w:pPr>
        <w:pStyle w:val="Heading1"/>
      </w:pPr>
      <w:r>
        <w:t>14. Conformance Requirements</w:t>
      </w:r>
    </w:p>
    <w:p>
      <w:r>
        <w:rPr>
          <w:b w:val="0"/>
          <w:i w:val="0"/>
        </w:rPr>
        <w:t>The key words "MUST", "MUST NOT", "REQUIRED", "SHALL", "SHALL NOT", "SHOULD", "SHOULD NOT", "RECOMMENDED", "MAY", and "OPTIONAL" in this document are to be interpreted as described in RFC 2119 [BCP 14].</w:t>
      </w:r>
    </w:p>
    <w:p>
      <w:r>
        <w:rPr>
          <w:b/>
          <w:i w:val="0"/>
        </w:rPr>
        <w:t>An AITP-compliant system MUST satisfy all of the following requirements:</w:t>
      </w:r>
    </w:p>
    <w:p>
      <w:pPr>
        <w:pStyle w:val="ListBullet"/>
      </w:pPr>
      <w:r>
        <w:t>Every agent instance MUST hold an Ed25519 key pair generated at instantiation (Section 3.1).</w:t>
      </w:r>
    </w:p>
    <w:p>
      <w:pPr>
        <w:pStyle w:val="ListBullet"/>
      </w:pPr>
      <w:r>
        <w:t>Every agent identity MUST be bound to a signed scope manifest (Section 3.2).</w:t>
      </w:r>
    </w:p>
    <w:p>
      <w:pPr>
        <w:pStyle w:val="ListBullet"/>
      </w:pPr>
      <w:r>
        <w:t>Every agent action MUST produce a signed, hash-chained attestation record (Section 3.3).</w:t>
      </w:r>
    </w:p>
    <w:p>
      <w:pPr>
        <w:pStyle w:val="ListBullet"/>
      </w:pPr>
      <w:r>
        <w:t>All consequential actions MUST require co-signature from an independent entity (Section 3.4).</w:t>
      </w:r>
    </w:p>
    <w:p>
      <w:pPr>
        <w:pStyle w:val="ListBullet"/>
      </w:pPr>
      <w:r>
        <w:t>The Signing Authority MUST be stateless and MUST NOT contain a language model (Section 3.5).</w:t>
      </w:r>
    </w:p>
    <w:p>
      <w:pPr>
        <w:pStyle w:val="ListBullet"/>
      </w:pPr>
      <w:r>
        <w:t>Revocation MUST be immediate and MUST propagate to all dependent systems (Section 3.6).</w:t>
      </w:r>
    </w:p>
    <w:p>
      <w:pPr>
        <w:pStyle w:val="ListBullet"/>
      </w:pPr>
      <w:r>
        <w:t>Data MUST flow through operational tiers in sequence: Tier 1 to Tier 2 to Tier 3 (Section 4).</w:t>
      </w:r>
    </w:p>
    <w:p>
      <w:pPr>
        <w:pStyle w:val="ListBullet"/>
      </w:pPr>
      <w:r>
        <w:t>Agents at different tiers MUST NOT share execution contexts (Section 4.4).</w:t>
      </w:r>
    </w:p>
    <w:p>
      <w:pPr>
        <w:pStyle w:val="ListBullet"/>
      </w:pPr>
      <w:r>
        <w:t>Highest-consequence operations MUST require human co-signature via out-of-band channel (Section 5).</w:t>
      </w:r>
    </w:p>
    <w:p>
      <w:pPr>
        <w:pStyle w:val="ListBullet"/>
      </w:pPr>
      <w:r>
        <w:t>The system MUST implement a hybrid execution architecture spanning at least two deployment classes (Section 8).</w:t>
      </w:r>
    </w:p>
    <w:p>
      <w:r>
        <w:rPr>
          <w:b/>
          <w:i w:val="0"/>
        </w:rPr>
        <w:t>An AITP-compliant system SHOULD additionally:</w:t>
      </w:r>
    </w:p>
    <w:p>
      <w:pPr>
        <w:pStyle w:val="ListBullet"/>
      </w:pPr>
      <w:r>
        <w:t>Implement the full DDA verification pyramid for large-scale attestation (Section 7).</w:t>
      </w:r>
    </w:p>
    <w:p>
      <w:pPr>
        <w:pStyle w:val="ListBullet"/>
      </w:pPr>
      <w:r>
        <w:t>Deploy an Anomaly Resolution Agent for automated conflict resolution (Section 7.4).</w:t>
      </w:r>
    </w:p>
    <w:p>
      <w:pPr>
        <w:pStyle w:val="ListBullet"/>
      </w:pPr>
      <w:r>
        <w:t>Store agent private keys in hardware-backed secure enclaves where available (Section 3.1).</w:t>
      </w:r>
    </w:p>
    <w:p>
      <w:pPr>
        <w:pStyle w:val="ListBullet"/>
      </w:pPr>
      <w:r>
        <w:t>Replicate attestation logs to geographically separated locations (Section 9.3).</w:t>
      </w:r>
    </w:p>
    <w:p>
      <w:pPr>
        <w:pStyle w:val="ListBullet"/>
      </w:pPr>
      <w:r>
        <w:t>Include algorithm identifiers in attestation records for forward compatibility (Section 9.7).</w:t>
      </w:r>
    </w:p>
    <w:p>
      <w:pPr>
        <w:pStyle w:val="Heading1"/>
      </w:pPr>
      <w:r>
        <w:t>15. References</w:t>
      </w:r>
    </w:p>
    <w:p>
      <w:pPr>
        <w:pStyle w:val="Heading2"/>
      </w:pPr>
      <w:r>
        <w:t>15.1 Normative References</w:t>
      </w:r>
    </w:p>
    <w:p>
      <w:r>
        <w:rPr>
          <w:b w:val="0"/>
          <w:i w:val="0"/>
        </w:rPr>
        <w:t>[1] National Institute of Standards and Technology, "Artificial Intelligence Risk Management Framework (AI RMF 1.0)," NIST AI 100-1, January 2023. https://doi.org/10.6028/NIST.AI.100-1</w:t>
      </w:r>
    </w:p>
    <w:p>
      <w:r>
        <w:rPr>
          <w:b w:val="0"/>
          <w:i w:val="0"/>
        </w:rPr>
        <w:t>[2] National Institute of Standards and Technology, "Reducing Risks Posed by Synthetic Content: An Overview of Technical Approaches to Digital Content Transparency," NIST AI 100-4, March 2024. https://doi.org/10.6028/NIST.AI.100-4</w:t>
      </w:r>
    </w:p>
    <w:p>
      <w:r>
        <w:rPr>
          <w:b w:val="0"/>
          <w:i w:val="0"/>
        </w:rPr>
        <w:t>[3] National Institute of Standards and Technology, "AI Risk Management Framework: Generative AI Profile," NIST AI 600-1, July 2024. https://doi.org/10.6028/NIST.AI.600-1</w:t>
      </w:r>
    </w:p>
    <w:p>
      <w:r>
        <w:rPr>
          <w:b w:val="0"/>
          <w:i w:val="0"/>
        </w:rPr>
        <w:t>[4] National Institute of Standards and Technology, "Security and Privacy Controls for Information Systems and Organizations," NIST SP 800-53 Rev. 5, September 2020. https://doi.org/10.6028/NIST.SP.800-53r5</w:t>
      </w:r>
    </w:p>
    <w:p>
      <w:r>
        <w:rPr>
          <w:b w:val="0"/>
          <w:i w:val="0"/>
        </w:rPr>
        <w:t>[5] Bradner, S., "Key words for use in RFCs to Indicate Requirement Levels," BCP 14, RFC 2119, March 1997. https://www.rfc-editor.org/rfc/rfc2119</w:t>
      </w:r>
    </w:p>
    <w:p>
      <w:r>
        <w:rPr>
          <w:b w:val="0"/>
          <w:i w:val="0"/>
        </w:rPr>
        <w:t>[6] Bernstein, D.J., Duif, N., Lange, T., Schwabe, P., and B.-Y. Yang, "High-speed high-security signatures," Journal of Cryptographic Engineering, 2(2):77-89, September 2012. (Ed25519 specification)</w:t>
      </w:r>
    </w:p>
    <w:p>
      <w:pPr>
        <w:pStyle w:val="Heading2"/>
      </w:pPr>
      <w:r>
        <w:t>15.2 Informative References</w:t>
      </w:r>
    </w:p>
    <w:p>
      <w:r>
        <w:rPr>
          <w:b w:val="0"/>
          <w:i w:val="0"/>
        </w:rPr>
        <w:t>[7] Rajagopalan, S. and Rao, V., "Authenticated Workflows for Agentic Systems," 2026. (Pre-print; cited for context on concurrent work in cryptographic agent boundary enforcement.)</w:t>
      </w:r>
    </w:p>
    <w:p>
      <w:r>
        <w:rPr>
          <w:b w:val="0"/>
          <w:i w:val="0"/>
        </w:rPr>
        <w:t>[8] OWASP Foundation, "OWASP Top 10 for Large Language Model Applications," Version 1.1, 2023. https://owasp.org/www-project-top-10-for-large-language-model-applications/</w:t>
      </w:r>
    </w:p>
    <w:p>
      <w:r>
        <w:rPr>
          <w:b w:val="0"/>
          <w:i w:val="0"/>
        </w:rPr>
        <w:t>[9] Executive Order 14110, "Safe, Secure, and Trustworthy Development and Use of Artificial Intelligence," October 30, 2023. https://www.federalregister.gov/d/2023-24283</w:t>
      </w:r>
    </w:p>
    <w:p>
      <w:r>
        <w:rPr>
          <w:b w:val="0"/>
          <w:i w:val="0"/>
        </w:rPr>
        <w:t>[10] National Institute of Standards and Technology, "Secure Software Development Framework (SSDF)," NIST SP 800-218, February 2022. https://doi.org/10.6028/NIST.SP.800-218</w:t>
      </w:r>
    </w:p>
    <w:p>
      <w:r>
        <w:rPr>
          <w:b w:val="0"/>
          <w:i w:val="0"/>
        </w:rPr>
        <w:t>[11] Department of Defense, "Nuclear Weapons Security Manual," DoD S-5210.41-M. (Referenced as prior art for Two-Person Integrity controls.)</w:t>
      </w:r>
    </w:p>
    <w:p>
      <w:r>
        <w:rPr>
          <w:b w:val="0"/>
          <w:i w:val="0"/>
        </w:rPr>
        <w:t>[12] International Organization for Standardization, "Information technology -- Security techniques -- Information security management systems -- Requirements," ISO/IEC 27001:2022.</w:t>
      </w:r>
    </w:p>
    <w:p>
      <w:pPr>
        <w:pStyle w:val="Heading1"/>
      </w:pPr>
      <w:r>
        <w:t>Appendix A: Glossary of Terms</w:t>
      </w:r>
    </w:p>
    <w:p>
      <w:r/>
      <w:r>
        <w:rPr>
          <w:b/>
        </w:rPr>
        <w:t>Agent:</w:t>
      </w:r>
      <w:r>
        <w:t xml:space="preserve"> Any autonomous or semi-autonomous system that receives instructions, processes information, and produces output or takes actions on behalf of a principal.</w:t>
      </w:r>
    </w:p>
    <w:p>
      <w:r/>
      <w:r>
        <w:rPr>
          <w:b/>
        </w:rPr>
        <w:t>Agent Identity:</w:t>
      </w:r>
      <w:r>
        <w:t xml:space="preserve"> An Ed25519 key pair cryptographically bound to a specific agent instance.</w:t>
      </w:r>
    </w:p>
    <w:p>
      <w:r/>
      <w:r>
        <w:rPr>
          <w:b/>
        </w:rPr>
        <w:t>Anomaly Resolution Agent (ARA):</w:t>
      </w:r>
      <w:r>
        <w:t xml:space="preserve"> An independent agent outside the DDA hierarchy that resolves attestation conflicts and boundary disagreements.</w:t>
      </w:r>
    </w:p>
    <w:p>
      <w:r/>
      <w:r>
        <w:rPr>
          <w:b/>
        </w:rPr>
        <w:t>Attestation:</w:t>
      </w:r>
      <w:r>
        <w:t xml:space="preserve"> A signed, hash-chained record of an agent action, including agent identity, action type, input/output hashes, timestamp, and scope reference.</w:t>
      </w:r>
    </w:p>
    <w:p>
      <w:r/>
      <w:r>
        <w:rPr>
          <w:b/>
        </w:rPr>
        <w:t>Blast Radius:</w:t>
      </w:r>
      <w:r>
        <w:t xml:space="preserve"> The scope of damage resulting from the compromise of a single agent. AITP bounds blast radius to one agent, one key, one scope.</w:t>
      </w:r>
    </w:p>
    <w:p>
      <w:r/>
      <w:r>
        <w:rPr>
          <w:b/>
        </w:rPr>
        <w:t>Co-signature:</w:t>
      </w:r>
      <w:r>
        <w:t xml:space="preserve"> A second cryptographic signature from an entity architecturally independent of the acting agent, required for consequential actions.</w:t>
      </w:r>
    </w:p>
    <w:p>
      <w:r/>
      <w:r>
        <w:rPr>
          <w:b/>
        </w:rPr>
        <w:t>Consequential Action:</w:t>
      </w:r>
      <w:r>
        <w:t xml:space="preserve"> Any action classified in the agent's scope manifest as requiring co-signature before execution.</w:t>
      </w:r>
    </w:p>
    <w:p>
      <w:r/>
      <w:r>
        <w:rPr>
          <w:b/>
        </w:rPr>
        <w:t>DDA (Distributed Deterministic Attestation):</w:t>
      </w:r>
      <w:r>
        <w:t xml:space="preserve"> A hierarchical verification pyramid that distributes verification across multiple agent tiers, reducing human decision points to single digits.</w:t>
      </w:r>
    </w:p>
    <w:p>
      <w:r/>
      <w:r>
        <w:rPr>
          <w:b/>
        </w:rPr>
        <w:t>Nonrepudiation:</w:t>
      </w:r>
      <w:r>
        <w:t xml:space="preserve"> The property that an agent cannot deny having performed an action that it cryptographically attested.</w:t>
      </w:r>
    </w:p>
    <w:p>
      <w:r/>
      <w:r>
        <w:rPr>
          <w:b/>
        </w:rPr>
        <w:t>Scope Manifest:</w:t>
      </w:r>
      <w:r>
        <w:t xml:space="preserve"> A signed document enumerating the complete set of permissions granted to an agent identity.</w:t>
      </w:r>
    </w:p>
    <w:p>
      <w:r/>
      <w:r>
        <w:rPr>
          <w:b/>
        </w:rPr>
        <w:t>Signing Authority:</w:t>
      </w:r>
      <w:r>
        <w:t xml:space="preserve"> A stateless, deterministic policy engine that serves as the root of trust for the AITP system.</w:t>
      </w:r>
    </w:p>
    <w:p>
      <w:r/>
      <w:r>
        <w:rPr>
          <w:b/>
        </w:rPr>
        <w:t>Two-Person Integrity (TPI):</w:t>
      </w:r>
      <w:r>
        <w:t xml:space="preserve"> A security control requiring two independent parties to authorize a consequential action.</w:t>
      </w:r>
    </w:p>
    <w:p>
      <w:pPr>
        <w:pStyle w:val="Heading1"/>
      </w:pPr>
      <w:r>
        <w:t>Appendix B: Revision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Version</w:t>
            </w:r>
          </w:p>
        </w:tc>
        <w:tc>
          <w:tcPr>
            <w:tcW w:type="dxa" w:w="2880"/>
          </w:tcPr>
          <w:p>
            <w:r/>
            <w:r>
              <w:rPr>
                <w:rFonts w:ascii="Times New Roman" w:hAnsi="Times New Roman"/>
                <w:b/>
                <w:sz w:val="20"/>
              </w:rPr>
              <w:t>Date</w:t>
            </w:r>
          </w:p>
        </w:tc>
        <w:tc>
          <w:tcPr>
            <w:tcW w:type="dxa" w:w="2880"/>
          </w:tcPr>
          <w:p>
            <w:r/>
            <w:r>
              <w:rPr>
                <w:rFonts w:ascii="Times New Roman" w:hAnsi="Times New Roman"/>
                <w:b/>
                <w:sz w:val="20"/>
              </w:rPr>
              <w:t>Description</w:t>
            </w:r>
          </w:p>
        </w:tc>
      </w:tr>
      <w:tr>
        <w:tc>
          <w:tcPr>
            <w:tcW w:type="dxa" w:w="2880"/>
          </w:tcPr>
          <w:p>
            <w:r/>
            <w:r>
              <w:rPr>
                <w:rFonts w:ascii="Times New Roman" w:hAnsi="Times New Roman"/>
                <w:b w:val="0"/>
                <w:sz w:val="20"/>
              </w:rPr>
              <w:t>0.1</w:t>
            </w:r>
          </w:p>
        </w:tc>
        <w:tc>
          <w:tcPr>
            <w:tcW w:type="dxa" w:w="2880"/>
          </w:tcPr>
          <w:p>
            <w:r/>
            <w:r>
              <w:rPr>
                <w:rFonts w:ascii="Times New Roman" w:hAnsi="Times New Roman"/>
                <w:b w:val="0"/>
                <w:sz w:val="20"/>
              </w:rPr>
              <w:t>March 2026</w:t>
            </w:r>
          </w:p>
        </w:tc>
        <w:tc>
          <w:tcPr>
            <w:tcW w:type="dxa" w:w="2880"/>
          </w:tcPr>
          <w:p>
            <w:r/>
            <w:r>
              <w:rPr>
                <w:rFonts w:ascii="Times New Roman" w:hAnsi="Times New Roman"/>
                <w:b w:val="0"/>
                <w:sz w:val="20"/>
              </w:rPr>
              <w:t>Initial draft. Sections 1-12, NIST AI RMF mapping, security considerations, AITP Top 10, conformance requirements.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