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5FA3E">
      <w:pPr>
        <w:pStyle w:val="4"/>
      </w:pPr>
      <w:bookmarkStart w:id="0" w:name="_GoBack"/>
      <w:bookmarkEnd w:id="0"/>
      <w:r>
        <w:t>Introduction to Genomics</w:t>
      </w:r>
    </w:p>
    <w:p w14:paraId="10B0CEF3">
      <w:r>
        <w:t>Genomics is the study of the complete set of DNA, including all of its genes, in an organism. It involves sequencing, analyzing, and comparing genomes in order to understand their structure, function, and evolution.</w:t>
      </w:r>
    </w:p>
    <w:p w14:paraId="322800D6">
      <w:r>
        <w:t>Recent advances in genomic technologies have revolutionized our understanding of health and disease. By examining genetic variations, scientists can identify risk factors for various illnesses and develop personalized treatment strategies.</w:t>
      </w:r>
    </w:p>
    <w:p w14:paraId="2313E729">
      <w:r>
        <w:t>One of the major applications of genomics in health is in the field of precision medicine. This approach takes individual genetic profiles into account to customize medical care, ensuring treatments are more effective and have fewer side effects.</w:t>
      </w:r>
    </w:p>
    <w:p w14:paraId="59CEF4B1">
      <w:pPr>
        <w:pStyle w:val="4"/>
      </w:pPr>
      <w:r>
        <w:t>The Impact of Genomics on Healthcare</w:t>
      </w:r>
    </w:p>
    <w:p w14:paraId="794C4308">
      <w:r>
        <w:t>Genomic information is increasingly being used to guide clinical decisions. For instance, genomic testing can predict how patients will respond to certain drugs, improving outcomes in cancer therapy and other diseases.</w:t>
      </w:r>
    </w:p>
    <w:tbl>
      <w:tblPr>
        <w:tblStyle w:val="32"/>
        <w:tblW w:w="0" w:type="auto"/>
        <w:tblInd w:w="0" w:type="dxa"/>
        <w:tblLayout w:type="autofit"/>
        <w:tblCellMar>
          <w:top w:w="0" w:type="dxa"/>
          <w:left w:w="108" w:type="dxa"/>
          <w:bottom w:w="0" w:type="dxa"/>
          <w:right w:w="108" w:type="dxa"/>
        </w:tblCellMar>
      </w:tblPr>
      <w:tblGrid>
        <w:gridCol w:w="8640"/>
      </w:tblGrid>
      <w:tr w14:paraId="3F222198">
        <w:tc>
          <w:tcPr>
            <w:tcW w:w="8640" w:type="dxa"/>
            <w:shd w:val="clear" w:color="auto" w:fill="D9EAD3"/>
            <w:vAlign w:val="center"/>
          </w:tcPr>
          <w:p w14:paraId="60319BE0">
            <w:pPr>
              <w:jc w:val="left"/>
            </w:pPr>
            <w:r>
              <w:rPr>
                <w:color w:val="000000"/>
                <w:sz w:val="20"/>
              </w:rPr>
              <w:t>Note: Ethical considerations are essential in genomics research. Privacy, informed consent, and responsible data sharing must be prioritized to ensure the benefits of genomics are realized without compromising individual rights.</w:t>
            </w:r>
          </w:p>
        </w:tc>
      </w:tr>
    </w:tbl>
    <w:p w14:paraId="0A8F3BA2">
      <w:r>
        <w:t>The rapid pace of genomic discoveries brings both opportunities and challenges. While new therapies and diagnostics continue to emerge, there are also concerns about data security, ethics, and equity in access to genomic medicine.</w:t>
      </w:r>
    </w:p>
    <w:p w14:paraId="7435A394">
      <w:r>
        <w:t>As genomics becomes more integrated into healthcare, it is crucial to educate both professionals and the public about its possibilities and limitations. Collaborative efforts between scientists, clinicians, and policymakers will shape the future of genomics-driven health.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F786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2025-08-31T18:26:46Z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A431DBA7466654446623B4685F3CF1CA_42</vt:lpwstr>
  </property>
</Properties>
</file>