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2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</w:t>
      </w:r>
      <w:bookmarkStart w:id="0" w:name="_GoBack"/>
      <w:bookmarkEnd w:id="0"/>
      <w:r>
        <w:t>tional awareness.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391FFF4B">
      <w:r>
        <w:t>One of the prominent examples is the U.S. Army's Integrated Visual Augmentation System (IVAS), which heavily leverages Microsoft HoloLens technology.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  <w:r>
        <w:rPr>
          <w:rStyle w:val="135"/>
          <w:rFonts w:ascii="Arial" w:hAnsi="Arial"/>
          <w:sz w:val="28"/>
          <w:szCs w:val="28"/>
        </w:rPr>
        <w:endnoteReference w:id="0"/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5BD08AF2">
      <w:pPr>
        <w:pStyle w:val="24"/>
        <w:snapToGrid w:val="0"/>
      </w:pPr>
      <w:r>
        <w:rPr>
          <w:rStyle w:val="135"/>
        </w:rPr>
        <w:endnoteRef/>
      </w:r>
      <w:r>
        <w:t xml:space="preserve"> </w:t>
      </w:r>
      <w:r>
        <w:rPr>
          <w:rFonts w:hint="eastAsia"/>
        </w:rPr>
        <w:t>Cited from Wikipedia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BB9C0"/>
    <w:rsid w:val="5A25469F"/>
    <w:rsid w:val="6DF631D2"/>
    <w:rsid w:val="EFA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2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2025-08-29T18:04:20Z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