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commentRangeStart w:id="0"/>
      <w:r>
        <w:t>Introduction</w:t>
      </w:r>
      <w:commentRangeEnd w:id="0"/>
      <w:r>
        <w:commentReference w:id="0"/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barriers, including restricted land rights, limited access to credit, and less a</w:t>
      </w:r>
      <w:bookmarkStart w:id="0" w:name="_GoBack"/>
      <w:bookmarkEnd w:id="0"/>
      <w:r>
        <w:t>ccess to agricultural training and technology.</w:t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7" w:type="default"/>
      <w:footerReference r:id="rId8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9-01T14:27:14Z" w:initials="">
    <w:p w14:paraId="2711A68D">
      <w:pPr>
        <w:pStyle w:val="17"/>
        <w:rPr>
          <w:rFonts w:hint="default"/>
          <w:lang w:val="en-US"/>
        </w:rPr>
      </w:pPr>
      <w:r>
        <w:rPr>
          <w:rFonts w:hint="default"/>
          <w:lang w:val="en-US"/>
        </w:rPr>
        <w:t>Done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11A68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5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6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F9F1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