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72DA475A">
      <w:r>
        <w:t>Despite their contribution, women often face significant barr</w:t>
      </w:r>
      <w:bookmarkStart w:id="0" w:name="_GoBack"/>
      <w:bookmarkEnd w:id="0"/>
      <w:r>
        <w:t>iers, including restricted land rights, limited access to credit, and less access to agricultural training and technology.</w:t>
      </w:r>
    </w:p>
    <w:p w14:paraId="575E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7AA2E7B9"/>
    <w:rsid w:val="7FFE7FB5"/>
    <w:rsid w:val="B6AE103F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2025-08-29T20:07:55Z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