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2"/>
      </w:pPr>
      <w:r>
        <w:t>Student Loans</w:t>
      </w:r>
    </w:p>
    <w:p w14:paraId="06C6B957">
      <w:bookmarkStart w:id="0" w:name="_GoBack"/>
      <w:commentRangeStart w:id="0"/>
      <w:r>
        <w:t>Student loans</w:t>
      </w:r>
      <w:bookmarkEnd w:id="0"/>
      <w:commentRangeEnd w:id="0"/>
      <w:r>
        <w:commentReference w:id="0"/>
      </w:r>
      <w:r>
        <w:t xml:space="preserve">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r>
        <w:t>Borrowers typically must repay the loan amount, plus interest, after completing their studies, although repayment terms can vary widely.</w:t>
      </w:r>
    </w:p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9-01T14:35:12Z" w:initials="">
    <w:p w14:paraId="014DAF4E">
      <w:pPr>
        <w:pStyle w:val="17"/>
      </w:pPr>
      <w:r>
        <w:rPr>
          <w:rFonts w:hint="eastAsia"/>
        </w:rPr>
        <w:t>More explanations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14DAF4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627F14B0"/>
    <w:rsid w:val="7492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2025-09-01T14:35:33Z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