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3168">
      <w:pPr>
        <w:pStyle w:val="3"/>
      </w:pPr>
      <w:r>
        <w:t>Political Satire in Caricature Art</w:t>
      </w:r>
    </w:p>
    <w:p w14:paraId="16EE296F">
      <w:r>
        <w:t>Political satire has played a crucial role throughout history, serving both as a form of public amusement and a vehicle for social commentary.</w:t>
      </w:r>
    </w:p>
    <w:p w14:paraId="19EEDBA6">
      <w:r>
        <w:t>Caricature art can be traced back to the Renaissance, when artists began exaggerating physical features for comic effect, often using these distortions to lampoon prominent figures.</w:t>
      </w:r>
    </w:p>
    <w:p w14:paraId="7940F57A">
      <w:r>
        <w:t>In the 18th and 19th centuries, the rise of print media allowed satirical artists such as James Gillray and Honoré Daumier to reach broad audiences, amplifying their impact.</w:t>
      </w:r>
    </w:p>
    <w:p w14:paraId="5D695EC5">
      <w:r>
        <w:t>These caricatures often targeted political leaders, using humor and exaggeration to expose hypocrisy, corruption, or folly within governments.</w:t>
      </w:r>
    </w:p>
    <w:p w14:paraId="4CB272C8">
      <w:r>
        <w:t>Caricature art simplifies complex political events, making them accessible to the general public and providing an entry point for civic engagement.</w:t>
      </w:r>
    </w:p>
    <w:p w14:paraId="234ACDF5">
      <w:r>
        <w:t>While amusing on the surface, political caricature can provoke controversy and backlash, especially when it touches on sensitive subjects or challenges authority.</w:t>
      </w:r>
    </w:p>
    <w:p w14:paraId="18C81BE5">
      <w:r>
        <w:t>In authoritarian societies, satirical caricatures have at times represented rare vehicles for dissent, cleverly masking criticism to avoid censorship.</w:t>
      </w:r>
    </w:p>
    <w:p w14:paraId="42DB0ED9">
      <w:r>
        <w:t>Caricaturists employ devices such as symbolism, irony, and visual metaphor to communicate powerful messages within a single illustration.</w:t>
      </w:r>
    </w:p>
    <w:p w14:paraId="00DE4D46">
      <w:r>
        <w:t>As media evolved, so too did the platforms for political caricature, moving from printed broadsheets and newspapers to digital cartoons and memes.</w:t>
      </w:r>
    </w:p>
    <w:p w14:paraId="1CF2C08B">
      <w:r>
        <w:t>Modern caricature continues the tradition of satire, adapting new styles and technologies to comment on contemporary issues and leadership.</w:t>
      </w:r>
    </w:p>
    <w:p w14:paraId="5FBF8B5C">
      <w:r>
        <w:t>Despite changing forms, the essential function of political satire in caricature art remains: to question, provoke, and inspire dialogue about society and power.</w:t>
      </w:r>
    </w:p>
    <w:p w14:paraId="1F8A9754">
      <w:r>
        <w:t xml:space="preserve">For more information about the historical evolution of caricature, visit the </w:t>
      </w:r>
      <w:r>
        <w:fldChar w:fldCharType="begin"/>
      </w:r>
      <w:r>
        <w:instrText xml:space="preserve"> HYPERLINK "https://www.cartoons.ac.uk/" \h </w:instrText>
      </w:r>
      <w:r>
        <w:fldChar w:fldCharType="separate"/>
      </w:r>
      <w:r>
        <w:rPr>
          <w:color w:val="0000FF"/>
          <w:u w:val="single"/>
        </w:rPr>
        <w:t>More Information</w:t>
      </w:r>
      <w:r>
        <w:rPr>
          <w:color w:val="0000FF"/>
          <w:u w:val="single"/>
        </w:rPr>
        <w:fldChar w:fldCharType="end"/>
      </w:r>
      <w:r>
        <w:t xml:space="preserve"> online.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653C4"/>
    <w:rsid w:val="208B4DF4"/>
    <w:rsid w:val="2D5B2188"/>
    <w:rsid w:val="6EA77676"/>
    <w:rsid w:val="7A1D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</Words>
  <Characters>1576</Characters>
  <Lines>0</Lines>
  <Paragraphs>0</Paragraphs>
  <TotalTime>3</TotalTime>
  <ScaleCrop>false</ScaleCrop>
  <LinksUpToDate>false</LinksUpToDate>
  <CharactersWithSpaces>1822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WPS_1690165298</cp:lastModifiedBy>
  <dcterms:modified xsi:type="dcterms:W3CDTF">2025-07-31T07:35:36Z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eyJoZGlkIjoiMDljYzUzMWQ4OWI0YzBkYjYzMDRhZTY5ZjZkYmFmYTgiLCJ1c2VySWQiOiIxNTE3MDQ1MjIxIn0=</vt:lpwstr>
  </property>
  <property fmtid="{D5CDD505-2E9C-101B-9397-08002B2CF9AE}" pid="3" name="KSOProductBuildVer">
    <vt:lpwstr>2052-12.1.0.21915</vt:lpwstr>
  </property>
  <property fmtid="{D5CDD505-2E9C-101B-9397-08002B2CF9AE}" pid="4" name="ICV">
    <vt:lpwstr>A092502FA1DA4015873B6C29B7AA5744_13</vt:lpwstr>
  </property>
</Properties>
</file>