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9796" w14:textId="0B617FC2" w:rsidR="00E018FC" w:rsidRDefault="00591E76" w:rsidP="00E018F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7B50653" w14:textId="77777777" w:rsidR="00BD3DCF" w:rsidRPr="004D702A" w:rsidRDefault="00BD3DCF" w:rsidP="00E018FC">
      <w:pPr>
        <w:rPr>
          <w:sz w:val="22"/>
          <w:szCs w:val="22"/>
        </w:rPr>
      </w:pPr>
    </w:p>
    <w:p w14:paraId="0BA6218C" w14:textId="77777777" w:rsidR="00E018FC" w:rsidRPr="008D343B" w:rsidRDefault="00E018FC" w:rsidP="00E018FC">
      <w:pPr>
        <w:pStyle w:val="Title"/>
        <w:rPr>
          <w:rFonts w:ascii="Times New Roman" w:hAnsi="Times New Roman"/>
          <w:sz w:val="24"/>
          <w:szCs w:val="24"/>
        </w:rPr>
      </w:pPr>
      <w:r w:rsidRPr="008D343B">
        <w:rPr>
          <w:rFonts w:ascii="Times New Roman" w:hAnsi="Times New Roman"/>
          <w:sz w:val="24"/>
          <w:szCs w:val="24"/>
        </w:rPr>
        <w:t>memorandum</w:t>
      </w:r>
    </w:p>
    <w:tbl>
      <w:tblPr>
        <w:tblW w:w="51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7769"/>
      </w:tblGrid>
      <w:tr w:rsidR="00E018FC" w:rsidRPr="00081962" w14:paraId="059BEB08" w14:textId="77777777" w:rsidTr="00907C2B">
        <w:trPr>
          <w:cantSplit/>
          <w:trHeight w:val="288"/>
        </w:trPr>
        <w:tc>
          <w:tcPr>
            <w:tcW w:w="1800" w:type="dxa"/>
          </w:tcPr>
          <w:p w14:paraId="7F61B958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TO:</w:t>
            </w:r>
          </w:p>
        </w:tc>
        <w:tc>
          <w:tcPr>
            <w:tcW w:w="7530" w:type="dxa"/>
          </w:tcPr>
          <w:p w14:paraId="63105BBA" w14:textId="77777777" w:rsidR="00E018FC" w:rsidRPr="00424C98" w:rsidRDefault="00E018FC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 w:rsidRPr="00424C98">
              <w:rPr>
                <w:rFonts w:ascii="Times New Roman" w:hAnsi="Times New Roman"/>
                <w:b w:val="0"/>
              </w:rPr>
              <w:t>TRANSPORTATION BUSINESS UNIT (TBU) CLEARANCE REPRESENTATIVES</w:t>
            </w:r>
          </w:p>
        </w:tc>
      </w:tr>
      <w:tr w:rsidR="00E018FC" w:rsidRPr="00A714D0" w14:paraId="350DEB54" w14:textId="77777777" w:rsidTr="00907C2B">
        <w:trPr>
          <w:cantSplit/>
          <w:trHeight w:val="324"/>
        </w:trPr>
        <w:tc>
          <w:tcPr>
            <w:tcW w:w="1800" w:type="dxa"/>
          </w:tcPr>
          <w:p w14:paraId="49943A1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FROM:</w:t>
            </w:r>
          </w:p>
        </w:tc>
        <w:tc>
          <w:tcPr>
            <w:tcW w:w="7530" w:type="dxa"/>
          </w:tcPr>
          <w:p w14:paraId="568485CD" w14:textId="0357CDFB" w:rsidR="00E018FC" w:rsidRPr="00424C98" w:rsidRDefault="00211201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fldChar w:fldCharType="begin"/>
            </w:r>
            <w:r>
              <w:rPr>
                <w:rFonts w:ascii="Times New Roman" w:hAnsi="Times New Roman"/>
                <w:b w:val="0"/>
                <w:noProof/>
              </w:rPr>
              <w:instrText xml:space="preserve"> MERGEFIELD Preparer_Job_Title  </w:instrText>
            </w:r>
            <w:r w:rsidRPr="00424C98">
              <w:rPr>
                <w:rFonts w:ascii="Times New Roman" w:hAnsi="Times New Roman"/>
                <w:b w:val="0"/>
                <w:noProof/>
              </w:rPr>
              <w:instrText>\* Charformat \* Upper</w:instrText>
            </w:r>
            <w:r>
              <w:rPr>
                <w:rFonts w:ascii="Times New Roman" w:hAnsi="Times New Roman"/>
                <w:b w:val="0"/>
                <w:noProof/>
              </w:rPr>
              <w:instrText xml:space="preserve"> </w:instrText>
            </w:r>
            <w:r>
              <w:rPr>
                <w:rFonts w:ascii="Times New Roman" w:hAnsi="Times New Roman"/>
                <w:b w:val="0"/>
                <w:noProof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«PREPARER_JOB_TITLE»</w:t>
            </w:r>
            <w:r>
              <w:rPr>
                <w:rFonts w:ascii="Times New Roman" w:hAnsi="Times New Roman"/>
                <w:b w:val="0"/>
                <w:noProof/>
              </w:rPr>
              <w:fldChar w:fldCharType="end"/>
            </w:r>
            <w:r>
              <w:rPr>
                <w:rFonts w:ascii="Times New Roman" w:hAnsi="Times New Roman"/>
                <w:b w:val="0"/>
                <w:noProof/>
              </w:rPr>
              <w:t xml:space="preserve"> 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begin"/>
            </w:r>
            <w:r w:rsidR="00171F2D" w:rsidRPr="00424C98">
              <w:rPr>
                <w:rFonts w:ascii="Times New Roman" w:hAnsi="Times New Roman"/>
                <w:b w:val="0"/>
              </w:rPr>
              <w:instrText xml:space="preserve"> MERGEFIELD Preparer_Full_Name </w:instrText>
            </w:r>
            <w:r w:rsidR="00636F38" w:rsidRPr="00424C98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8276DD" w:rsidRPr="00424C98">
              <w:rPr>
                <w:rFonts w:ascii="Times New Roman" w:hAnsi="Times New Roman"/>
                <w:b w:val="0"/>
              </w:rPr>
              <w:instrText xml:space="preserve">\* Upper </w:instrText>
            </w:r>
            <w:r w:rsidR="00171F2D"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«PREPARER_FULL_NAME»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424C98" w14:paraId="34DEB1DC" w14:textId="77777777" w:rsidTr="00907C2B">
        <w:trPr>
          <w:cantSplit/>
          <w:trHeight w:val="288"/>
        </w:trPr>
        <w:tc>
          <w:tcPr>
            <w:tcW w:w="1800" w:type="dxa"/>
          </w:tcPr>
          <w:p w14:paraId="7209D7E5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SUBJECT:</w:t>
            </w:r>
          </w:p>
        </w:tc>
        <w:tc>
          <w:tcPr>
            <w:tcW w:w="7530" w:type="dxa"/>
          </w:tcPr>
          <w:p w14:paraId="7EAC58FC" w14:textId="5FBD5ACE" w:rsidR="00E018FC" w:rsidRPr="00424C98" w:rsidRDefault="00E018FC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 w:rsidRPr="00424C98">
              <w:rPr>
                <w:rFonts w:ascii="Times New Roman" w:hAnsi="Times New Roman"/>
                <w:b w:val="0"/>
              </w:rPr>
              <w:t>TBU CLEARANCE</w:t>
            </w:r>
            <w:r w:rsidR="00126104" w:rsidRPr="00424C98">
              <w:rPr>
                <w:rFonts w:ascii="Times New Roman" w:hAnsi="Times New Roman"/>
                <w:b w:val="0"/>
              </w:rPr>
              <w:t xml:space="preserve"> (GENERAL EXCLUSION)</w:t>
            </w:r>
            <w:r w:rsidRPr="00424C98">
              <w:rPr>
                <w:rFonts w:ascii="Times New Roman" w:hAnsi="Times New Roman"/>
                <w:b w:val="0"/>
              </w:rPr>
              <w:t xml:space="preserve"> –</w:t>
            </w:r>
            <w:r w:rsidR="00171F2D" w:rsidRPr="00424C98">
              <w:rPr>
                <w:rFonts w:ascii="Times New Roman" w:hAnsi="Times New Roman"/>
                <w:b w:val="0"/>
              </w:rPr>
              <w:t xml:space="preserve"> </w:t>
            </w:r>
            <w:r w:rsidR="00303223">
              <w:rPr>
                <w:rFonts w:ascii="Times New Roman" w:hAnsi="Times New Roman"/>
                <w:b w:val="0"/>
              </w:rPr>
              <w:t xml:space="preserve">MC# 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begin"/>
            </w:r>
            <w:r w:rsidR="00171F2D" w:rsidRPr="00424C98">
              <w:rPr>
                <w:rFonts w:ascii="Times New Roman" w:hAnsi="Times New Roman"/>
                <w:b w:val="0"/>
              </w:rPr>
              <w:instrText xml:space="preserve"> MERGEFIELD tblMCMainMcId </w:instrText>
            </w:r>
            <w:r w:rsidR="00636F38" w:rsidRPr="00424C98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8276DD" w:rsidRPr="00424C98">
              <w:rPr>
                <w:rFonts w:ascii="Times New Roman" w:hAnsi="Times New Roman"/>
                <w:b w:val="0"/>
              </w:rPr>
              <w:instrText xml:space="preserve">\* Upper </w:instrText>
            </w:r>
            <w:r w:rsidR="00171F2D"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«TBLMCMAINMCID»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end"/>
            </w:r>
            <w:r w:rsidR="00171F2D" w:rsidRPr="00424C98">
              <w:rPr>
                <w:rFonts w:ascii="Times New Roman" w:hAnsi="Times New Roman"/>
                <w:b w:val="0"/>
              </w:rPr>
              <w:t xml:space="preserve"> - 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begin"/>
            </w:r>
            <w:r w:rsidR="00171F2D" w:rsidRPr="00424C98">
              <w:rPr>
                <w:rFonts w:ascii="Times New Roman" w:hAnsi="Times New Roman"/>
                <w:b w:val="0"/>
              </w:rPr>
              <w:instrText xml:space="preserve"> MERGEFIELD Property_Name </w:instrText>
            </w:r>
            <w:r w:rsidR="00636F38" w:rsidRPr="00424C98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8276DD" w:rsidRPr="00424C98">
              <w:rPr>
                <w:rFonts w:ascii="Times New Roman" w:hAnsi="Times New Roman"/>
                <w:b w:val="0"/>
              </w:rPr>
              <w:instrText xml:space="preserve">\* Upper </w:instrText>
            </w:r>
            <w:r w:rsidR="00171F2D"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«PROPERTY_NAME»</w:t>
            </w:r>
            <w:r w:rsidR="00171F2D" w:rsidRPr="00424C98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A714D0" w14:paraId="5B61F579" w14:textId="77777777" w:rsidTr="00907C2B">
        <w:trPr>
          <w:cantSplit/>
          <w:trHeight w:val="288"/>
        </w:trPr>
        <w:tc>
          <w:tcPr>
            <w:tcW w:w="1800" w:type="dxa"/>
          </w:tcPr>
          <w:p w14:paraId="5E5A179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DATE:</w:t>
            </w:r>
          </w:p>
        </w:tc>
        <w:tc>
          <w:tcPr>
            <w:tcW w:w="7530" w:type="dxa"/>
          </w:tcPr>
          <w:p w14:paraId="4146FCED" w14:textId="40C05068" w:rsidR="00E018FC" w:rsidRPr="00424C98" w:rsidRDefault="004E45DA" w:rsidP="00C05147">
            <w:pPr>
              <w:pStyle w:val="Heading1"/>
              <w:rPr>
                <w:rFonts w:ascii="Times New Roman" w:hAnsi="Times New Roman"/>
                <w:b w:val="0"/>
              </w:rPr>
            </w:pPr>
            <w:r w:rsidRPr="00424C98">
              <w:rPr>
                <w:rFonts w:ascii="Times New Roman" w:hAnsi="Times New Roman"/>
                <w:b w:val="0"/>
              </w:rPr>
              <w:fldChar w:fldCharType="begin"/>
            </w:r>
            <w:r w:rsidRPr="00424C98">
              <w:rPr>
                <w:rFonts w:ascii="Times New Roman" w:hAnsi="Times New Roman"/>
                <w:b w:val="0"/>
              </w:rPr>
              <w:instrText xml:space="preserve"> MERGEFIELD Date</w:instrText>
            </w:r>
            <w:r w:rsidR="00C05147" w:rsidRPr="00424C98">
              <w:rPr>
                <w:rFonts w:ascii="Times New Roman" w:hAnsi="Times New Roman"/>
                <w:b w:val="0"/>
              </w:rPr>
              <w:instrText>_</w:instrText>
            </w:r>
            <w:r w:rsidRPr="00424C98">
              <w:rPr>
                <w:rFonts w:ascii="Times New Roman" w:hAnsi="Times New Roman"/>
                <w:b w:val="0"/>
              </w:rPr>
              <w:instrText>of</w:instrText>
            </w:r>
            <w:r w:rsidR="00C05147" w:rsidRPr="00424C98">
              <w:rPr>
                <w:rFonts w:ascii="Times New Roman" w:hAnsi="Times New Roman"/>
                <w:b w:val="0"/>
              </w:rPr>
              <w:instrText>_</w:instrText>
            </w:r>
            <w:r w:rsidRPr="00424C98">
              <w:rPr>
                <w:rFonts w:ascii="Times New Roman" w:hAnsi="Times New Roman"/>
                <w:b w:val="0"/>
              </w:rPr>
              <w:instrText>Preparation</w:instrText>
            </w:r>
            <w:r w:rsidR="009765EF" w:rsidRPr="00424C98">
              <w:rPr>
                <w:rFonts w:ascii="Times New Roman" w:hAnsi="Times New Roman"/>
                <w:b w:val="0"/>
              </w:rPr>
              <w:instrText xml:space="preserve"> \@ "MMMM d, yyyy"</w:instrText>
            </w:r>
            <w:r w:rsidR="00636F38" w:rsidRPr="00424C98">
              <w:rPr>
                <w:rFonts w:ascii="Times New Roman" w:hAnsi="Times New Roman"/>
                <w:b w:val="0"/>
              </w:rPr>
              <w:instrText xml:space="preserve"> \* Charformat</w:instrText>
            </w:r>
            <w:r w:rsidRPr="00424C98">
              <w:rPr>
                <w:rFonts w:ascii="Times New Roman" w:hAnsi="Times New Roman"/>
                <w:b w:val="0"/>
              </w:rPr>
              <w:instrText xml:space="preserve"> </w:instrText>
            </w:r>
            <w:r w:rsidR="008276DD" w:rsidRPr="00424C98">
              <w:rPr>
                <w:rFonts w:ascii="Times New Roman" w:hAnsi="Times New Roman"/>
                <w:b w:val="0"/>
              </w:rPr>
              <w:instrText xml:space="preserve">\* Upper </w:instrText>
            </w:r>
            <w:r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«DATE_OF_PREPARATION»</w:t>
            </w:r>
            <w:r w:rsidRPr="00424C98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A714D0" w14:paraId="2A928C84" w14:textId="77777777" w:rsidTr="00907C2B">
        <w:trPr>
          <w:cantSplit/>
          <w:trHeight w:val="288"/>
        </w:trPr>
        <w:tc>
          <w:tcPr>
            <w:tcW w:w="1800" w:type="dxa"/>
            <w:tcBorders>
              <w:bottom w:val="single" w:sz="4" w:space="0" w:color="404040"/>
            </w:tcBorders>
          </w:tcPr>
          <w:p w14:paraId="581319F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RESPONSE REQUESTED BY:</w:t>
            </w:r>
          </w:p>
        </w:tc>
        <w:tc>
          <w:tcPr>
            <w:tcW w:w="7530" w:type="dxa"/>
            <w:tcBorders>
              <w:bottom w:val="single" w:sz="4" w:space="0" w:color="404040"/>
            </w:tcBorders>
          </w:tcPr>
          <w:p w14:paraId="6FD71D79" w14:textId="1FBBDDDA" w:rsidR="00E018FC" w:rsidRPr="00424C98" w:rsidRDefault="00E018FC" w:rsidP="00C05147">
            <w:pPr>
              <w:pStyle w:val="Heading1"/>
              <w:rPr>
                <w:rFonts w:ascii="Times New Roman" w:hAnsi="Times New Roman"/>
                <w:b w:val="0"/>
              </w:rPr>
            </w:pPr>
            <w:r w:rsidRPr="00C05147">
              <w:rPr>
                <w:rFonts w:ascii="Times New Roman" w:hAnsi="Times New Roman"/>
              </w:rPr>
              <w:br/>
            </w:r>
            <w:r w:rsidR="00815E5D" w:rsidRPr="00424C98">
              <w:rPr>
                <w:rFonts w:ascii="Times New Roman" w:hAnsi="Times New Roman"/>
                <w:b w:val="0"/>
              </w:rPr>
              <w:fldChar w:fldCharType="begin"/>
            </w:r>
            <w:r w:rsidR="00815E5D" w:rsidRPr="00424C98">
              <w:rPr>
                <w:rFonts w:ascii="Times New Roman" w:hAnsi="Times New Roman"/>
                <w:b w:val="0"/>
              </w:rPr>
              <w:instrText xml:space="preserve"> MERGEFIELD Date_of_Preparation \@ "MMMM d, yyyy" \* Charformat \* Upper </w:instrText>
            </w:r>
            <w:r w:rsidR="00815E5D"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5B19">
              <w:rPr>
                <w:rFonts w:ascii="Times New Roman" w:hAnsi="Times New Roman"/>
                <w:b w:val="0"/>
                <w:noProof/>
              </w:rPr>
              <w:t>«DATE_OF_PREPARATION»</w:t>
            </w:r>
            <w:r w:rsidR="00815E5D" w:rsidRPr="00424C98">
              <w:rPr>
                <w:rFonts w:ascii="Times New Roman" w:hAnsi="Times New Roman"/>
                <w:b w:val="0"/>
              </w:rPr>
              <w:fldChar w:fldCharType="end"/>
            </w:r>
          </w:p>
        </w:tc>
      </w:tr>
    </w:tbl>
    <w:p w14:paraId="53256A9C" w14:textId="77777777" w:rsidR="00E018FC" w:rsidRPr="00AD1969" w:rsidRDefault="00E018FC" w:rsidP="00E018FC">
      <w:pPr>
        <w:ind w:left="1440" w:hanging="1440"/>
        <w:rPr>
          <w:u w:val="single"/>
        </w:rPr>
      </w:pPr>
    </w:p>
    <w:p w14:paraId="5D77C786" w14:textId="77777777" w:rsidR="00E018FC" w:rsidRPr="00AD1969" w:rsidRDefault="00E018FC" w:rsidP="000B3C63">
      <w:pPr>
        <w:rPr>
          <w:b/>
          <w:u w:val="single"/>
        </w:rPr>
      </w:pPr>
      <w:r w:rsidRPr="00AD1969">
        <w:rPr>
          <w:b/>
          <w:u w:val="single"/>
        </w:rPr>
        <w:t>PURPOSE OF MEMORANDUM</w:t>
      </w:r>
    </w:p>
    <w:p w14:paraId="572E4C40" w14:textId="77777777" w:rsidR="00E018FC" w:rsidRPr="00AD1969" w:rsidRDefault="00E018FC" w:rsidP="00E018FC">
      <w:pPr>
        <w:ind w:left="1440" w:hanging="1440"/>
      </w:pPr>
    </w:p>
    <w:p w14:paraId="263014A9" w14:textId="7523C4F5" w:rsidR="00B21E42" w:rsidRPr="00AD1969" w:rsidRDefault="00B21E42" w:rsidP="00B21E42">
      <w:r w:rsidRPr="00AD1969">
        <w:t>In accordance with Maryland Department of Transportation Policy and Procedure 654.1, it is the purpose of this memorandum to advise that</w:t>
      </w:r>
      <w:r w:rsidR="00221632">
        <w:t xml:space="preserve"> MC#</w:t>
      </w:r>
      <w:r w:rsidRPr="00AD1969">
        <w:t xml:space="preserve"> </w:t>
      </w:r>
      <w:r w:rsidR="00A058F2">
        <w:rPr>
          <w:noProof/>
        </w:rPr>
        <w:fldChar w:fldCharType="begin"/>
      </w:r>
      <w:r w:rsidR="00A058F2">
        <w:rPr>
          <w:noProof/>
        </w:rPr>
        <w:instrText xml:space="preserve"> MERGEFIELD tblMCMainMcId </w:instrText>
      </w:r>
      <w:r w:rsidR="00A058F2">
        <w:rPr>
          <w:noProof/>
        </w:rPr>
        <w:fldChar w:fldCharType="separate"/>
      </w:r>
      <w:r w:rsidR="00215B19">
        <w:rPr>
          <w:noProof/>
        </w:rPr>
        <w:t>«tblMCMainMcId»</w:t>
      </w:r>
      <w:r w:rsidR="00A058F2">
        <w:rPr>
          <w:noProof/>
        </w:rPr>
        <w:fldChar w:fldCharType="end"/>
      </w:r>
      <w:r w:rsidRPr="00AD1969">
        <w:t xml:space="preserve"> identified as the former 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Property_Name </w:instrText>
      </w:r>
      <w:r w:rsidR="00303223">
        <w:rPr>
          <w:noProof/>
        </w:rPr>
        <w:fldChar w:fldCharType="separate"/>
      </w:r>
      <w:r w:rsidR="00215B19">
        <w:rPr>
          <w:noProof/>
        </w:rPr>
        <w:t>«Property_Name»</w:t>
      </w:r>
      <w:r w:rsidR="00303223">
        <w:rPr>
          <w:noProof/>
        </w:rPr>
        <w:fldChar w:fldCharType="end"/>
      </w:r>
      <w:r w:rsidRPr="00AD1969">
        <w:rPr>
          <w:color w:val="FF0000"/>
        </w:rPr>
        <w:t xml:space="preserve"> </w:t>
      </w:r>
      <w:r w:rsidRPr="00AD1969">
        <w:t>property, Item No</w:t>
      </w:r>
      <w:r w:rsidR="00722EB2">
        <w:t>(s)</w:t>
      </w:r>
      <w:r w:rsidRPr="00AD1969">
        <w:t xml:space="preserve">. 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TBU_Item_s </w:instrText>
      </w:r>
      <w:r w:rsidR="00303223">
        <w:rPr>
          <w:noProof/>
        </w:rPr>
        <w:fldChar w:fldCharType="separate"/>
      </w:r>
      <w:r w:rsidR="00215B19">
        <w:rPr>
          <w:noProof/>
        </w:rPr>
        <w:t>«TBU_Item_s»</w:t>
      </w:r>
      <w:r w:rsidR="00303223">
        <w:rPr>
          <w:noProof/>
        </w:rPr>
        <w:fldChar w:fldCharType="end"/>
      </w:r>
      <w:r w:rsidRPr="00AD1969">
        <w:t xml:space="preserve"> is excluded from the TBU Clearance process.</w:t>
      </w:r>
    </w:p>
    <w:p w14:paraId="1D954FF8" w14:textId="77777777" w:rsidR="00E018FC" w:rsidRPr="00AD1969" w:rsidRDefault="00E018FC" w:rsidP="00E018FC"/>
    <w:p w14:paraId="042995E5" w14:textId="77777777" w:rsidR="00E018FC" w:rsidRPr="00AD1969" w:rsidRDefault="00E018FC" w:rsidP="000B3C63">
      <w:pPr>
        <w:rPr>
          <w:b/>
        </w:rPr>
      </w:pPr>
      <w:r w:rsidRPr="00AD1969">
        <w:rPr>
          <w:b/>
          <w:u w:val="single"/>
        </w:rPr>
        <w:t>SUMMARY</w:t>
      </w:r>
    </w:p>
    <w:p w14:paraId="4A681987" w14:textId="77777777" w:rsidR="00E018FC" w:rsidRPr="00AD1969" w:rsidRDefault="00E018FC" w:rsidP="00E018FC">
      <w:pPr>
        <w:tabs>
          <w:tab w:val="left" w:pos="5265"/>
        </w:tabs>
        <w:ind w:left="1440" w:hanging="1440"/>
      </w:pPr>
    </w:p>
    <w:p w14:paraId="16A837BF" w14:textId="106F660C" w:rsidR="00B21E42" w:rsidRPr="00AD1969" w:rsidRDefault="00B21E42" w:rsidP="00B21E42">
      <w:r w:rsidRPr="00AD1969">
        <w:t>The Maryland Department of Transportation</w:t>
      </w:r>
      <w:r w:rsidR="00171F2D">
        <w:t xml:space="preserve"> 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TBU_Name </w:instrText>
      </w:r>
      <w:r w:rsidR="00303223">
        <w:rPr>
          <w:noProof/>
        </w:rPr>
        <w:fldChar w:fldCharType="separate"/>
      </w:r>
      <w:r w:rsidR="00215B19">
        <w:rPr>
          <w:noProof/>
        </w:rPr>
        <w:t>«TBU_Name»</w:t>
      </w:r>
      <w:r w:rsidR="00303223">
        <w:rPr>
          <w:noProof/>
        </w:rPr>
        <w:fldChar w:fldCharType="end"/>
      </w:r>
      <w:r w:rsidR="00171F2D">
        <w:t xml:space="preserve"> </w:t>
      </w:r>
      <w:r w:rsidR="00A058F2">
        <w:t>(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TBU_Acronym </w:instrText>
      </w:r>
      <w:r w:rsidR="00303223">
        <w:rPr>
          <w:noProof/>
        </w:rPr>
        <w:fldChar w:fldCharType="separate"/>
      </w:r>
      <w:r w:rsidR="00215B19">
        <w:rPr>
          <w:noProof/>
        </w:rPr>
        <w:t>«TBU_Acronym»</w:t>
      </w:r>
      <w:r w:rsidR="00303223">
        <w:rPr>
          <w:noProof/>
        </w:rPr>
        <w:fldChar w:fldCharType="end"/>
      </w:r>
      <w:r w:rsidR="00A058F2">
        <w:rPr>
          <w:noProof/>
        </w:rPr>
        <w:t>)</w:t>
      </w:r>
      <w:r w:rsidRPr="00AD1969">
        <w:t xml:space="preserve"> </w:t>
      </w:r>
      <w:r w:rsidR="00FC0657">
        <w:t>proposes</w:t>
      </w:r>
      <w:r w:rsidRPr="00AD1969">
        <w:t xml:space="preserve"> the </w:t>
      </w:r>
      <w:r w:rsidR="00872268">
        <w:t>sale</w:t>
      </w:r>
      <w:r w:rsidRPr="00AD1969">
        <w:t xml:space="preserve"> of the former</w:t>
      </w:r>
      <w:r w:rsidR="00171F2D">
        <w:t xml:space="preserve"> 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Property_Name </w:instrText>
      </w:r>
      <w:r w:rsidR="00303223">
        <w:rPr>
          <w:noProof/>
        </w:rPr>
        <w:fldChar w:fldCharType="separate"/>
      </w:r>
      <w:r w:rsidR="00215B19">
        <w:rPr>
          <w:noProof/>
        </w:rPr>
        <w:t>«Property_Name»</w:t>
      </w:r>
      <w:r w:rsidR="00303223">
        <w:rPr>
          <w:noProof/>
        </w:rPr>
        <w:fldChar w:fldCharType="end"/>
      </w:r>
      <w:r w:rsidRPr="00AD1969">
        <w:t xml:space="preserve"> property and further described in the attached Salient Fact Sheet with Property Plat, Tax and Location Maps.  The property is not needed for a transportation purpose and we shall proc</w:t>
      </w:r>
      <w:r w:rsidR="00872268">
        <w:t>eed with our appropriate sales</w:t>
      </w:r>
      <w:r w:rsidRPr="00AD1969">
        <w:t xml:space="preserve"> activity.</w:t>
      </w:r>
    </w:p>
    <w:p w14:paraId="4E6F5CD9" w14:textId="77777777" w:rsidR="00B21E42" w:rsidRPr="00AD1969" w:rsidRDefault="00B21E42" w:rsidP="00B21E42"/>
    <w:p w14:paraId="2149CF18" w14:textId="77777777" w:rsidR="00B21E42" w:rsidRPr="00AD1969" w:rsidRDefault="00B21E42" w:rsidP="000B3C63">
      <w:pPr>
        <w:rPr>
          <w:b/>
          <w:u w:val="single"/>
        </w:rPr>
      </w:pPr>
      <w:r w:rsidRPr="00AD1969">
        <w:rPr>
          <w:b/>
          <w:u w:val="single"/>
        </w:rPr>
        <w:t>ANALYSIS</w:t>
      </w:r>
    </w:p>
    <w:p w14:paraId="279A9287" w14:textId="77777777" w:rsidR="00B21E42" w:rsidRPr="00AD1969" w:rsidRDefault="00B21E42" w:rsidP="00B21E42"/>
    <w:p w14:paraId="6FF41178" w14:textId="067C5674" w:rsidR="00B21E42" w:rsidRPr="00AD1969" w:rsidRDefault="00B21E42" w:rsidP="00B21E42">
      <w:r w:rsidRPr="00AD1969">
        <w:t>The former</w:t>
      </w:r>
      <w:r w:rsidR="00171F2D">
        <w:t xml:space="preserve"> </w:t>
      </w:r>
      <w:r w:rsidR="00303223">
        <w:rPr>
          <w:noProof/>
        </w:rPr>
        <w:fldChar w:fldCharType="begin"/>
      </w:r>
      <w:r w:rsidR="00303223">
        <w:rPr>
          <w:noProof/>
        </w:rPr>
        <w:instrText xml:space="preserve"> MERGEFIELD Property_Name </w:instrText>
      </w:r>
      <w:r w:rsidR="00303223">
        <w:rPr>
          <w:noProof/>
        </w:rPr>
        <w:fldChar w:fldCharType="separate"/>
      </w:r>
      <w:r w:rsidR="00215B19">
        <w:rPr>
          <w:noProof/>
        </w:rPr>
        <w:t>«Property_Name»</w:t>
      </w:r>
      <w:r w:rsidR="00303223">
        <w:rPr>
          <w:noProof/>
        </w:rPr>
        <w:fldChar w:fldCharType="end"/>
      </w:r>
      <w:r w:rsidRPr="00AD1969">
        <w:t xml:space="preserve"> is excluded from the TBU Clearance Procedures in accordance with General Exclusions number:</w:t>
      </w:r>
    </w:p>
    <w:p w14:paraId="014F0CED" w14:textId="77777777" w:rsidR="00B21E42" w:rsidRPr="00AD1969" w:rsidRDefault="00B21E42" w:rsidP="00B21E42"/>
    <w:p w14:paraId="50AF9BF7" w14:textId="77777777" w:rsidR="00B21E42" w:rsidRPr="00AD1969" w:rsidRDefault="00B21E42" w:rsidP="00B21E42"/>
    <w:p w14:paraId="7BFF3196" w14:textId="77777777" w:rsidR="00872268" w:rsidRPr="005354D8" w:rsidRDefault="00872268" w:rsidP="00872268">
      <w:pPr>
        <w:rPr>
          <w:sz w:val="22"/>
          <w:szCs w:val="22"/>
        </w:rPr>
      </w:pPr>
    </w:p>
    <w:p w14:paraId="081E5184" w14:textId="4CBA91FF" w:rsidR="00872268" w:rsidRPr="005354D8" w:rsidRDefault="003B6D71" w:rsidP="00785430">
      <w:pPr>
        <w:ind w:left="1170" w:hanging="1170"/>
        <w:rPr>
          <w:sz w:val="22"/>
          <w:szCs w:val="22"/>
        </w:rPr>
      </w:pPr>
      <w:r w:rsidRPr="00F36C33">
        <w:rPr>
          <w:sz w:val="22"/>
          <w:szCs w:val="22"/>
        </w:rPr>
        <w:fldChar w:fldCharType="begin"/>
      </w:r>
      <w:r w:rsidRPr="00F36C33">
        <w:rPr>
          <w:sz w:val="22"/>
          <w:szCs w:val="22"/>
        </w:rPr>
        <w:instrText xml:space="preserve"> </w:instrText>
      </w:r>
      <w:r w:rsidRPr="00F36C33">
        <w:rPr>
          <w:sz w:val="22"/>
          <w:szCs w:val="22"/>
          <w:u w:val="single"/>
        </w:rPr>
        <w:instrText>M</w:instrText>
      </w:r>
      <w:r w:rsidRPr="00F36C33">
        <w:rPr>
          <w:sz w:val="22"/>
          <w:szCs w:val="22"/>
        </w:rPr>
        <w:instrText xml:space="preserve">ERGEFIELD GenOption1 </w:instrText>
      </w:r>
      <w:r w:rsidRPr="00F36C33">
        <w:instrText xml:space="preserve">\* Charformat </w:instrText>
      </w:r>
      <w:r w:rsidRPr="00F36C33">
        <w:rPr>
          <w:sz w:val="22"/>
          <w:szCs w:val="22"/>
        </w:rPr>
        <w:fldChar w:fldCharType="separate"/>
      </w:r>
      <w:r w:rsidRPr="00F36C33">
        <w:rPr>
          <w:noProof/>
          <w:sz w:val="22"/>
          <w:szCs w:val="22"/>
        </w:rPr>
        <w:t>«GenOption1»</w:t>
      </w:r>
      <w:r w:rsidRPr="00F36C33">
        <w:rPr>
          <w:sz w:val="22"/>
          <w:szCs w:val="22"/>
        </w:rPr>
        <w:fldChar w:fldCharType="end"/>
      </w:r>
      <w:r w:rsidR="00C62945">
        <w:rPr>
          <w:sz w:val="22"/>
          <w:szCs w:val="22"/>
        </w:rPr>
        <w:tab/>
      </w:r>
      <w:r w:rsidR="00CC4753" w:rsidRPr="00AD1969">
        <w:t>1</w:t>
      </w:r>
      <w:r w:rsidR="00872268" w:rsidRPr="005354D8">
        <w:rPr>
          <w:sz w:val="22"/>
          <w:szCs w:val="22"/>
        </w:rPr>
        <w:t>.</w:t>
      </w:r>
      <w:r w:rsidR="00735BF8">
        <w:rPr>
          <w:sz w:val="22"/>
          <w:szCs w:val="22"/>
        </w:rPr>
        <w:t xml:space="preserve"> </w:t>
      </w:r>
      <w:r w:rsidR="00872268" w:rsidRPr="005354D8">
        <w:rPr>
          <w:sz w:val="22"/>
          <w:szCs w:val="22"/>
        </w:rPr>
        <w:t xml:space="preserve">Any disposal of real property by sale, auction or transfer of rights, title or interest, </w:t>
      </w:r>
      <w:r w:rsidR="00872268" w:rsidRPr="005354D8">
        <w:rPr>
          <w:i/>
          <w:sz w:val="22"/>
          <w:szCs w:val="22"/>
        </w:rPr>
        <w:t>excluding leases of real property</w:t>
      </w:r>
      <w:r w:rsidR="00872268" w:rsidRPr="005354D8">
        <w:rPr>
          <w:sz w:val="22"/>
          <w:szCs w:val="22"/>
        </w:rPr>
        <w:t xml:space="preserve">, which has an apparent value of less than </w:t>
      </w:r>
      <w:r w:rsidR="00872268" w:rsidRPr="005354D8">
        <w:rPr>
          <w:i/>
          <w:sz w:val="22"/>
          <w:szCs w:val="22"/>
        </w:rPr>
        <w:t>$25,000 or is less than 1 acre</w:t>
      </w:r>
      <w:r w:rsidR="00872268" w:rsidRPr="005354D8">
        <w:rPr>
          <w:sz w:val="22"/>
          <w:szCs w:val="22"/>
        </w:rPr>
        <w:t>, provided it does not</w:t>
      </w:r>
      <w:r w:rsidR="00D023BD">
        <w:rPr>
          <w:sz w:val="22"/>
          <w:szCs w:val="22"/>
        </w:rPr>
        <w:t xml:space="preserve"> adjoin the property of any TBU except that of the Grantor TBU</w:t>
      </w:r>
      <w:r w:rsidR="00872268" w:rsidRPr="005354D8">
        <w:rPr>
          <w:sz w:val="22"/>
          <w:szCs w:val="22"/>
        </w:rPr>
        <w:t>, and that it is not part of an assemblage of parcels which if deeded together would have an apparent value of $25,000 or more, or be one acre or more.</w:t>
      </w:r>
    </w:p>
    <w:p w14:paraId="0E29D88C" w14:textId="77777777" w:rsidR="00872268" w:rsidRPr="005354D8" w:rsidRDefault="00872268" w:rsidP="00872268">
      <w:pPr>
        <w:rPr>
          <w:sz w:val="22"/>
          <w:szCs w:val="22"/>
        </w:rPr>
      </w:pPr>
    </w:p>
    <w:p w14:paraId="7665310C" w14:textId="2B8FB3A1" w:rsidR="00872268" w:rsidRPr="005354D8" w:rsidRDefault="009A166D" w:rsidP="00125E59">
      <w:pPr>
        <w:ind w:left="1170" w:hanging="1170"/>
        <w:rPr>
          <w:sz w:val="22"/>
          <w:szCs w:val="22"/>
        </w:rPr>
      </w:pPr>
      <w:r w:rsidRPr="00F36C33">
        <w:rPr>
          <w:sz w:val="22"/>
          <w:szCs w:val="22"/>
        </w:rPr>
        <w:fldChar w:fldCharType="begin"/>
      </w:r>
      <w:r w:rsidRPr="00F36C33">
        <w:rPr>
          <w:sz w:val="22"/>
          <w:szCs w:val="22"/>
        </w:rPr>
        <w:instrText xml:space="preserve"> </w:instrText>
      </w:r>
      <w:r w:rsidRPr="00F36C33">
        <w:rPr>
          <w:sz w:val="22"/>
          <w:szCs w:val="22"/>
          <w:u w:val="single"/>
        </w:rPr>
        <w:instrText>M</w:instrText>
      </w:r>
      <w:r w:rsidRPr="00F36C33">
        <w:rPr>
          <w:sz w:val="22"/>
          <w:szCs w:val="22"/>
        </w:rPr>
        <w:instrText xml:space="preserve">ERGEFIELD GenOption2 </w:instrText>
      </w:r>
      <w:r w:rsidR="00D35B9B" w:rsidRPr="00F36C33">
        <w:instrText xml:space="preserve">\* Charformat </w:instrText>
      </w:r>
      <w:r w:rsidRPr="00F36C33">
        <w:rPr>
          <w:sz w:val="22"/>
          <w:szCs w:val="22"/>
        </w:rPr>
        <w:fldChar w:fldCharType="separate"/>
      </w:r>
      <w:r w:rsidR="00215B19" w:rsidRPr="00F36C33">
        <w:rPr>
          <w:noProof/>
          <w:sz w:val="22"/>
          <w:szCs w:val="22"/>
        </w:rPr>
        <w:t>«GenOption2»</w:t>
      </w:r>
      <w:r w:rsidRPr="00F36C33">
        <w:rPr>
          <w:sz w:val="22"/>
          <w:szCs w:val="22"/>
        </w:rPr>
        <w:fldChar w:fldCharType="end"/>
      </w:r>
      <w:r w:rsidR="00C62945">
        <w:rPr>
          <w:sz w:val="22"/>
          <w:szCs w:val="22"/>
        </w:rPr>
        <w:tab/>
      </w:r>
      <w:r w:rsidRPr="00AD1969">
        <w:t>2</w:t>
      </w:r>
      <w:r w:rsidR="00872268" w:rsidRPr="005354D8">
        <w:rPr>
          <w:sz w:val="22"/>
          <w:szCs w:val="22"/>
        </w:rPr>
        <w:t>.</w:t>
      </w:r>
      <w:r w:rsidR="00735BF8">
        <w:rPr>
          <w:sz w:val="22"/>
          <w:szCs w:val="22"/>
        </w:rPr>
        <w:t xml:space="preserve"> </w:t>
      </w:r>
      <w:r w:rsidR="00872268" w:rsidRPr="005354D8">
        <w:rPr>
          <w:sz w:val="22"/>
          <w:szCs w:val="22"/>
        </w:rPr>
        <w:t xml:space="preserve">Any disposal of real property by sale, auction or transfer of rights, title or interest, which is mandated </w:t>
      </w:r>
      <w:r w:rsidR="00872268" w:rsidRPr="005354D8">
        <w:rPr>
          <w:i/>
          <w:sz w:val="22"/>
          <w:szCs w:val="22"/>
        </w:rPr>
        <w:t>by law,</w:t>
      </w:r>
      <w:r w:rsidR="00872268" w:rsidRPr="005354D8">
        <w:rPr>
          <w:sz w:val="22"/>
          <w:szCs w:val="22"/>
        </w:rPr>
        <w:t xml:space="preserve"> a </w:t>
      </w:r>
      <w:r w:rsidR="00872268" w:rsidRPr="005354D8">
        <w:rPr>
          <w:i/>
          <w:sz w:val="22"/>
          <w:szCs w:val="22"/>
        </w:rPr>
        <w:t>Court of Jurisdiction</w:t>
      </w:r>
      <w:r w:rsidR="00872268" w:rsidRPr="005354D8">
        <w:rPr>
          <w:sz w:val="22"/>
          <w:szCs w:val="22"/>
        </w:rPr>
        <w:t xml:space="preserve"> or is ordered by the </w:t>
      </w:r>
      <w:r w:rsidR="00872268" w:rsidRPr="005354D8">
        <w:rPr>
          <w:i/>
          <w:sz w:val="22"/>
          <w:szCs w:val="22"/>
        </w:rPr>
        <w:t xml:space="preserve">Federal Government or one of its Agencies, or is transferred to </w:t>
      </w:r>
      <w:r w:rsidR="00D023BD">
        <w:rPr>
          <w:i/>
          <w:sz w:val="22"/>
          <w:szCs w:val="22"/>
        </w:rPr>
        <w:t>another TBU</w:t>
      </w:r>
      <w:r w:rsidR="00872268" w:rsidRPr="005354D8">
        <w:rPr>
          <w:i/>
          <w:sz w:val="22"/>
          <w:szCs w:val="22"/>
        </w:rPr>
        <w:t xml:space="preserve">, County or other Municipality by </w:t>
      </w:r>
      <w:r w:rsidR="00872268" w:rsidRPr="005354D8">
        <w:rPr>
          <w:i/>
          <w:sz w:val="22"/>
          <w:szCs w:val="22"/>
        </w:rPr>
        <w:lastRenderedPageBreak/>
        <w:t>agreement and is approved by the Board of Public Works, including Road Transfers and approved MOU’s between the aforementioned parties.</w:t>
      </w:r>
    </w:p>
    <w:p w14:paraId="29680AFF" w14:textId="2CC1CC70" w:rsidR="00574022" w:rsidRDefault="00574022" w:rsidP="00624013">
      <w:pPr>
        <w:tabs>
          <w:tab w:val="left" w:pos="720"/>
        </w:tabs>
        <w:rPr>
          <w:sz w:val="22"/>
          <w:szCs w:val="22"/>
        </w:rPr>
      </w:pPr>
    </w:p>
    <w:p w14:paraId="21CCBA1C" w14:textId="460C7A58" w:rsidR="0034372F" w:rsidRDefault="0034372F" w:rsidP="000B3C63">
      <w:pPr>
        <w:rPr>
          <w:sz w:val="22"/>
          <w:szCs w:val="22"/>
        </w:rPr>
      </w:pPr>
    </w:p>
    <w:p w14:paraId="67BE6852" w14:textId="77777777" w:rsidR="0034372F" w:rsidRDefault="0034372F" w:rsidP="000B3C63">
      <w:pPr>
        <w:rPr>
          <w:sz w:val="22"/>
          <w:szCs w:val="22"/>
        </w:rPr>
      </w:pPr>
    </w:p>
    <w:p w14:paraId="22021AF6" w14:textId="77777777" w:rsidR="009A166D" w:rsidRDefault="009A166D" w:rsidP="000B3C63">
      <w:pPr>
        <w:rPr>
          <w:sz w:val="22"/>
          <w:szCs w:val="22"/>
        </w:rPr>
      </w:pPr>
    </w:p>
    <w:p w14:paraId="24BFD41A" w14:textId="47758AB8" w:rsidR="00872268" w:rsidRPr="005354D8" w:rsidRDefault="009A166D" w:rsidP="00125E59">
      <w:pPr>
        <w:ind w:left="1170" w:hanging="1170"/>
        <w:rPr>
          <w:sz w:val="22"/>
          <w:szCs w:val="22"/>
        </w:rPr>
      </w:pPr>
      <w:r w:rsidRPr="00B32E49">
        <w:rPr>
          <w:sz w:val="22"/>
          <w:szCs w:val="22"/>
        </w:rPr>
        <w:fldChar w:fldCharType="begin"/>
      </w:r>
      <w:r w:rsidRPr="00B32E49">
        <w:rPr>
          <w:sz w:val="22"/>
          <w:szCs w:val="22"/>
        </w:rPr>
        <w:instrText xml:space="preserve"> </w:instrText>
      </w:r>
      <w:r w:rsidRPr="00B32E49">
        <w:rPr>
          <w:sz w:val="22"/>
          <w:szCs w:val="22"/>
          <w:u w:val="single"/>
        </w:rPr>
        <w:instrText>M</w:instrText>
      </w:r>
      <w:r w:rsidRPr="00B32E49">
        <w:rPr>
          <w:sz w:val="22"/>
          <w:szCs w:val="22"/>
        </w:rPr>
        <w:instrText xml:space="preserve">ERGEFIELD GenOption3 </w:instrText>
      </w:r>
      <w:r w:rsidR="00D35B9B" w:rsidRPr="00B32E49">
        <w:instrText xml:space="preserve">\* Charformat </w:instrText>
      </w:r>
      <w:r w:rsidRPr="00B32E49">
        <w:rPr>
          <w:sz w:val="22"/>
          <w:szCs w:val="22"/>
        </w:rPr>
        <w:fldChar w:fldCharType="separate"/>
      </w:r>
      <w:r w:rsidR="00215B19" w:rsidRPr="00B32E49">
        <w:rPr>
          <w:noProof/>
          <w:sz w:val="22"/>
          <w:szCs w:val="22"/>
        </w:rPr>
        <w:t>«GenOption3»</w:t>
      </w:r>
      <w:r w:rsidRPr="00B32E49">
        <w:rPr>
          <w:sz w:val="22"/>
          <w:szCs w:val="22"/>
        </w:rPr>
        <w:fldChar w:fldCharType="end"/>
      </w:r>
      <w:r w:rsidR="00C62945">
        <w:rPr>
          <w:sz w:val="22"/>
          <w:szCs w:val="22"/>
        </w:rPr>
        <w:tab/>
      </w:r>
      <w:r w:rsidRPr="00AD1969">
        <w:t>3</w:t>
      </w:r>
      <w:r w:rsidR="00872268" w:rsidRPr="005354D8">
        <w:rPr>
          <w:sz w:val="22"/>
          <w:szCs w:val="22"/>
        </w:rPr>
        <w:t>.</w:t>
      </w:r>
      <w:r w:rsidR="00735BF8">
        <w:rPr>
          <w:sz w:val="22"/>
          <w:szCs w:val="22"/>
        </w:rPr>
        <w:t xml:space="preserve"> </w:t>
      </w:r>
      <w:r w:rsidR="00872268" w:rsidRPr="005354D8">
        <w:rPr>
          <w:sz w:val="22"/>
          <w:szCs w:val="22"/>
        </w:rPr>
        <w:t xml:space="preserve">Any disposal of real property by </w:t>
      </w:r>
      <w:r w:rsidR="00872268" w:rsidRPr="005354D8">
        <w:rPr>
          <w:i/>
          <w:sz w:val="22"/>
          <w:szCs w:val="22"/>
        </w:rPr>
        <w:t xml:space="preserve">Option Conveyance or Exchange, </w:t>
      </w:r>
      <w:r w:rsidR="00872268" w:rsidRPr="005354D8">
        <w:rPr>
          <w:sz w:val="22"/>
          <w:szCs w:val="22"/>
        </w:rPr>
        <w:t xml:space="preserve">in accordance with the provisions of the Annotated Code of Maryland, Transportation Article Section 8-309 (f), or any other </w:t>
      </w:r>
      <w:r w:rsidR="00872268" w:rsidRPr="005354D8">
        <w:rPr>
          <w:i/>
          <w:sz w:val="22"/>
          <w:szCs w:val="22"/>
        </w:rPr>
        <w:t>Exchange</w:t>
      </w:r>
      <w:r w:rsidR="00872268" w:rsidRPr="005354D8">
        <w:rPr>
          <w:sz w:val="22"/>
          <w:szCs w:val="22"/>
        </w:rPr>
        <w:t xml:space="preserve"> for a transportation purpose; including the </w:t>
      </w:r>
      <w:r w:rsidR="00872268" w:rsidRPr="005354D8">
        <w:rPr>
          <w:i/>
          <w:sz w:val="22"/>
          <w:szCs w:val="22"/>
        </w:rPr>
        <w:t>release and exchange of easements</w:t>
      </w:r>
      <w:r w:rsidR="00872268" w:rsidRPr="005354D8">
        <w:rPr>
          <w:sz w:val="22"/>
          <w:szCs w:val="22"/>
        </w:rPr>
        <w:t>.</w:t>
      </w:r>
    </w:p>
    <w:p w14:paraId="6E38B75E" w14:textId="77777777" w:rsidR="00872268" w:rsidRPr="005354D8" w:rsidRDefault="00872268" w:rsidP="00872268">
      <w:pPr>
        <w:tabs>
          <w:tab w:val="left" w:pos="9810"/>
        </w:tabs>
        <w:rPr>
          <w:sz w:val="22"/>
          <w:szCs w:val="22"/>
        </w:rPr>
      </w:pPr>
    </w:p>
    <w:p w14:paraId="10DF8DC2" w14:textId="7785DA37" w:rsidR="00872268" w:rsidRPr="005354D8" w:rsidRDefault="009A166D" w:rsidP="00125E59">
      <w:pPr>
        <w:tabs>
          <w:tab w:val="left" w:pos="0"/>
        </w:tabs>
        <w:ind w:left="1170" w:hanging="1170"/>
        <w:rPr>
          <w:sz w:val="22"/>
          <w:szCs w:val="22"/>
        </w:rPr>
      </w:pPr>
      <w:r w:rsidRPr="00B32E49">
        <w:rPr>
          <w:sz w:val="22"/>
          <w:szCs w:val="22"/>
        </w:rPr>
        <w:fldChar w:fldCharType="begin"/>
      </w:r>
      <w:r w:rsidRPr="00B32E49">
        <w:rPr>
          <w:sz w:val="22"/>
          <w:szCs w:val="22"/>
        </w:rPr>
        <w:instrText xml:space="preserve"> </w:instrText>
      </w:r>
      <w:r w:rsidRPr="00B32E49">
        <w:rPr>
          <w:sz w:val="22"/>
          <w:szCs w:val="22"/>
          <w:u w:val="single"/>
        </w:rPr>
        <w:instrText>M</w:instrText>
      </w:r>
      <w:r w:rsidRPr="00B32E49">
        <w:rPr>
          <w:sz w:val="22"/>
          <w:szCs w:val="22"/>
        </w:rPr>
        <w:instrText>ERGEFIELD GenOption</w:instrText>
      </w:r>
      <w:r w:rsidR="0071585C" w:rsidRPr="00B32E49">
        <w:rPr>
          <w:sz w:val="22"/>
          <w:szCs w:val="22"/>
        </w:rPr>
        <w:instrText>4</w:instrText>
      </w:r>
      <w:r w:rsidRPr="00B32E49">
        <w:rPr>
          <w:sz w:val="22"/>
          <w:szCs w:val="22"/>
        </w:rPr>
        <w:instrText xml:space="preserve"> </w:instrText>
      </w:r>
      <w:r w:rsidR="00D35B9B" w:rsidRPr="00B32E49">
        <w:instrText xml:space="preserve">\* Charformat </w:instrText>
      </w:r>
      <w:r w:rsidRPr="00B32E49">
        <w:rPr>
          <w:sz w:val="22"/>
          <w:szCs w:val="22"/>
        </w:rPr>
        <w:fldChar w:fldCharType="separate"/>
      </w:r>
      <w:r w:rsidR="00215B19" w:rsidRPr="00B32E49">
        <w:rPr>
          <w:noProof/>
          <w:sz w:val="22"/>
          <w:szCs w:val="22"/>
        </w:rPr>
        <w:t>«GenOption4»</w:t>
      </w:r>
      <w:r w:rsidRPr="00B32E49">
        <w:rPr>
          <w:sz w:val="22"/>
          <w:szCs w:val="22"/>
        </w:rPr>
        <w:fldChar w:fldCharType="end"/>
      </w:r>
      <w:r w:rsidR="00C62945">
        <w:rPr>
          <w:sz w:val="22"/>
          <w:szCs w:val="22"/>
        </w:rPr>
        <w:tab/>
      </w:r>
      <w:r>
        <w:t>4</w:t>
      </w:r>
      <w:r w:rsidR="00872268" w:rsidRPr="005354D8">
        <w:rPr>
          <w:sz w:val="22"/>
          <w:szCs w:val="22"/>
        </w:rPr>
        <w:t>.</w:t>
      </w:r>
      <w:r w:rsidR="00735BF8">
        <w:rPr>
          <w:sz w:val="22"/>
          <w:szCs w:val="22"/>
        </w:rPr>
        <w:t xml:space="preserve"> </w:t>
      </w:r>
      <w:r w:rsidR="00872268" w:rsidRPr="005354D8">
        <w:rPr>
          <w:sz w:val="22"/>
          <w:szCs w:val="22"/>
        </w:rPr>
        <w:t xml:space="preserve">Any disposal of real property being utilized for a </w:t>
      </w:r>
      <w:r w:rsidR="00872268" w:rsidRPr="005354D8">
        <w:rPr>
          <w:i/>
          <w:sz w:val="22"/>
          <w:szCs w:val="22"/>
        </w:rPr>
        <w:t>Transit Oriented Development</w:t>
      </w:r>
      <w:r w:rsidR="00872268" w:rsidRPr="005354D8">
        <w:rPr>
          <w:sz w:val="22"/>
          <w:szCs w:val="22"/>
        </w:rPr>
        <w:t xml:space="preserve"> purpose, in accordance with current legislation and for other development for a transportation purpose or by direction of the Secretary of Transportation.</w:t>
      </w:r>
    </w:p>
    <w:p w14:paraId="6B4E01A6" w14:textId="77777777" w:rsidR="00872268" w:rsidRPr="005354D8" w:rsidRDefault="00872268" w:rsidP="00872268">
      <w:pPr>
        <w:rPr>
          <w:sz w:val="22"/>
          <w:szCs w:val="22"/>
          <w:u w:val="single"/>
        </w:rPr>
      </w:pPr>
    </w:p>
    <w:p w14:paraId="681DBBC2" w14:textId="77777777" w:rsidR="00D10634" w:rsidRPr="004F7EE9" w:rsidRDefault="00D10634" w:rsidP="00D10634">
      <w:r w:rsidRPr="004F7EE9">
        <w:t>All responses must be directed to:</w:t>
      </w:r>
    </w:p>
    <w:p w14:paraId="7F711D8C" w14:textId="77777777" w:rsidR="0050784B" w:rsidRDefault="0050784B" w:rsidP="0050784B">
      <w:bookmarkStart w:id="0" w:name="_Hlk11324774"/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B3A" w14:paraId="4AEBB350" w14:textId="77777777" w:rsidTr="00BA4E68">
        <w:tc>
          <w:tcPr>
            <w:tcW w:w="8838" w:type="dxa"/>
            <w:shd w:val="clear" w:color="auto" w:fill="auto"/>
            <w:hideMark/>
          </w:tcPr>
          <w:p w14:paraId="36862FB3" w14:textId="77777777" w:rsidR="00652B3A" w:rsidRPr="004F7EE9" w:rsidRDefault="00652B3A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«Preparer_Title»</w:t>
            </w:r>
            <w:r>
              <w:rPr>
                <w:noProof/>
              </w:rPr>
              <w:fldChar w:fldCharType="end"/>
            </w:r>
            <w:r w:rsidRPr="004F7EE9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  <w:p w14:paraId="54E0B0CE" w14:textId="77777777" w:rsidR="00652B3A" w:rsidRDefault="00652B3A" w:rsidP="009A6948">
            <w:pPr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  <w:tr w:rsidR="00652B3A" w14:paraId="5F7A2BC5" w14:textId="77777777" w:rsidTr="00BA4E68">
        <w:tc>
          <w:tcPr>
            <w:tcW w:w="8838" w:type="dxa"/>
            <w:shd w:val="clear" w:color="auto" w:fill="auto"/>
            <w:hideMark/>
          </w:tcPr>
          <w:p w14:paraId="0985722F" w14:textId="77777777" w:rsidR="00652B3A" w:rsidRDefault="00652B3A" w:rsidP="009A6948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</w:p>
        </w:tc>
      </w:tr>
      <w:tr w:rsidR="00652B3A" w14:paraId="3946A713" w14:textId="77777777" w:rsidTr="00BA4E68">
        <w:tc>
          <w:tcPr>
            <w:tcW w:w="8838" w:type="dxa"/>
            <w:shd w:val="clear" w:color="auto" w:fill="auto"/>
          </w:tcPr>
          <w:p w14:paraId="04B545E2" w14:textId="77777777" w:rsidR="00652B3A" w:rsidRDefault="00652B3A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652B3A" w14:paraId="5970D4A8" w14:textId="77777777" w:rsidTr="00BA4E68">
        <w:tc>
          <w:tcPr>
            <w:tcW w:w="8838" w:type="dxa"/>
            <w:shd w:val="clear" w:color="auto" w:fill="auto"/>
            <w:hideMark/>
          </w:tcPr>
          <w:p w14:paraId="7D3E4883" w14:textId="77777777" w:rsidR="00652B3A" w:rsidRDefault="00652B3A" w:rsidP="009A6948">
            <w:pPr>
              <w:rPr>
                <w:noProof/>
              </w:rPr>
            </w:pPr>
            <w:r>
              <w:t xml:space="preserve">Maryland Department of Transportation,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652B3A" w14:paraId="679231F7" w14:textId="77777777" w:rsidTr="00BA4E68">
        <w:tc>
          <w:tcPr>
            <w:tcW w:w="8838" w:type="dxa"/>
            <w:shd w:val="clear" w:color="auto" w:fill="auto"/>
            <w:hideMark/>
          </w:tcPr>
          <w:p w14:paraId="4FB4D668" w14:textId="77777777" w:rsidR="00652B3A" w:rsidRDefault="00652B3A" w:rsidP="009A6948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Preparer_Mail_Stop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«Preparer_Mail_Stop»</w:t>
            </w:r>
            <w:r>
              <w:rPr>
                <w:noProof/>
              </w:rPr>
              <w:fldChar w:fldCharType="end"/>
            </w:r>
          </w:p>
        </w:tc>
      </w:tr>
      <w:tr w:rsidR="00652B3A" w14:paraId="5D03838A" w14:textId="77777777" w:rsidTr="00BA4E68">
        <w:tc>
          <w:tcPr>
            <w:tcW w:w="8838" w:type="dxa"/>
            <w:shd w:val="clear" w:color="auto" w:fill="auto"/>
            <w:hideMark/>
          </w:tcPr>
          <w:p w14:paraId="33DDBF60" w14:textId="77777777" w:rsidR="00652B3A" w:rsidRDefault="00652B3A" w:rsidP="009A6948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</w:tr>
      <w:tr w:rsidR="00652B3A" w14:paraId="5BC58602" w14:textId="77777777" w:rsidTr="00BA4E68">
        <w:tc>
          <w:tcPr>
            <w:tcW w:w="8838" w:type="dxa"/>
            <w:shd w:val="clear" w:color="auto" w:fill="auto"/>
          </w:tcPr>
          <w:p w14:paraId="4FB487AB" w14:textId="77777777" w:rsidR="00652B3A" w:rsidRDefault="00652B3A" w:rsidP="009A6948">
            <w:pPr>
              <w:rPr>
                <w:noProof/>
              </w:rPr>
            </w:pPr>
            <w:r>
              <w:t xml:space="preserve">Email: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43B2E13B" w14:textId="77777777" w:rsidR="0050784B" w:rsidRDefault="0050784B" w:rsidP="0050784B"/>
    <w:bookmarkEnd w:id="0"/>
    <w:p w14:paraId="40775A7E" w14:textId="77777777" w:rsidR="0050784B" w:rsidRPr="004F7EE9" w:rsidRDefault="0050784B" w:rsidP="0050784B">
      <w:pPr>
        <w:tabs>
          <w:tab w:val="center" w:pos="4680"/>
          <w:tab w:val="left" w:pos="5070"/>
        </w:tabs>
        <w:rPr>
          <w:b/>
          <w:u w:val="single"/>
        </w:rPr>
      </w:pPr>
      <w:r w:rsidRPr="004F7EE9">
        <w:rPr>
          <w:b/>
          <w:u w:val="single"/>
        </w:rPr>
        <w:t>ATTACHMENTS</w:t>
      </w:r>
    </w:p>
    <w:p w14:paraId="3DD7673E" w14:textId="77777777" w:rsidR="0050784B" w:rsidRDefault="0050784B" w:rsidP="0050784B"/>
    <w:p w14:paraId="0BA09CB4" w14:textId="77777777" w:rsidR="0050784B" w:rsidRDefault="0050784B" w:rsidP="0050784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list_of_attachments \*charformat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«list_of_attachments»</w:t>
      </w:r>
      <w:r>
        <w:rPr>
          <w:rFonts w:ascii="Times New Roman" w:hAnsi="Times New Roman"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8236"/>
      </w:tblGrid>
      <w:tr w:rsidR="0050784B" w14:paraId="51077482" w14:textId="77777777" w:rsidTr="00BA4E68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2BA85D70" w14:textId="77777777" w:rsidR="0050784B" w:rsidRDefault="0050784B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ccLabel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«ccLabel»</w:t>
            </w:r>
            <w:r>
              <w:rPr>
                <w:noProof/>
              </w:rPr>
              <w:fldChar w:fldCharType="end"/>
            </w:r>
          </w:p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7515666E" w14:textId="77777777" w:rsidR="0050784B" w:rsidRDefault="0050784B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«cc1»</w:t>
            </w:r>
            <w:r>
              <w:rPr>
                <w:noProof/>
              </w:rPr>
              <w:fldChar w:fldCharType="end"/>
            </w:r>
          </w:p>
        </w:tc>
      </w:tr>
      <w:tr w:rsidR="0050784B" w14:paraId="4B48079A" w14:textId="77777777" w:rsidTr="00BA4E68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</w:tcPr>
          <w:p w14:paraId="260D8475" w14:textId="77777777" w:rsidR="0050784B" w:rsidRDefault="0050784B" w:rsidP="009A6948"/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</w:tcPr>
          <w:p w14:paraId="6F9F3F30" w14:textId="77777777" w:rsidR="0050784B" w:rsidRDefault="0050784B" w:rsidP="009A6948"/>
        </w:tc>
      </w:tr>
    </w:tbl>
    <w:p w14:paraId="002A9FCB" w14:textId="22F422A8" w:rsidR="00066AF2" w:rsidRPr="009E0D36" w:rsidRDefault="00066AF2" w:rsidP="00C24B61">
      <w:pPr>
        <w:tabs>
          <w:tab w:val="left" w:pos="720"/>
        </w:tabs>
        <w:rPr>
          <w:noProof/>
        </w:rPr>
      </w:pPr>
    </w:p>
    <w:sectPr w:rsidR="00066AF2" w:rsidRPr="009E0D36" w:rsidSect="00F375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5C267" w14:textId="77777777" w:rsidR="00BA4E68" w:rsidRDefault="00BA4E68" w:rsidP="00D00449">
      <w:r>
        <w:separator/>
      </w:r>
    </w:p>
  </w:endnote>
  <w:endnote w:type="continuationSeparator" w:id="0">
    <w:p w14:paraId="467DECEC" w14:textId="77777777" w:rsidR="00BA4E68" w:rsidRDefault="00BA4E68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A7C29" w14:textId="77777777" w:rsidR="007D7FB3" w:rsidRDefault="007D7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4BF1F" w14:textId="77777777" w:rsidR="007D7FB3" w:rsidRDefault="007D7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D3C3" w14:textId="77777777" w:rsidR="00F913F3" w:rsidRPr="00D96B3A" w:rsidRDefault="00BA4E68" w:rsidP="0000300A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w:pict w14:anchorId="67D6E910">
        <v:line id="Straight Connector 16" o:spid="_x0000_s2049" style="position:absolute;left:0;text-align:left;z-index:1;visibility:visible;mso-position-horizontal-relative:page;mso-width-relative:margin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" strokecolor="#eaaf2e" strokeweight="1pt">
          <v:stroke joinstyle="miter"/>
          <w10:wrap anchorx="page"/>
        </v:line>
      </w:pict>
    </w:r>
  </w:p>
  <w:p w14:paraId="519DB495" w14:textId="77777777" w:rsidR="00F913F3" w:rsidRPr="00B80771" w:rsidRDefault="00F913F3" w:rsidP="0000300A">
    <w:pPr>
      <w:spacing w:before="120" w:line="360" w:lineRule="auto"/>
      <w:ind w:left="-720" w:right="-720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>7201 Corporate Center Drive, Hanover, Maryland 21076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 w:rsidRPr="00B80771">
      <w:rPr>
        <w:rFonts w:ascii="Century Gothic" w:hAnsi="Century Gothic"/>
        <w:sz w:val="15"/>
        <w:szCs w:val="15"/>
      </w:rPr>
      <w:t>410.</w:t>
    </w:r>
    <w:r>
      <w:rPr>
        <w:rFonts w:ascii="Century Gothic" w:hAnsi="Century Gothic"/>
        <w:sz w:val="15"/>
        <w:szCs w:val="15"/>
      </w:rPr>
      <w:t>865.1000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2A25A2AE" w14:textId="77777777" w:rsidR="00F913F3" w:rsidRDefault="00F913F3" w:rsidP="0000300A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D235" w14:textId="77777777" w:rsidR="00BA4E68" w:rsidRDefault="00BA4E68" w:rsidP="00D00449">
      <w:r>
        <w:separator/>
      </w:r>
    </w:p>
  </w:footnote>
  <w:footnote w:type="continuationSeparator" w:id="0">
    <w:p w14:paraId="7C1DE2FB" w14:textId="77777777" w:rsidR="00BA4E68" w:rsidRDefault="00BA4E68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C6767" w14:textId="77777777" w:rsidR="007D7FB3" w:rsidRDefault="007D7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E935B" w14:textId="0CBB50FE" w:rsidR="00E35A78" w:rsidRDefault="00E35A78" w:rsidP="00E35A78">
    <w:pPr>
      <w:rPr>
        <w:sz w:val="22"/>
        <w:szCs w:val="22"/>
      </w:rPr>
    </w:pPr>
    <w:r>
      <w:rPr>
        <w:sz w:val="22"/>
        <w:szCs w:val="22"/>
      </w:rPr>
      <w:t>Transportation Business Unit (TBU) Clearance Representatives</w:t>
    </w:r>
  </w:p>
  <w:p w14:paraId="0426C834" w14:textId="673E65E8" w:rsidR="00E35A78" w:rsidRDefault="00E35A78" w:rsidP="00E35A78">
    <w:pPr>
      <w:pStyle w:val="Header"/>
      <w:rPr>
        <w:sz w:val="22"/>
        <w:szCs w:val="22"/>
      </w:rPr>
    </w:pPr>
    <w:r>
      <w:rPr>
        <w:sz w:val="22"/>
        <w:szCs w:val="22"/>
      </w:rPr>
      <w:t>Page Two</w:t>
    </w:r>
  </w:p>
  <w:p w14:paraId="5FD85749" w14:textId="77777777" w:rsidR="007D7FB3" w:rsidRDefault="007D7FB3" w:rsidP="00E35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AD87A" w14:textId="77777777" w:rsidR="00F913F3" w:rsidRDefault="00BA4E68" w:rsidP="00E02892">
    <w:pPr>
      <w:pStyle w:val="Header"/>
      <w:ind w:left="-720" w:right="-720"/>
      <w:jc w:val="center"/>
    </w:pPr>
    <w:r>
      <w:rPr>
        <w:noProof/>
      </w:rPr>
      <w:pict w14:anchorId="51D4B2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position:absolute;left:0;text-align:left;margin-left:0;margin-top:0;width:540pt;height:108pt;z-index:2;visibility:visible;mso-position-horizontal:center;mso-position-horizontal-relative:page;mso-position-vertical:top;mso-position-vertical-relative:page;mso-width-relative:margin;mso-height-relative:margin">
          <v:imagedata r:id="rId1" o:title=""/>
          <w10:wrap type="square"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8FC"/>
    <w:rsid w:val="0000300A"/>
    <w:rsid w:val="00006B54"/>
    <w:rsid w:val="00042C73"/>
    <w:rsid w:val="000537C2"/>
    <w:rsid w:val="0006148E"/>
    <w:rsid w:val="00064D51"/>
    <w:rsid w:val="00066AF2"/>
    <w:rsid w:val="00075655"/>
    <w:rsid w:val="0009093F"/>
    <w:rsid w:val="000A4006"/>
    <w:rsid w:val="000B3C63"/>
    <w:rsid w:val="000D2B48"/>
    <w:rsid w:val="000E640E"/>
    <w:rsid w:val="000F473B"/>
    <w:rsid w:val="001063E8"/>
    <w:rsid w:val="00107096"/>
    <w:rsid w:val="00112381"/>
    <w:rsid w:val="00125E59"/>
    <w:rsid w:val="00126104"/>
    <w:rsid w:val="00127765"/>
    <w:rsid w:val="00147728"/>
    <w:rsid w:val="00156598"/>
    <w:rsid w:val="00171F2D"/>
    <w:rsid w:val="001802FD"/>
    <w:rsid w:val="00186FD7"/>
    <w:rsid w:val="001A3373"/>
    <w:rsid w:val="00211201"/>
    <w:rsid w:val="00215B19"/>
    <w:rsid w:val="00221632"/>
    <w:rsid w:val="00221846"/>
    <w:rsid w:val="002403F9"/>
    <w:rsid w:val="002902B3"/>
    <w:rsid w:val="00291775"/>
    <w:rsid w:val="002A389F"/>
    <w:rsid w:val="002B62A6"/>
    <w:rsid w:val="002C5382"/>
    <w:rsid w:val="002E7D1B"/>
    <w:rsid w:val="00303223"/>
    <w:rsid w:val="00310565"/>
    <w:rsid w:val="00314D52"/>
    <w:rsid w:val="0034372F"/>
    <w:rsid w:val="00347345"/>
    <w:rsid w:val="00364BAD"/>
    <w:rsid w:val="003859BD"/>
    <w:rsid w:val="003A13A9"/>
    <w:rsid w:val="003B1DC3"/>
    <w:rsid w:val="003B6D71"/>
    <w:rsid w:val="003E3D53"/>
    <w:rsid w:val="00413591"/>
    <w:rsid w:val="00424C98"/>
    <w:rsid w:val="00496258"/>
    <w:rsid w:val="004B1FB7"/>
    <w:rsid w:val="004D139C"/>
    <w:rsid w:val="004D640F"/>
    <w:rsid w:val="004E45DA"/>
    <w:rsid w:val="004E6509"/>
    <w:rsid w:val="004E6B7E"/>
    <w:rsid w:val="004F4F19"/>
    <w:rsid w:val="00501B6A"/>
    <w:rsid w:val="005058EF"/>
    <w:rsid w:val="0050784B"/>
    <w:rsid w:val="00533986"/>
    <w:rsid w:val="00567E7E"/>
    <w:rsid w:val="00574022"/>
    <w:rsid w:val="005873A6"/>
    <w:rsid w:val="00587A7C"/>
    <w:rsid w:val="00591E76"/>
    <w:rsid w:val="00596784"/>
    <w:rsid w:val="00597910"/>
    <w:rsid w:val="005C408F"/>
    <w:rsid w:val="005C69A3"/>
    <w:rsid w:val="005F3817"/>
    <w:rsid w:val="00614E22"/>
    <w:rsid w:val="00617A25"/>
    <w:rsid w:val="00620981"/>
    <w:rsid w:val="00624013"/>
    <w:rsid w:val="0062742B"/>
    <w:rsid w:val="00635EAC"/>
    <w:rsid w:val="00636F38"/>
    <w:rsid w:val="00645806"/>
    <w:rsid w:val="00652B3A"/>
    <w:rsid w:val="00653171"/>
    <w:rsid w:val="006A1439"/>
    <w:rsid w:val="006C6DC3"/>
    <w:rsid w:val="006D60CC"/>
    <w:rsid w:val="006D7698"/>
    <w:rsid w:val="006E3ABF"/>
    <w:rsid w:val="00701A8A"/>
    <w:rsid w:val="0071585C"/>
    <w:rsid w:val="00722AA4"/>
    <w:rsid w:val="00722EB2"/>
    <w:rsid w:val="00725EA0"/>
    <w:rsid w:val="00735BF8"/>
    <w:rsid w:val="0075602E"/>
    <w:rsid w:val="00771ABE"/>
    <w:rsid w:val="00774DF9"/>
    <w:rsid w:val="007766E1"/>
    <w:rsid w:val="00785430"/>
    <w:rsid w:val="0078697A"/>
    <w:rsid w:val="007A240F"/>
    <w:rsid w:val="007A44AB"/>
    <w:rsid w:val="007B571D"/>
    <w:rsid w:val="007D7FB3"/>
    <w:rsid w:val="00802F5B"/>
    <w:rsid w:val="00814281"/>
    <w:rsid w:val="00815E5D"/>
    <w:rsid w:val="00825B9C"/>
    <w:rsid w:val="008276DD"/>
    <w:rsid w:val="00834956"/>
    <w:rsid w:val="00872268"/>
    <w:rsid w:val="00874FBE"/>
    <w:rsid w:val="00897A59"/>
    <w:rsid w:val="008C4D0D"/>
    <w:rsid w:val="008D64F2"/>
    <w:rsid w:val="008E650B"/>
    <w:rsid w:val="008F4D9C"/>
    <w:rsid w:val="00907C2B"/>
    <w:rsid w:val="00914C9C"/>
    <w:rsid w:val="009247C7"/>
    <w:rsid w:val="00931BE2"/>
    <w:rsid w:val="00965658"/>
    <w:rsid w:val="009765EF"/>
    <w:rsid w:val="009A0BE2"/>
    <w:rsid w:val="009A166D"/>
    <w:rsid w:val="009B3607"/>
    <w:rsid w:val="009E0D36"/>
    <w:rsid w:val="009E3154"/>
    <w:rsid w:val="009F0FB3"/>
    <w:rsid w:val="00A058F2"/>
    <w:rsid w:val="00A076EA"/>
    <w:rsid w:val="00A40667"/>
    <w:rsid w:val="00A858C1"/>
    <w:rsid w:val="00AD1969"/>
    <w:rsid w:val="00B13642"/>
    <w:rsid w:val="00B21E42"/>
    <w:rsid w:val="00B32E49"/>
    <w:rsid w:val="00B4610E"/>
    <w:rsid w:val="00B46F35"/>
    <w:rsid w:val="00B558EC"/>
    <w:rsid w:val="00B73752"/>
    <w:rsid w:val="00B746E8"/>
    <w:rsid w:val="00BA4E68"/>
    <w:rsid w:val="00BD1D38"/>
    <w:rsid w:val="00BD3DCF"/>
    <w:rsid w:val="00BD74FB"/>
    <w:rsid w:val="00BF29BF"/>
    <w:rsid w:val="00BF53DC"/>
    <w:rsid w:val="00BF79B3"/>
    <w:rsid w:val="00C05147"/>
    <w:rsid w:val="00C13CDB"/>
    <w:rsid w:val="00C2405A"/>
    <w:rsid w:val="00C24B61"/>
    <w:rsid w:val="00C62945"/>
    <w:rsid w:val="00C62D25"/>
    <w:rsid w:val="00C635A0"/>
    <w:rsid w:val="00C91F98"/>
    <w:rsid w:val="00CA2EE0"/>
    <w:rsid w:val="00CB0B90"/>
    <w:rsid w:val="00CC4753"/>
    <w:rsid w:val="00CD6F83"/>
    <w:rsid w:val="00CF1C2C"/>
    <w:rsid w:val="00D00449"/>
    <w:rsid w:val="00D023BD"/>
    <w:rsid w:val="00D10634"/>
    <w:rsid w:val="00D10FD0"/>
    <w:rsid w:val="00D118CE"/>
    <w:rsid w:val="00D23ED1"/>
    <w:rsid w:val="00D247AB"/>
    <w:rsid w:val="00D35B9B"/>
    <w:rsid w:val="00D50303"/>
    <w:rsid w:val="00D50613"/>
    <w:rsid w:val="00D65305"/>
    <w:rsid w:val="00D73F72"/>
    <w:rsid w:val="00D80498"/>
    <w:rsid w:val="00D823AB"/>
    <w:rsid w:val="00D82C53"/>
    <w:rsid w:val="00D83183"/>
    <w:rsid w:val="00D953EE"/>
    <w:rsid w:val="00DC3D29"/>
    <w:rsid w:val="00DD29DF"/>
    <w:rsid w:val="00E018FC"/>
    <w:rsid w:val="00E02892"/>
    <w:rsid w:val="00E12D7A"/>
    <w:rsid w:val="00E30675"/>
    <w:rsid w:val="00E35A78"/>
    <w:rsid w:val="00E3706B"/>
    <w:rsid w:val="00E37B62"/>
    <w:rsid w:val="00E464B1"/>
    <w:rsid w:val="00E62D11"/>
    <w:rsid w:val="00E64530"/>
    <w:rsid w:val="00E7126E"/>
    <w:rsid w:val="00E754AD"/>
    <w:rsid w:val="00EC03F4"/>
    <w:rsid w:val="00ED1858"/>
    <w:rsid w:val="00ED511B"/>
    <w:rsid w:val="00F10C77"/>
    <w:rsid w:val="00F14509"/>
    <w:rsid w:val="00F36C33"/>
    <w:rsid w:val="00F37558"/>
    <w:rsid w:val="00F375A3"/>
    <w:rsid w:val="00F85864"/>
    <w:rsid w:val="00F913F3"/>
    <w:rsid w:val="00FB2F59"/>
    <w:rsid w:val="00FC0657"/>
    <w:rsid w:val="00FC3B82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A548F6"/>
  <w14:defaultImageDpi w14:val="32767"/>
  <w15:chartTrackingRefBased/>
  <w15:docId w15:val="{47DF42AA-C5CF-4F19-A105-B8F82DD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18F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8FC"/>
    <w:pPr>
      <w:keepNext/>
      <w:spacing w:line="200" w:lineRule="exact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018FC"/>
    <w:pPr>
      <w:keepNext/>
      <w:spacing w:line="280" w:lineRule="exact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E018FC"/>
    <w:rPr>
      <w:rFonts w:ascii="Arial" w:eastAsia="Times New Roman" w:hAnsi="Arial" w:cs="Times New Roman"/>
      <w:b/>
      <w:sz w:val="20"/>
    </w:rPr>
  </w:style>
  <w:style w:type="character" w:customStyle="1" w:styleId="Heading2Char">
    <w:name w:val="Heading 2 Char"/>
    <w:link w:val="Heading2"/>
    <w:rsid w:val="00E018FC"/>
    <w:rPr>
      <w:rFonts w:ascii="Arial" w:eastAsia="Times New Roman" w:hAnsi="Arial" w:cs="Times New Roman"/>
      <w:b/>
      <w:i/>
      <w:sz w:val="2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018FC"/>
    <w:pPr>
      <w:pBdr>
        <w:top w:val="double" w:sz="6" w:space="8" w:color="404040"/>
        <w:bottom w:val="double" w:sz="6" w:space="8" w:color="404040"/>
      </w:pBdr>
      <w:spacing w:after="200"/>
      <w:jc w:val="center"/>
    </w:pPr>
    <w:rPr>
      <w:rFonts w:ascii="Calibri Light" w:hAnsi="Calibri Light"/>
      <w:b/>
      <w:caps/>
      <w:spacing w:val="20"/>
      <w:sz w:val="18"/>
      <w:szCs w:val="20"/>
    </w:rPr>
  </w:style>
  <w:style w:type="character" w:customStyle="1" w:styleId="TitleChar">
    <w:name w:val="Title Char"/>
    <w:link w:val="Title"/>
    <w:uiPriority w:val="10"/>
    <w:rsid w:val="00E018FC"/>
    <w:rPr>
      <w:rFonts w:ascii="Calibri Light" w:eastAsia="Times New Roman" w:hAnsi="Calibri Light" w:cs="Times New Roman"/>
      <w:b/>
      <w:caps/>
      <w:spacing w:val="20"/>
      <w:sz w:val="18"/>
      <w:szCs w:val="20"/>
    </w:rPr>
  </w:style>
  <w:style w:type="paragraph" w:styleId="ListParagraph">
    <w:name w:val="List Paragraph"/>
    <w:basedOn w:val="Normal"/>
    <w:uiPriority w:val="34"/>
    <w:qFormat/>
    <w:rsid w:val="00E018F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5F3817"/>
    <w:rPr>
      <w:color w:val="0000FF"/>
      <w:u w:val="single"/>
    </w:rPr>
  </w:style>
  <w:style w:type="table" w:styleId="TableGrid">
    <w:name w:val="Table Grid"/>
    <w:basedOn w:val="TableNormal"/>
    <w:uiPriority w:val="39"/>
    <w:rsid w:val="00635E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57A1CD-D55C-4483-A562-B0D6C35B5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8D25D-366A-4394-8FEA-C05B04199D06}">
  <ds:schemaRefs>
    <ds:schemaRef ds:uri="http://schemas.microsoft.com/office/2006/metadata/properties"/>
    <ds:schemaRef ds:uri="http://schemas.microsoft.com/office/infopath/2007/PartnerControls"/>
    <ds:schemaRef ds:uri="080e8734-5247-4bf9-86b0-d35f0d81f97a"/>
  </ds:schemaRefs>
</ds:datastoreItem>
</file>

<file path=customXml/itemProps4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336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Links>
    <vt:vector size="6" baseType="variant">
      <vt:variant>
        <vt:i4>7405658</vt:i4>
      </vt:variant>
      <vt:variant>
        <vt:i4>0</vt:i4>
      </vt:variant>
      <vt:variant>
        <vt:i4>0</vt:i4>
      </vt:variant>
      <vt:variant>
        <vt:i4>5</vt:i4>
      </vt:variant>
      <vt:variant>
        <vt:lpwstr>mailto:gcarter@mdot.state.md.us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154</cp:revision>
  <dcterms:created xsi:type="dcterms:W3CDTF">2018-05-09T21:19:00Z</dcterms:created>
  <dcterms:modified xsi:type="dcterms:W3CDTF">2020-12-09T17:42:00Z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