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827F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530C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pat-1027 75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75F92" w:rsidRDefault="00BC18CE" w:rsidP="00675F9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75F92">
        <w:rPr>
          <w:b/>
          <w:i/>
          <w:iCs/>
          <w:color w:val="000000"/>
          <w:sz w:val="24"/>
        </w:rPr>
        <w:t xml:space="preserve"> </w:t>
      </w:r>
      <w:r w:rsidR="002827F5" w:rsidRPr="00675F92">
        <w:rPr>
          <w:b/>
          <w:i/>
          <w:iCs/>
          <w:color w:val="000000"/>
          <w:sz w:val="24"/>
        </w:rPr>
        <w:t>MAMMOGRAPHIE</w:t>
      </w:r>
      <w:r w:rsidR="00675F92" w:rsidRPr="00675F9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75F92" w:rsidRDefault="00EB2A23">
      <w:pPr>
        <w:rPr>
          <w:b/>
          <w:color w:val="000000"/>
          <w:sz w:val="24"/>
          <w:szCs w:val="24"/>
        </w:rPr>
      </w:pPr>
      <w:r w:rsidRPr="00675F92">
        <w:rPr>
          <w:b/>
          <w:iCs/>
          <w:color w:val="000000"/>
          <w:sz w:val="24"/>
          <w:szCs w:val="24"/>
          <w:u w:val="single"/>
        </w:rPr>
        <w:t>RESULTATS</w:t>
      </w:r>
      <w:r w:rsidRPr="00675F92">
        <w:rPr>
          <w:b/>
          <w:i/>
          <w:color w:val="000000"/>
          <w:sz w:val="24"/>
          <w:szCs w:val="24"/>
        </w:rPr>
        <w:t>:</w:t>
      </w:r>
      <w:r w:rsidRPr="00675F92">
        <w:rPr>
          <w:b/>
          <w:color w:val="000000"/>
          <w:sz w:val="24"/>
          <w:szCs w:val="24"/>
        </w:rPr>
        <w:t xml:space="preserve"> </w:t>
      </w:r>
    </w:p>
    <w:p w:rsidR="00EE4ACF" w:rsidRPr="00675F92" w:rsidRDefault="00EE4ACF">
      <w:pPr>
        <w:rPr>
          <w:b/>
          <w:color w:val="000000"/>
          <w:sz w:val="24"/>
          <w:szCs w:val="24"/>
        </w:rPr>
      </w:pPr>
    </w:p>
    <w:p w:rsidR="00A90B0A" w:rsidRPr="00675F92" w:rsidRDefault="00B00E2E" w:rsidP="00675F92">
      <w:pPr>
        <w:ind w:firstLine="708"/>
        <w:rPr>
          <w:b/>
          <w:color w:val="000000"/>
          <w:sz w:val="24"/>
          <w:szCs w:val="24"/>
        </w:rPr>
      </w:pPr>
      <w:r w:rsidRPr="00675F92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75F92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75F92" w:rsidRPr="00675F92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675F92" w:rsidRDefault="00A90B0A" w:rsidP="00293989">
      <w:pPr>
        <w:rPr>
          <w:bCs/>
          <w:color w:val="000000"/>
          <w:sz w:val="24"/>
          <w:szCs w:val="24"/>
        </w:rPr>
      </w:pPr>
      <w:r w:rsidRPr="00675F92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675F92" w:rsidRDefault="00857F9E" w:rsidP="0029398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au niveau du QSE gauche de deux masses contigües, de forme et de contours irréguliers, hétérogène</w:t>
      </w:r>
      <w:r w:rsidR="00293989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, contenant des micro-calcifications </w:t>
      </w:r>
      <w:r w:rsidR="00293989">
        <w:rPr>
          <w:bCs/>
          <w:color w:val="000000"/>
          <w:sz w:val="24"/>
          <w:szCs w:val="24"/>
        </w:rPr>
        <w:t xml:space="preserve">polymorphes </w:t>
      </w:r>
      <w:r>
        <w:rPr>
          <w:bCs/>
          <w:color w:val="000000"/>
          <w:sz w:val="24"/>
          <w:szCs w:val="24"/>
        </w:rPr>
        <w:t>en leurs seins.</w:t>
      </w:r>
    </w:p>
    <w:p w:rsidR="00A90B0A" w:rsidRDefault="00293989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pariétales athéromateuses.</w:t>
      </w:r>
    </w:p>
    <w:p w:rsidR="00293989" w:rsidRDefault="00293989" w:rsidP="0029398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en bâtonnets linéaires éparses bilatérales.</w:t>
      </w:r>
    </w:p>
    <w:p w:rsidR="00293989" w:rsidRPr="00675F92" w:rsidRDefault="00293989" w:rsidP="0059280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à centre clair éparses bilatérales.</w:t>
      </w:r>
    </w:p>
    <w:p w:rsidR="00A90B0A" w:rsidRPr="00675F92" w:rsidRDefault="00A90B0A" w:rsidP="00A90B0A">
      <w:pPr>
        <w:rPr>
          <w:bCs/>
          <w:color w:val="000000"/>
          <w:sz w:val="24"/>
          <w:szCs w:val="24"/>
        </w:rPr>
      </w:pPr>
      <w:r w:rsidRPr="00675F92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75F92" w:rsidRDefault="00A90B0A" w:rsidP="00A90B0A">
      <w:pPr>
        <w:rPr>
          <w:bCs/>
          <w:color w:val="000000"/>
          <w:sz w:val="24"/>
          <w:szCs w:val="24"/>
        </w:rPr>
      </w:pPr>
    </w:p>
    <w:p w:rsidR="00A90B0A" w:rsidRPr="00675F92" w:rsidRDefault="00A90B0A" w:rsidP="00675F9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75F9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75F92" w:rsidRPr="00675F92">
        <w:rPr>
          <w:b/>
          <w:bCs/>
          <w:i/>
          <w:color w:val="000000"/>
          <w:sz w:val="24"/>
          <w:szCs w:val="24"/>
          <w:u w:val="single"/>
        </w:rPr>
        <w:t> :</w:t>
      </w:r>
      <w:r w:rsidRPr="00675F92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25D0B" w:rsidP="00FD5D5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Les masses sus-décrites correspondent à des formations de forme et de contours irréguliers, hypoéchogènes hétérogènes, atténuantes, du QSE gauche mesurant </w:t>
      </w:r>
      <w:r w:rsidR="00FD5D50">
        <w:rPr>
          <w:bCs/>
          <w:color w:val="000000"/>
          <w:sz w:val="24"/>
          <w:szCs w:val="24"/>
        </w:rPr>
        <w:t>24 mm et 9 mm.</w:t>
      </w:r>
    </w:p>
    <w:p w:rsidR="00A25D0B" w:rsidRPr="00675F92" w:rsidRDefault="00A25D0B" w:rsidP="009866A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au niveau sus-aréolaire gauche d’une formation kystique à paroi fine et régulière, à contenu finement échogène, mesurant </w:t>
      </w:r>
      <w:r w:rsidR="009866A5">
        <w:rPr>
          <w:bCs/>
          <w:color w:val="000000"/>
          <w:sz w:val="24"/>
          <w:szCs w:val="24"/>
        </w:rPr>
        <w:t>6 mm.</w:t>
      </w:r>
    </w:p>
    <w:p w:rsidR="00A90B0A" w:rsidRPr="00675F92" w:rsidRDefault="00A90B0A" w:rsidP="00A90B0A">
      <w:pPr>
        <w:rPr>
          <w:bCs/>
          <w:color w:val="000000"/>
          <w:sz w:val="24"/>
          <w:szCs w:val="24"/>
        </w:rPr>
      </w:pPr>
      <w:r w:rsidRPr="00675F92">
        <w:rPr>
          <w:bCs/>
          <w:color w:val="000000"/>
          <w:sz w:val="24"/>
          <w:szCs w:val="24"/>
        </w:rPr>
        <w:t>Système canalaire non dilaté.</w:t>
      </w:r>
    </w:p>
    <w:p w:rsidR="00A90B0A" w:rsidRPr="00675F92" w:rsidRDefault="00A44DDA" w:rsidP="0006583B">
      <w:pPr>
        <w:rPr>
          <w:bCs/>
          <w:color w:val="000000"/>
          <w:sz w:val="24"/>
          <w:szCs w:val="24"/>
        </w:rPr>
      </w:pPr>
      <w:r w:rsidRPr="00675F92">
        <w:rPr>
          <w:bCs/>
          <w:color w:val="000000"/>
          <w:sz w:val="24"/>
          <w:szCs w:val="24"/>
        </w:rPr>
        <w:t>A</w:t>
      </w:r>
      <w:r w:rsidR="00A90B0A" w:rsidRPr="00675F92">
        <w:rPr>
          <w:bCs/>
          <w:color w:val="000000"/>
          <w:sz w:val="24"/>
          <w:szCs w:val="24"/>
        </w:rPr>
        <w:t>dénopathies</w:t>
      </w:r>
      <w:r>
        <w:rPr>
          <w:bCs/>
          <w:color w:val="000000"/>
          <w:sz w:val="24"/>
          <w:szCs w:val="24"/>
        </w:rPr>
        <w:t xml:space="preserve"> </w:t>
      </w:r>
      <w:r w:rsidR="00A90B0A" w:rsidRPr="00675F92">
        <w:rPr>
          <w:bCs/>
          <w:color w:val="000000"/>
          <w:sz w:val="24"/>
          <w:szCs w:val="24"/>
        </w:rPr>
        <w:t>axillaires</w:t>
      </w:r>
      <w:r>
        <w:rPr>
          <w:bCs/>
          <w:color w:val="000000"/>
          <w:sz w:val="24"/>
          <w:szCs w:val="24"/>
        </w:rPr>
        <w:t xml:space="preserve"> </w:t>
      </w:r>
      <w:r w:rsidR="009410AB">
        <w:rPr>
          <w:bCs/>
          <w:color w:val="000000"/>
          <w:sz w:val="24"/>
          <w:szCs w:val="24"/>
        </w:rPr>
        <w:t xml:space="preserve">gauches suspectes, dont la plus volumineuse mesure </w:t>
      </w:r>
      <w:r w:rsidR="0006583B">
        <w:rPr>
          <w:bCs/>
          <w:color w:val="000000"/>
          <w:sz w:val="24"/>
          <w:szCs w:val="24"/>
        </w:rPr>
        <w:t>20x15 mm</w:t>
      </w:r>
      <w:r w:rsidR="009410AB">
        <w:rPr>
          <w:bCs/>
          <w:color w:val="000000"/>
          <w:sz w:val="24"/>
          <w:szCs w:val="24"/>
        </w:rPr>
        <w:t>, sans centre graisseux.</w:t>
      </w:r>
    </w:p>
    <w:p w:rsidR="00A90B0A" w:rsidRPr="00675F92" w:rsidRDefault="00A90B0A" w:rsidP="00A90B0A">
      <w:pPr>
        <w:rPr>
          <w:bCs/>
          <w:color w:val="000000"/>
          <w:sz w:val="24"/>
          <w:szCs w:val="24"/>
        </w:rPr>
      </w:pPr>
    </w:p>
    <w:p w:rsidR="00A90B0A" w:rsidRPr="00CC577D" w:rsidRDefault="00CC577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CC577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C577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DB79F9" w:rsidP="00A1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75F92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151DA">
        <w:rPr>
          <w:b/>
          <w:bCs/>
          <w:i/>
          <w:color w:val="000000"/>
          <w:sz w:val="24"/>
          <w:szCs w:val="24"/>
        </w:rPr>
        <w:t>en faveur d’un processus tumoral mammaire malin bifocal gauche.</w:t>
      </w:r>
    </w:p>
    <w:p w:rsidR="00A151DA" w:rsidRDefault="00DB79F9" w:rsidP="00A1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151DA">
        <w:rPr>
          <w:b/>
          <w:bCs/>
          <w:i/>
          <w:color w:val="000000"/>
          <w:sz w:val="24"/>
          <w:szCs w:val="24"/>
        </w:rPr>
        <w:t>Adénopathies axillaires gauches suspectes, nécessitant une vérification cytologique.</w:t>
      </w:r>
    </w:p>
    <w:p w:rsidR="00335445" w:rsidRPr="00675F92" w:rsidRDefault="00DB79F9" w:rsidP="00335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335445">
        <w:rPr>
          <w:b/>
          <w:bCs/>
          <w:i/>
          <w:color w:val="000000"/>
          <w:sz w:val="24"/>
          <w:szCs w:val="24"/>
        </w:rPr>
        <w:t>Kyste remanié mammaire gauche.</w:t>
      </w:r>
    </w:p>
    <w:p w:rsidR="00A90B0A" w:rsidRPr="00675F92" w:rsidRDefault="00DB79F9" w:rsidP="00335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75F92">
        <w:rPr>
          <w:b/>
          <w:bCs/>
          <w:i/>
          <w:color w:val="000000"/>
          <w:sz w:val="24"/>
          <w:szCs w:val="24"/>
        </w:rPr>
        <w:t xml:space="preserve">Examen classé </w:t>
      </w:r>
      <w:r w:rsidR="00335445">
        <w:rPr>
          <w:b/>
          <w:bCs/>
          <w:i/>
          <w:color w:val="000000"/>
          <w:sz w:val="24"/>
          <w:szCs w:val="24"/>
        </w:rPr>
        <w:t xml:space="preserve">BI-RADS 6 de l'ACR à gauche et </w:t>
      </w:r>
      <w:r w:rsidR="00A90B0A" w:rsidRPr="00675F92">
        <w:rPr>
          <w:b/>
          <w:bCs/>
          <w:i/>
          <w:color w:val="000000"/>
          <w:sz w:val="24"/>
          <w:szCs w:val="24"/>
        </w:rPr>
        <w:t>BI-RADS 1 de l’ACR</w:t>
      </w:r>
      <w:r w:rsidR="00335445">
        <w:rPr>
          <w:b/>
          <w:bCs/>
          <w:i/>
          <w:color w:val="000000"/>
          <w:sz w:val="24"/>
          <w:szCs w:val="24"/>
        </w:rPr>
        <w:t xml:space="preserve"> à droite</w:t>
      </w:r>
      <w:r w:rsidR="00A90B0A" w:rsidRPr="00675F92">
        <w:rPr>
          <w:b/>
          <w:bCs/>
          <w:i/>
          <w:color w:val="000000"/>
          <w:sz w:val="24"/>
          <w:szCs w:val="24"/>
        </w:rPr>
        <w:t>.</w:t>
      </w:r>
    </w:p>
    <w:p w:rsidR="00EB2A23" w:rsidRPr="00675F92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CC577D" w:rsidRPr="00675F92" w:rsidRDefault="00CC577D">
      <w:pPr>
        <w:tabs>
          <w:tab w:val="left" w:pos="3686"/>
        </w:tabs>
        <w:rPr>
          <w:sz w:val="24"/>
          <w:szCs w:val="24"/>
        </w:rPr>
      </w:pPr>
    </w:p>
    <w:p w:rsidR="00EB2A23" w:rsidRPr="00675F92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675F92" w:rsidRDefault="00EB2A23">
      <w:pPr>
        <w:rPr>
          <w:b/>
          <w:color w:val="000000"/>
          <w:sz w:val="24"/>
          <w:szCs w:val="24"/>
        </w:rPr>
      </w:pPr>
    </w:p>
    <w:p w:rsidR="00EB2A23" w:rsidRPr="00675F92" w:rsidRDefault="00EB2A23">
      <w:pPr>
        <w:rPr>
          <w:sz w:val="24"/>
          <w:szCs w:val="24"/>
        </w:rPr>
      </w:pPr>
    </w:p>
    <w:p w:rsidR="00EB2A23" w:rsidRPr="00675F92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DDA" w:rsidRDefault="004E2DDA" w:rsidP="00FF41A6">
      <w:r>
        <w:separator/>
      </w:r>
    </w:p>
  </w:endnote>
  <w:endnote w:type="continuationSeparator" w:id="0">
    <w:p w:rsidR="004E2DDA" w:rsidRDefault="004E2D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77D" w:rsidRDefault="00CC577D" w:rsidP="00F515B5">
    <w:pPr>
      <w:jc w:val="center"/>
      <w:rPr>
        <w:rFonts w:eastAsia="Calibri"/>
        <w:i/>
        <w:iCs/>
        <w:sz w:val="18"/>
        <w:szCs w:val="18"/>
      </w:rPr>
    </w:pPr>
  </w:p>
  <w:p w:rsidR="00CC577D" w:rsidRDefault="00CC577D" w:rsidP="00F515B5">
    <w:pPr>
      <w:tabs>
        <w:tab w:val="center" w:pos="4536"/>
        <w:tab w:val="right" w:pos="9072"/>
      </w:tabs>
      <w:jc w:val="center"/>
    </w:pPr>
  </w:p>
  <w:p w:rsidR="00CC577D" w:rsidRPr="00F515B5" w:rsidRDefault="00CC577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DDA" w:rsidRDefault="004E2DDA" w:rsidP="00FF41A6">
      <w:r>
        <w:separator/>
      </w:r>
    </w:p>
  </w:footnote>
  <w:footnote w:type="continuationSeparator" w:id="0">
    <w:p w:rsidR="004E2DDA" w:rsidRDefault="004E2D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77D" w:rsidRDefault="00CC577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C577D" w:rsidRPr="00426781" w:rsidRDefault="00CC577D" w:rsidP="00FF41A6">
    <w:pPr>
      <w:pStyle w:val="NoSpacing"/>
      <w:jc w:val="center"/>
      <w:rPr>
        <w:rFonts w:ascii="Tw Cen MT" w:hAnsi="Tw Cen MT"/>
      </w:rPr>
    </w:pPr>
  </w:p>
  <w:p w:rsidR="00CC577D" w:rsidRDefault="00CC577D" w:rsidP="00FF41A6">
    <w:pPr>
      <w:pStyle w:val="NoSpacing"/>
      <w:jc w:val="center"/>
      <w:rPr>
        <w:rFonts w:ascii="Tw Cen MT" w:hAnsi="Tw Cen MT"/>
      </w:rPr>
    </w:pPr>
  </w:p>
  <w:p w:rsidR="00CC577D" w:rsidRPr="00D104DB" w:rsidRDefault="00CC577D" w:rsidP="00FF41A6">
    <w:pPr>
      <w:pStyle w:val="NoSpacing"/>
      <w:jc w:val="center"/>
      <w:rPr>
        <w:sz w:val="16"/>
        <w:szCs w:val="16"/>
      </w:rPr>
    </w:pPr>
  </w:p>
  <w:p w:rsidR="00CC577D" w:rsidRDefault="00CC577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3C08"/>
    <w:rsid w:val="0006583B"/>
    <w:rsid w:val="00094E5E"/>
    <w:rsid w:val="000A78EE"/>
    <w:rsid w:val="000B7A8F"/>
    <w:rsid w:val="00136EEF"/>
    <w:rsid w:val="00226309"/>
    <w:rsid w:val="00266C96"/>
    <w:rsid w:val="002827F5"/>
    <w:rsid w:val="00291FF6"/>
    <w:rsid w:val="00293989"/>
    <w:rsid w:val="002B58CC"/>
    <w:rsid w:val="00320AF6"/>
    <w:rsid w:val="00335445"/>
    <w:rsid w:val="003530C0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2DDA"/>
    <w:rsid w:val="005018C7"/>
    <w:rsid w:val="0055089C"/>
    <w:rsid w:val="0058683D"/>
    <w:rsid w:val="00592805"/>
    <w:rsid w:val="005F508D"/>
    <w:rsid w:val="00675F92"/>
    <w:rsid w:val="006925A3"/>
    <w:rsid w:val="006A5983"/>
    <w:rsid w:val="006E396B"/>
    <w:rsid w:val="007571A5"/>
    <w:rsid w:val="007B7EB4"/>
    <w:rsid w:val="007F2AFE"/>
    <w:rsid w:val="00857F9E"/>
    <w:rsid w:val="008B1520"/>
    <w:rsid w:val="008B733C"/>
    <w:rsid w:val="00915587"/>
    <w:rsid w:val="009410AB"/>
    <w:rsid w:val="009866A5"/>
    <w:rsid w:val="00991837"/>
    <w:rsid w:val="009B7C64"/>
    <w:rsid w:val="00A11F2B"/>
    <w:rsid w:val="00A151DA"/>
    <w:rsid w:val="00A25D0B"/>
    <w:rsid w:val="00A44DDA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C577D"/>
    <w:rsid w:val="00CD057F"/>
    <w:rsid w:val="00CE2491"/>
    <w:rsid w:val="00D159C3"/>
    <w:rsid w:val="00D77CF5"/>
    <w:rsid w:val="00DB79F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36C6"/>
    <w:rsid w:val="00FB18E1"/>
    <w:rsid w:val="00FD5D5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7A16D8-8E1E-4C96-A16E-31AC68A9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