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832E2F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dimanche 12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0C5585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pat-1039 71 ANS </w:t>
      </w:r>
    </w:p>
    <w:p w:rsidR="00EB2A23" w:rsidRPr="00962190" w:rsidRDefault="00832E2F" w:rsidP="0096219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962190">
        <w:rPr>
          <w:b/>
          <w:i/>
          <w:iCs/>
          <w:color w:val="000000"/>
          <w:sz w:val="24"/>
        </w:rPr>
        <w:t>MAMMOGRAPHIE</w:t>
      </w:r>
      <w:r w:rsidR="00962190" w:rsidRPr="00962190">
        <w:rPr>
          <w:b/>
          <w:i/>
          <w:iCs/>
          <w:color w:val="000000"/>
          <w:sz w:val="24"/>
        </w:rPr>
        <w:t xml:space="preserve"> BILATERALE</w:t>
      </w:r>
    </w:p>
    <w:p w:rsidR="00EE4ACF" w:rsidRDefault="00EE4ACF" w:rsidP="00EE4ACF">
      <w:pPr>
        <w:rPr>
          <w:bCs/>
          <w:color w:val="000000"/>
          <w:sz w:val="24"/>
          <w:szCs w:val="24"/>
        </w:rPr>
      </w:pPr>
    </w:p>
    <w:p w:rsidR="0096769E" w:rsidRPr="00962190" w:rsidRDefault="0096769E" w:rsidP="0096769E">
      <w:pPr>
        <w:rPr>
          <w:b/>
          <w:bCs/>
          <w:color w:val="000000"/>
          <w:sz w:val="24"/>
          <w:u w:val="single"/>
        </w:rPr>
      </w:pPr>
      <w:r w:rsidRPr="00962190">
        <w:rPr>
          <w:b/>
          <w:bCs/>
          <w:color w:val="000000"/>
          <w:sz w:val="24"/>
          <w:u w:val="single"/>
        </w:rPr>
        <w:t>INDICATION :</w:t>
      </w:r>
    </w:p>
    <w:p w:rsidR="0096769E" w:rsidRPr="00962190" w:rsidRDefault="0096769E" w:rsidP="0096769E">
      <w:pPr>
        <w:rPr>
          <w:bCs/>
          <w:color w:val="000000"/>
          <w:sz w:val="24"/>
        </w:rPr>
      </w:pPr>
      <w:r w:rsidRPr="00962190">
        <w:rPr>
          <w:bCs/>
          <w:color w:val="000000"/>
          <w:sz w:val="24"/>
        </w:rPr>
        <w:t>Mammographie de dépistage.</w:t>
      </w:r>
    </w:p>
    <w:p w:rsidR="0096769E" w:rsidRPr="00387B70" w:rsidRDefault="0096769E" w:rsidP="0096769E">
      <w:pPr>
        <w:rPr>
          <w:bCs/>
          <w:color w:val="000000"/>
          <w:sz w:val="16"/>
          <w:szCs w:val="16"/>
        </w:rPr>
      </w:pPr>
    </w:p>
    <w:p w:rsidR="0096769E" w:rsidRPr="00962190" w:rsidRDefault="0096769E" w:rsidP="0096769E">
      <w:pPr>
        <w:rPr>
          <w:b/>
          <w:bCs/>
          <w:color w:val="000000"/>
          <w:sz w:val="24"/>
          <w:u w:val="single"/>
        </w:rPr>
      </w:pPr>
      <w:r w:rsidRPr="00962190">
        <w:rPr>
          <w:b/>
          <w:bCs/>
          <w:color w:val="000000"/>
          <w:sz w:val="24"/>
          <w:u w:val="single"/>
        </w:rPr>
        <w:t>RESULTATS:</w:t>
      </w:r>
    </w:p>
    <w:p w:rsidR="0096769E" w:rsidRPr="00387B70" w:rsidRDefault="0096769E" w:rsidP="0096769E">
      <w:pPr>
        <w:rPr>
          <w:b/>
          <w:bCs/>
          <w:color w:val="000000"/>
          <w:sz w:val="16"/>
          <w:szCs w:val="16"/>
          <w:u w:val="single"/>
        </w:rPr>
      </w:pPr>
    </w:p>
    <w:p w:rsidR="0096769E" w:rsidRPr="00962190" w:rsidRDefault="0096769E" w:rsidP="00962190">
      <w:pPr>
        <w:rPr>
          <w:b/>
          <w:bCs/>
          <w:i/>
          <w:color w:val="000000"/>
          <w:sz w:val="24"/>
          <w:u w:val="single"/>
        </w:rPr>
      </w:pPr>
      <w:r w:rsidRPr="00962190">
        <w:rPr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3A7543">
      <w:pPr>
        <w:rPr>
          <w:bCs/>
          <w:color w:val="000000"/>
          <w:sz w:val="24"/>
        </w:rPr>
      </w:pPr>
      <w:r w:rsidRPr="00962190">
        <w:rPr>
          <w:bCs/>
          <w:color w:val="000000"/>
          <w:sz w:val="24"/>
        </w:rPr>
        <w:t xml:space="preserve">Seins graisseux </w:t>
      </w:r>
      <w:r w:rsidR="002608D9">
        <w:rPr>
          <w:bCs/>
          <w:color w:val="000000"/>
          <w:sz w:val="24"/>
        </w:rPr>
        <w:t>homogènes</w:t>
      </w:r>
      <w:r w:rsidRPr="00962190">
        <w:rPr>
          <w:bCs/>
          <w:color w:val="000000"/>
          <w:sz w:val="24"/>
        </w:rPr>
        <w:t xml:space="preserve"> type </w:t>
      </w:r>
      <w:r w:rsidR="002608D9">
        <w:rPr>
          <w:bCs/>
          <w:color w:val="000000"/>
          <w:sz w:val="24"/>
        </w:rPr>
        <w:t>a</w:t>
      </w:r>
      <w:r w:rsidRPr="00962190">
        <w:rPr>
          <w:bCs/>
          <w:color w:val="000000"/>
          <w:sz w:val="24"/>
        </w:rPr>
        <w:t xml:space="preserve"> de l’ACR. </w:t>
      </w:r>
    </w:p>
    <w:p w:rsidR="002608D9" w:rsidRPr="00962190" w:rsidRDefault="002608D9" w:rsidP="003A754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Multiples opacités bien circonscrites, régulières, peu denses, avec un liseré plus dense, compatibles avec des lésions de cytostéatonécrose, éparses et bilatérales.</w:t>
      </w:r>
    </w:p>
    <w:p w:rsidR="0096769E" w:rsidRPr="00962190" w:rsidRDefault="0096769E" w:rsidP="00974850">
      <w:pPr>
        <w:rPr>
          <w:bCs/>
          <w:color w:val="000000"/>
          <w:sz w:val="24"/>
        </w:rPr>
      </w:pPr>
      <w:r w:rsidRPr="00962190">
        <w:rPr>
          <w:bCs/>
          <w:color w:val="000000"/>
          <w:sz w:val="24"/>
        </w:rPr>
        <w:t>Absence de désorganisation architecturale.</w:t>
      </w:r>
    </w:p>
    <w:p w:rsidR="0096769E" w:rsidRPr="00962190" w:rsidRDefault="0096769E" w:rsidP="00974850">
      <w:pPr>
        <w:rPr>
          <w:bCs/>
          <w:color w:val="000000"/>
          <w:sz w:val="24"/>
        </w:rPr>
      </w:pPr>
      <w:r w:rsidRPr="00962190">
        <w:rPr>
          <w:bCs/>
          <w:color w:val="000000"/>
          <w:sz w:val="24"/>
        </w:rPr>
        <w:t>Absence de signal calcique à caractère péjoratif.</w:t>
      </w:r>
    </w:p>
    <w:p w:rsidR="0096769E" w:rsidRPr="00962190" w:rsidRDefault="0096769E" w:rsidP="00974850">
      <w:pPr>
        <w:rPr>
          <w:bCs/>
          <w:color w:val="000000"/>
          <w:sz w:val="24"/>
        </w:rPr>
      </w:pPr>
      <w:r w:rsidRPr="00962190">
        <w:rPr>
          <w:bCs/>
          <w:color w:val="000000"/>
          <w:sz w:val="24"/>
        </w:rPr>
        <w:t>Revêtement cutané fin et régulier.</w:t>
      </w:r>
    </w:p>
    <w:p w:rsidR="0096769E" w:rsidRPr="00962190" w:rsidRDefault="0096769E" w:rsidP="00974850">
      <w:pPr>
        <w:rPr>
          <w:bCs/>
          <w:color w:val="000000"/>
          <w:sz w:val="24"/>
        </w:rPr>
      </w:pPr>
      <w:r w:rsidRPr="00962190">
        <w:rPr>
          <w:bCs/>
          <w:color w:val="000000"/>
          <w:sz w:val="24"/>
        </w:rPr>
        <w:t xml:space="preserve">Aires axillaires </w:t>
      </w:r>
      <w:r w:rsidR="003B05B3">
        <w:rPr>
          <w:bCs/>
          <w:color w:val="000000"/>
          <w:sz w:val="24"/>
        </w:rPr>
        <w:t>insuffisamment dégagées</w:t>
      </w:r>
      <w:r w:rsidRPr="00962190">
        <w:rPr>
          <w:bCs/>
          <w:color w:val="000000"/>
          <w:sz w:val="24"/>
        </w:rPr>
        <w:t>.</w:t>
      </w:r>
    </w:p>
    <w:p w:rsidR="0096769E" w:rsidRPr="00387B70" w:rsidRDefault="0096769E" w:rsidP="0096769E">
      <w:pPr>
        <w:ind w:firstLine="708"/>
        <w:rPr>
          <w:bCs/>
          <w:color w:val="000000"/>
          <w:sz w:val="16"/>
          <w:szCs w:val="16"/>
        </w:rPr>
      </w:pPr>
    </w:p>
    <w:p w:rsidR="0096769E" w:rsidRPr="00962190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962190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962190" w:rsidRDefault="0096769E" w:rsidP="00974850">
      <w:pPr>
        <w:rPr>
          <w:bCs/>
          <w:color w:val="000000"/>
          <w:sz w:val="24"/>
        </w:rPr>
      </w:pPr>
      <w:r w:rsidRPr="00962190">
        <w:rPr>
          <w:bCs/>
          <w:color w:val="000000"/>
          <w:sz w:val="24"/>
        </w:rPr>
        <w:t xml:space="preserve">Répartition harmonieuse </w:t>
      </w:r>
      <w:r w:rsidR="00DF0E6C">
        <w:rPr>
          <w:bCs/>
          <w:color w:val="000000"/>
          <w:sz w:val="24"/>
        </w:rPr>
        <w:t>de la trame</w:t>
      </w:r>
      <w:r w:rsidRPr="00962190">
        <w:rPr>
          <w:bCs/>
          <w:color w:val="000000"/>
          <w:sz w:val="24"/>
        </w:rPr>
        <w:t xml:space="preserve"> conjonctivo-glandulaire.</w:t>
      </w:r>
    </w:p>
    <w:p w:rsidR="0096769E" w:rsidRDefault="00DF0E6C" w:rsidP="0097485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Mise en évidence de multiples formations kystiques dont certaines transonores franchement, d’autres hypoéchogènes hétérogènes et d’autres complètement échogènes, compatibles avec des lésions de cytostéatonécr</w:t>
      </w:r>
      <w:r w:rsidR="00F12E01">
        <w:rPr>
          <w:bCs/>
          <w:color w:val="000000"/>
          <w:sz w:val="24"/>
        </w:rPr>
        <w:t>ose</w:t>
      </w:r>
      <w:r w:rsidR="00CF1346">
        <w:rPr>
          <w:bCs/>
          <w:color w:val="000000"/>
          <w:sz w:val="24"/>
        </w:rPr>
        <w:t xml:space="preserve"> après allaitement d</w:t>
      </w:r>
      <w:r w:rsidR="00D548F3">
        <w:rPr>
          <w:bCs/>
          <w:color w:val="000000"/>
          <w:sz w:val="24"/>
        </w:rPr>
        <w:t>’un</w:t>
      </w:r>
      <w:r w:rsidR="00CF1346">
        <w:rPr>
          <w:bCs/>
          <w:color w:val="000000"/>
          <w:sz w:val="24"/>
        </w:rPr>
        <w:t>e multitude d’enfants</w:t>
      </w:r>
      <w:r w:rsidR="00D548F3">
        <w:rPr>
          <w:bCs/>
          <w:color w:val="000000"/>
          <w:sz w:val="24"/>
        </w:rPr>
        <w:t xml:space="preserve"> (la patiente a allaité 14 enfants), réparties comme suit :</w:t>
      </w:r>
    </w:p>
    <w:p w:rsidR="00D548F3" w:rsidRPr="00974850" w:rsidRDefault="00D548F3" w:rsidP="00974850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974850">
        <w:rPr>
          <w:bCs/>
          <w:i/>
          <w:iCs/>
          <w:color w:val="000000"/>
          <w:sz w:val="24"/>
        </w:rPr>
        <w:t>QMS gauche de 14,8x12 mm.</w:t>
      </w:r>
    </w:p>
    <w:p w:rsidR="00D548F3" w:rsidRPr="00974850" w:rsidRDefault="00D548F3" w:rsidP="00974850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974850">
        <w:rPr>
          <w:bCs/>
          <w:i/>
          <w:iCs/>
          <w:color w:val="000000"/>
          <w:sz w:val="24"/>
        </w:rPr>
        <w:t>QSE gauche de 13x11 mm.</w:t>
      </w:r>
    </w:p>
    <w:p w:rsidR="00D548F3" w:rsidRPr="00974850" w:rsidRDefault="00D548F3" w:rsidP="00974850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974850">
        <w:rPr>
          <w:bCs/>
          <w:i/>
          <w:iCs/>
          <w:color w:val="000000"/>
          <w:sz w:val="24"/>
        </w:rPr>
        <w:t>Péri-mamelonnaire externe gauche de 13x12,7 mm.</w:t>
      </w:r>
    </w:p>
    <w:p w:rsidR="00D548F3" w:rsidRPr="00974850" w:rsidRDefault="00D548F3" w:rsidP="00974850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974850">
        <w:rPr>
          <w:bCs/>
          <w:i/>
          <w:iCs/>
          <w:color w:val="000000"/>
          <w:sz w:val="24"/>
        </w:rPr>
        <w:t>Rétro-aréolaire gauche de 16,6x15 mm et 15,9x14,5 mm.</w:t>
      </w:r>
    </w:p>
    <w:p w:rsidR="00D548F3" w:rsidRPr="00974850" w:rsidRDefault="00D548F3" w:rsidP="00974850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974850">
        <w:rPr>
          <w:bCs/>
          <w:i/>
          <w:iCs/>
          <w:color w:val="000000"/>
          <w:sz w:val="24"/>
        </w:rPr>
        <w:t>QMInf gauche de 5,7x3,7 mm.</w:t>
      </w:r>
    </w:p>
    <w:p w:rsidR="00D548F3" w:rsidRPr="00974850" w:rsidRDefault="00D548F3" w:rsidP="00974850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974850">
        <w:rPr>
          <w:bCs/>
          <w:i/>
          <w:iCs/>
          <w:color w:val="000000"/>
          <w:sz w:val="24"/>
        </w:rPr>
        <w:t>QMS droit de 11x10 mm.</w:t>
      </w:r>
    </w:p>
    <w:p w:rsidR="00D548F3" w:rsidRPr="00974850" w:rsidRDefault="00D548F3" w:rsidP="00974850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974850">
        <w:rPr>
          <w:bCs/>
          <w:i/>
          <w:iCs/>
          <w:color w:val="000000"/>
          <w:sz w:val="24"/>
        </w:rPr>
        <w:t>QSInt droit de 17x17 mm et 6x5,5 mm.</w:t>
      </w:r>
    </w:p>
    <w:p w:rsidR="00D548F3" w:rsidRPr="00974850" w:rsidRDefault="00D548F3" w:rsidP="00974850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974850">
        <w:rPr>
          <w:bCs/>
          <w:i/>
          <w:iCs/>
          <w:color w:val="000000"/>
          <w:sz w:val="24"/>
        </w:rPr>
        <w:t xml:space="preserve">QIInt droit de </w:t>
      </w:r>
      <w:r w:rsidR="002F4B86" w:rsidRPr="00974850">
        <w:rPr>
          <w:bCs/>
          <w:i/>
          <w:iCs/>
          <w:color w:val="000000"/>
          <w:sz w:val="24"/>
        </w:rPr>
        <w:t>16,7x17 mm.</w:t>
      </w:r>
    </w:p>
    <w:p w:rsidR="002F4B86" w:rsidRPr="00974850" w:rsidRDefault="002F4B86" w:rsidP="00974850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974850">
        <w:rPr>
          <w:bCs/>
          <w:i/>
          <w:iCs/>
          <w:color w:val="000000"/>
          <w:sz w:val="24"/>
        </w:rPr>
        <w:t>QMInf droit de 12x10 mm.</w:t>
      </w:r>
    </w:p>
    <w:p w:rsidR="002F4B86" w:rsidRPr="00974850" w:rsidRDefault="00FB37BF" w:rsidP="00974850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974850">
        <w:rPr>
          <w:bCs/>
          <w:i/>
          <w:iCs/>
          <w:color w:val="000000"/>
          <w:sz w:val="24"/>
        </w:rPr>
        <w:t>QME droit de 11x9,5 mm et</w:t>
      </w:r>
      <w:r w:rsidR="002F4B86" w:rsidRPr="00974850">
        <w:rPr>
          <w:bCs/>
          <w:i/>
          <w:iCs/>
          <w:color w:val="000000"/>
          <w:sz w:val="24"/>
        </w:rPr>
        <w:t xml:space="preserve"> 4x3,8 mm.</w:t>
      </w:r>
    </w:p>
    <w:p w:rsidR="002F4B86" w:rsidRPr="00974850" w:rsidRDefault="002F4B86" w:rsidP="00974850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974850">
        <w:rPr>
          <w:bCs/>
          <w:i/>
          <w:iCs/>
          <w:color w:val="000000"/>
          <w:sz w:val="24"/>
        </w:rPr>
        <w:t>QSE droit de 18</w:t>
      </w:r>
      <w:r w:rsidR="00FB37BF" w:rsidRPr="00974850">
        <w:rPr>
          <w:bCs/>
          <w:i/>
          <w:iCs/>
          <w:color w:val="000000"/>
          <w:sz w:val="24"/>
        </w:rPr>
        <w:t>,2x9,6 mm,12,5x11,8 mm et 4,3x4,2 mm.</w:t>
      </w:r>
    </w:p>
    <w:p w:rsidR="00D548F3" w:rsidRDefault="00CF13E7" w:rsidP="0097485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CF13E7" w:rsidRDefault="00CF13E7" w:rsidP="00974850">
      <w:pPr>
        <w:rPr>
          <w:bCs/>
          <w:color w:val="000000"/>
          <w:sz w:val="24"/>
        </w:rPr>
      </w:pPr>
      <w:r w:rsidRPr="00962190">
        <w:rPr>
          <w:bCs/>
          <w:color w:val="000000"/>
          <w:sz w:val="24"/>
        </w:rPr>
        <w:t>Revêtement cutané fin et régulier.</w:t>
      </w:r>
    </w:p>
    <w:p w:rsidR="00CF13E7" w:rsidRPr="00962190" w:rsidRDefault="00CF13E7" w:rsidP="00974850">
      <w:pPr>
        <w:rPr>
          <w:bCs/>
          <w:color w:val="000000"/>
          <w:sz w:val="24"/>
        </w:rPr>
      </w:pPr>
      <w:r w:rsidRPr="00962190">
        <w:rPr>
          <w:bCs/>
          <w:color w:val="000000"/>
          <w:sz w:val="24"/>
        </w:rPr>
        <w:t>Aires axillaires libres.</w:t>
      </w:r>
    </w:p>
    <w:p w:rsidR="00D548F3" w:rsidRPr="00387B70" w:rsidRDefault="00D548F3" w:rsidP="00DF0E6C">
      <w:pPr>
        <w:ind w:left="708"/>
        <w:rPr>
          <w:bCs/>
          <w:color w:val="000000"/>
          <w:sz w:val="16"/>
          <w:szCs w:val="16"/>
        </w:rPr>
      </w:pPr>
    </w:p>
    <w:p w:rsidR="0096769E" w:rsidRPr="00962190" w:rsidRDefault="00962190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962190">
        <w:rPr>
          <w:b/>
          <w:bCs/>
          <w:color w:val="000000"/>
          <w:sz w:val="24"/>
          <w:u w:val="single"/>
        </w:rPr>
        <w:t>CONCLUSION :</w:t>
      </w:r>
    </w:p>
    <w:p w:rsidR="00CF13E7" w:rsidRDefault="00387B70" w:rsidP="007D75F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962190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CF13E7">
        <w:rPr>
          <w:b/>
          <w:bCs/>
          <w:i/>
          <w:color w:val="000000"/>
          <w:sz w:val="24"/>
        </w:rPr>
        <w:t xml:space="preserve">en faveur de multiples lésions </w:t>
      </w:r>
      <w:r w:rsidR="007D75FC">
        <w:rPr>
          <w:b/>
          <w:bCs/>
          <w:i/>
          <w:color w:val="000000"/>
          <w:sz w:val="24"/>
        </w:rPr>
        <w:t xml:space="preserve">bilatérales </w:t>
      </w:r>
      <w:r w:rsidR="00CF13E7">
        <w:rPr>
          <w:b/>
          <w:bCs/>
          <w:i/>
          <w:color w:val="000000"/>
          <w:sz w:val="24"/>
        </w:rPr>
        <w:t>typiques de cytostéatonécrose</w:t>
      </w:r>
      <w:r w:rsidR="007D75FC">
        <w:rPr>
          <w:b/>
          <w:bCs/>
          <w:i/>
          <w:color w:val="000000"/>
          <w:sz w:val="24"/>
        </w:rPr>
        <w:t>.</w:t>
      </w:r>
    </w:p>
    <w:p w:rsidR="007D75FC" w:rsidRDefault="00387B70" w:rsidP="007D75F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7D75FC">
        <w:rPr>
          <w:b/>
          <w:bCs/>
          <w:i/>
          <w:color w:val="000000"/>
          <w:sz w:val="24"/>
        </w:rPr>
        <w:t>Examen classé</w:t>
      </w:r>
      <w:r w:rsidR="0096769E" w:rsidRPr="00962190">
        <w:rPr>
          <w:b/>
          <w:bCs/>
          <w:i/>
          <w:color w:val="000000"/>
          <w:sz w:val="24"/>
        </w:rPr>
        <w:t xml:space="preserve"> BI-RADS </w:t>
      </w:r>
      <w:r w:rsidR="007D75FC">
        <w:rPr>
          <w:b/>
          <w:bCs/>
          <w:i/>
          <w:color w:val="000000"/>
          <w:sz w:val="24"/>
        </w:rPr>
        <w:t>2</w:t>
      </w:r>
      <w:r w:rsidR="0096769E" w:rsidRPr="00962190">
        <w:rPr>
          <w:b/>
          <w:bCs/>
          <w:i/>
          <w:color w:val="000000"/>
          <w:sz w:val="24"/>
        </w:rPr>
        <w:t xml:space="preserve"> de l’ACR</w:t>
      </w:r>
      <w:r w:rsidR="007D75FC">
        <w:rPr>
          <w:b/>
          <w:bCs/>
          <w:i/>
          <w:color w:val="000000"/>
          <w:sz w:val="24"/>
        </w:rPr>
        <w:t xml:space="preserve"> de façon bilatérale.</w:t>
      </w:r>
    </w:p>
    <w:p w:rsidR="00962190" w:rsidRPr="00387B70" w:rsidRDefault="00962190" w:rsidP="0096769E">
      <w:pPr>
        <w:tabs>
          <w:tab w:val="left" w:pos="3686"/>
        </w:tabs>
        <w:rPr>
          <w:b/>
          <w:i/>
          <w:iCs/>
          <w:color w:val="000000"/>
          <w:sz w:val="16"/>
          <w:szCs w:val="16"/>
        </w:rPr>
      </w:pPr>
    </w:p>
    <w:p w:rsidR="00EB2A23" w:rsidRPr="00962190" w:rsidRDefault="00EB2A23">
      <w:pPr>
        <w:rPr>
          <w:b/>
          <w:color w:val="000000"/>
          <w:sz w:val="24"/>
        </w:rPr>
      </w:pPr>
    </w:p>
    <w:sectPr w:rsidR="00EB2A23" w:rsidRPr="00962190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678B" w:rsidRDefault="0022678B" w:rsidP="00FF41A6">
      <w:r>
        <w:separator/>
      </w:r>
    </w:p>
  </w:endnote>
  <w:endnote w:type="continuationSeparator" w:id="0">
    <w:p w:rsidR="0022678B" w:rsidRDefault="0022678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543" w:rsidRDefault="003A7543" w:rsidP="00F515B5">
    <w:pPr>
      <w:jc w:val="center"/>
      <w:rPr>
        <w:rFonts w:eastAsia="Calibri"/>
        <w:i/>
        <w:iCs/>
        <w:sz w:val="18"/>
        <w:szCs w:val="18"/>
      </w:rPr>
    </w:pPr>
  </w:p>
  <w:p w:rsidR="003A7543" w:rsidRDefault="003A7543" w:rsidP="00F515B5">
    <w:pPr>
      <w:tabs>
        <w:tab w:val="center" w:pos="4536"/>
        <w:tab w:val="right" w:pos="9072"/>
      </w:tabs>
      <w:jc w:val="center"/>
    </w:pPr>
  </w:p>
  <w:p w:rsidR="003A7543" w:rsidRPr="00F515B5" w:rsidRDefault="003A7543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678B" w:rsidRDefault="0022678B" w:rsidP="00FF41A6">
      <w:r>
        <w:separator/>
      </w:r>
    </w:p>
  </w:footnote>
  <w:footnote w:type="continuationSeparator" w:id="0">
    <w:p w:rsidR="0022678B" w:rsidRDefault="0022678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543" w:rsidRDefault="003A7543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3A7543" w:rsidRPr="00426781" w:rsidRDefault="003A7543" w:rsidP="00FF41A6">
    <w:pPr>
      <w:pStyle w:val="NoSpacing"/>
      <w:jc w:val="center"/>
      <w:rPr>
        <w:rFonts w:ascii="Tw Cen MT" w:hAnsi="Tw Cen MT"/>
      </w:rPr>
    </w:pPr>
  </w:p>
  <w:p w:rsidR="003A7543" w:rsidRDefault="003A7543" w:rsidP="00FF41A6">
    <w:pPr>
      <w:pStyle w:val="NoSpacing"/>
      <w:jc w:val="center"/>
      <w:rPr>
        <w:rFonts w:ascii="Tw Cen MT" w:hAnsi="Tw Cen MT"/>
      </w:rPr>
    </w:pPr>
  </w:p>
  <w:p w:rsidR="003A7543" w:rsidRPr="00D104DB" w:rsidRDefault="003A7543" w:rsidP="00FF41A6">
    <w:pPr>
      <w:pStyle w:val="NoSpacing"/>
      <w:jc w:val="center"/>
      <w:rPr>
        <w:sz w:val="16"/>
        <w:szCs w:val="16"/>
      </w:rPr>
    </w:pPr>
  </w:p>
  <w:p w:rsidR="003A7543" w:rsidRDefault="003A7543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43503"/>
    <w:multiLevelType w:val="hybridMultilevel"/>
    <w:tmpl w:val="052E391E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0C5585"/>
    <w:rsid w:val="00136EEF"/>
    <w:rsid w:val="0022678B"/>
    <w:rsid w:val="00256DCA"/>
    <w:rsid w:val="002608D9"/>
    <w:rsid w:val="00266C96"/>
    <w:rsid w:val="002A17F1"/>
    <w:rsid w:val="002B58CC"/>
    <w:rsid w:val="002F4B86"/>
    <w:rsid w:val="00320AF6"/>
    <w:rsid w:val="00387B70"/>
    <w:rsid w:val="00397A26"/>
    <w:rsid w:val="003A7543"/>
    <w:rsid w:val="003B05B3"/>
    <w:rsid w:val="004038CE"/>
    <w:rsid w:val="00413297"/>
    <w:rsid w:val="004230C8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486C"/>
    <w:rsid w:val="007571A5"/>
    <w:rsid w:val="007D75FC"/>
    <w:rsid w:val="007F2AFE"/>
    <w:rsid w:val="00832E2F"/>
    <w:rsid w:val="008B1520"/>
    <w:rsid w:val="00915587"/>
    <w:rsid w:val="009540E4"/>
    <w:rsid w:val="00962190"/>
    <w:rsid w:val="0096769E"/>
    <w:rsid w:val="00974850"/>
    <w:rsid w:val="00A065C7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CF1346"/>
    <w:rsid w:val="00CF13E7"/>
    <w:rsid w:val="00D159C3"/>
    <w:rsid w:val="00D548F3"/>
    <w:rsid w:val="00DC7E65"/>
    <w:rsid w:val="00DE3E17"/>
    <w:rsid w:val="00DE4BD1"/>
    <w:rsid w:val="00DF0E6C"/>
    <w:rsid w:val="00E25639"/>
    <w:rsid w:val="00E31EF8"/>
    <w:rsid w:val="00EB2A23"/>
    <w:rsid w:val="00EE4ACF"/>
    <w:rsid w:val="00F12E01"/>
    <w:rsid w:val="00F45755"/>
    <w:rsid w:val="00F515B5"/>
    <w:rsid w:val="00F7627E"/>
    <w:rsid w:val="00FB18E1"/>
    <w:rsid w:val="00FB37BF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A1CFCAA-CD91-46C8-8A8B-FDA4B0A5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1615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2023-09-19T19:02:00Z</dcterms:created>
  <dcterms:modified xsi:type="dcterms:W3CDTF">2023-09-19T19:02:00Z</dcterms:modified>
</cp:coreProperties>
</file>