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1105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90FDB" w:rsidRDefault="00A20B58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pat-1052 41 ANS </w:t>
      </w:r>
    </w:p>
    <w:p w:rsidR="00B90FDB" w:rsidRPr="008B1520" w:rsidRDefault="00B90FDB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90FDB" w:rsidRDefault="0021105E" w:rsidP="00B90FD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90FDB">
        <w:rPr>
          <w:b/>
          <w:i/>
          <w:iCs/>
          <w:color w:val="000000"/>
          <w:sz w:val="24"/>
        </w:rPr>
        <w:t>MAMMOGRAPHIE</w:t>
      </w:r>
      <w:r w:rsidR="00B90FDB" w:rsidRPr="00B90FD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B90FDB" w:rsidRDefault="00B90FDB" w:rsidP="008E1FF8">
      <w:pPr>
        <w:rPr>
          <w:b/>
          <w:iCs/>
          <w:color w:val="000000"/>
          <w:sz w:val="28"/>
          <w:u w:val="single"/>
        </w:rPr>
      </w:pPr>
    </w:p>
    <w:p w:rsidR="008E1FF8" w:rsidRPr="00B90FDB" w:rsidRDefault="008E1FF8" w:rsidP="008E1FF8">
      <w:pPr>
        <w:rPr>
          <w:b/>
          <w:color w:val="000000"/>
          <w:sz w:val="24"/>
          <w:szCs w:val="24"/>
        </w:rPr>
      </w:pPr>
      <w:r w:rsidRPr="00B90FDB">
        <w:rPr>
          <w:b/>
          <w:iCs/>
          <w:color w:val="000000"/>
          <w:sz w:val="24"/>
          <w:szCs w:val="24"/>
          <w:u w:val="single"/>
        </w:rPr>
        <w:t>RESULTATS</w:t>
      </w:r>
      <w:r w:rsidRPr="00B90FDB">
        <w:rPr>
          <w:b/>
          <w:i/>
          <w:color w:val="000000"/>
          <w:sz w:val="24"/>
          <w:szCs w:val="24"/>
        </w:rPr>
        <w:t>:</w:t>
      </w:r>
      <w:r w:rsidRPr="00B90FDB">
        <w:rPr>
          <w:b/>
          <w:color w:val="000000"/>
          <w:sz w:val="24"/>
          <w:szCs w:val="24"/>
        </w:rPr>
        <w:t xml:space="preserve"> </w:t>
      </w:r>
    </w:p>
    <w:p w:rsidR="008E1FF8" w:rsidRPr="00B90FDB" w:rsidRDefault="008E1FF8" w:rsidP="008E1FF8">
      <w:pPr>
        <w:rPr>
          <w:b/>
          <w:color w:val="000000"/>
          <w:sz w:val="24"/>
          <w:szCs w:val="24"/>
        </w:rPr>
      </w:pPr>
    </w:p>
    <w:p w:rsidR="008E1FF8" w:rsidRPr="00B90FDB" w:rsidRDefault="008E1FF8" w:rsidP="00B90FDB">
      <w:pPr>
        <w:ind w:firstLine="708"/>
        <w:rPr>
          <w:b/>
          <w:color w:val="000000"/>
          <w:sz w:val="24"/>
          <w:szCs w:val="24"/>
        </w:rPr>
      </w:pPr>
      <w:r w:rsidRPr="00B90FDB">
        <w:rPr>
          <w:bCs/>
          <w:color w:val="000000"/>
          <w:sz w:val="24"/>
          <w:szCs w:val="24"/>
          <w:u w:val="single"/>
        </w:rPr>
        <w:t xml:space="preserve"> </w:t>
      </w:r>
      <w:r w:rsidRPr="00B90FDB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B90FDB" w:rsidRPr="00B90FDB">
        <w:rPr>
          <w:b/>
          <w:bCs/>
          <w:i/>
          <w:color w:val="000000"/>
          <w:sz w:val="24"/>
          <w:szCs w:val="24"/>
          <w:u w:val="single"/>
        </w:rPr>
        <w:t> :</w:t>
      </w:r>
      <w:r w:rsidRPr="00B90FDB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B90FDB" w:rsidRDefault="008E1FF8" w:rsidP="00EB70B8">
      <w:pPr>
        <w:rPr>
          <w:bCs/>
          <w:color w:val="000000"/>
          <w:sz w:val="24"/>
          <w:szCs w:val="24"/>
        </w:rPr>
      </w:pPr>
      <w:r w:rsidRPr="00B90FDB">
        <w:rPr>
          <w:bCs/>
          <w:color w:val="000000"/>
          <w:sz w:val="24"/>
          <w:szCs w:val="24"/>
        </w:rPr>
        <w:t>Seins à trame fibro-graisseuse hétérogène type b de l’ACR.</w:t>
      </w:r>
    </w:p>
    <w:p w:rsidR="00EB70B8" w:rsidRDefault="00EB70B8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Macro-calcification rétro-aréolaire </w:t>
      </w:r>
      <w:r w:rsidR="009B56F9">
        <w:rPr>
          <w:bCs/>
          <w:color w:val="000000"/>
          <w:sz w:val="24"/>
          <w:szCs w:val="24"/>
        </w:rPr>
        <w:t>droite ronde, bénigne.</w:t>
      </w:r>
    </w:p>
    <w:p w:rsidR="008E1FF8" w:rsidRPr="00B90FDB" w:rsidRDefault="005617C7" w:rsidP="005617C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Deux masses mammaires bilatérales des deux QSE, ovalaires, bien limitées, hyperdenses, homogènes, infracentimétriques.</w:t>
      </w:r>
    </w:p>
    <w:p w:rsidR="008E1FF8" w:rsidRPr="00B90FDB" w:rsidRDefault="008E1FF8" w:rsidP="008E1FF8">
      <w:pPr>
        <w:rPr>
          <w:bCs/>
          <w:color w:val="000000"/>
          <w:sz w:val="24"/>
          <w:szCs w:val="24"/>
        </w:rPr>
      </w:pPr>
      <w:r w:rsidRPr="00B90FDB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B90FDB" w:rsidRDefault="008E1FF8" w:rsidP="008E1FF8">
      <w:pPr>
        <w:rPr>
          <w:bCs/>
          <w:color w:val="000000"/>
          <w:sz w:val="24"/>
          <w:szCs w:val="24"/>
        </w:rPr>
      </w:pPr>
      <w:r w:rsidRPr="00B90FDB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B90FDB" w:rsidRDefault="005617C7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Multiples ganglions axillaires bilatéraux.</w:t>
      </w:r>
    </w:p>
    <w:p w:rsidR="008E1FF8" w:rsidRPr="00B90FDB" w:rsidRDefault="008E1FF8" w:rsidP="008E1FF8">
      <w:pPr>
        <w:rPr>
          <w:bCs/>
          <w:color w:val="000000"/>
          <w:sz w:val="24"/>
          <w:szCs w:val="24"/>
        </w:rPr>
      </w:pPr>
    </w:p>
    <w:p w:rsidR="008E1FF8" w:rsidRPr="00B90FDB" w:rsidRDefault="008E1FF8" w:rsidP="00B90FDB">
      <w:pPr>
        <w:ind w:firstLine="708"/>
        <w:rPr>
          <w:bCs/>
          <w:color w:val="000000"/>
          <w:sz w:val="24"/>
          <w:szCs w:val="24"/>
        </w:rPr>
      </w:pPr>
      <w:r w:rsidRPr="00B90FDB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B90FDB" w:rsidRPr="00B90FDB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Default="00C37C95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Seins à trame conjonctivo-glandulaire mixte.</w:t>
      </w:r>
    </w:p>
    <w:p w:rsidR="00C37C95" w:rsidRDefault="00C37C95" w:rsidP="00224ED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Formation kystique du QSE droit (à rayon horaire de 10h) ovalaire, à paroi épaisse régulière, à contenu anéchogène homogène, mesurant </w:t>
      </w:r>
      <w:r w:rsidR="00224ED1">
        <w:rPr>
          <w:bCs/>
          <w:color w:val="000000"/>
          <w:sz w:val="24"/>
          <w:szCs w:val="24"/>
        </w:rPr>
        <w:t>8x6 mm.</w:t>
      </w:r>
    </w:p>
    <w:p w:rsidR="00C37C95" w:rsidRDefault="00C37C95" w:rsidP="001144D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Nodule rétro-aréolaire droit calcifié mesurant </w:t>
      </w:r>
      <w:r w:rsidR="001144D6">
        <w:rPr>
          <w:bCs/>
          <w:color w:val="000000"/>
          <w:sz w:val="24"/>
          <w:szCs w:val="24"/>
        </w:rPr>
        <w:t>6x4 mm.</w:t>
      </w:r>
    </w:p>
    <w:p w:rsidR="00C37C95" w:rsidRPr="00B90FDB" w:rsidRDefault="00C37C95" w:rsidP="00C37C9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simple à gauche, à contenu anéchogène homogène</w:t>
      </w:r>
      <w:r w:rsidR="0021637B">
        <w:rPr>
          <w:bCs/>
          <w:color w:val="000000"/>
          <w:sz w:val="24"/>
          <w:szCs w:val="24"/>
        </w:rPr>
        <w:t>.</w:t>
      </w:r>
    </w:p>
    <w:p w:rsidR="008E1FF8" w:rsidRPr="00B90FDB" w:rsidRDefault="008E1FF8" w:rsidP="008E1FF8">
      <w:pPr>
        <w:rPr>
          <w:bCs/>
          <w:color w:val="000000"/>
          <w:sz w:val="24"/>
          <w:szCs w:val="24"/>
        </w:rPr>
      </w:pPr>
      <w:r w:rsidRPr="00B90FDB">
        <w:rPr>
          <w:bCs/>
          <w:color w:val="000000"/>
          <w:sz w:val="24"/>
          <w:szCs w:val="24"/>
        </w:rPr>
        <w:t>Absence d’ombre acoustique pathologique.</w:t>
      </w:r>
    </w:p>
    <w:p w:rsidR="008E1FF8" w:rsidRPr="00B90FDB" w:rsidRDefault="008E1FF8" w:rsidP="008E1FF8">
      <w:pPr>
        <w:rPr>
          <w:bCs/>
          <w:color w:val="000000"/>
          <w:sz w:val="24"/>
          <w:szCs w:val="24"/>
        </w:rPr>
      </w:pPr>
      <w:r w:rsidRPr="00B90FDB">
        <w:rPr>
          <w:bCs/>
          <w:color w:val="000000"/>
          <w:sz w:val="24"/>
          <w:szCs w:val="24"/>
        </w:rPr>
        <w:t>Revêtement cutané fin et régulier.</w:t>
      </w:r>
    </w:p>
    <w:p w:rsidR="008E1FF8" w:rsidRPr="00B90FDB" w:rsidRDefault="001C7A94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ovalaires, à cortex fin et hile graisseux, infracentimétriques, d’allure réactionnelle inflammatoire.</w:t>
      </w:r>
    </w:p>
    <w:p w:rsidR="008E1FF8" w:rsidRPr="00B90FDB" w:rsidRDefault="008E1FF8" w:rsidP="008E1FF8">
      <w:pPr>
        <w:rPr>
          <w:bCs/>
          <w:color w:val="000000"/>
          <w:sz w:val="24"/>
          <w:szCs w:val="24"/>
        </w:rPr>
      </w:pPr>
    </w:p>
    <w:p w:rsidR="008E1FF8" w:rsidRPr="00B90FDB" w:rsidRDefault="00B90FDB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B90FDB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B90FDB">
        <w:rPr>
          <w:b/>
          <w:bCs/>
          <w:iCs/>
          <w:color w:val="000000"/>
          <w:sz w:val="24"/>
          <w:szCs w:val="24"/>
        </w:rPr>
        <w:t xml:space="preserve"> :</w:t>
      </w:r>
    </w:p>
    <w:p w:rsidR="00635720" w:rsidRDefault="001144D6" w:rsidP="00114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635720">
        <w:rPr>
          <w:b/>
          <w:bCs/>
          <w:i/>
          <w:color w:val="000000"/>
          <w:sz w:val="24"/>
          <w:szCs w:val="24"/>
        </w:rPr>
        <w:t>Kyste mammaire du QSE droit compliqué mesurant</w:t>
      </w:r>
      <w:r>
        <w:rPr>
          <w:b/>
          <w:bCs/>
          <w:i/>
          <w:color w:val="000000"/>
          <w:sz w:val="24"/>
          <w:szCs w:val="24"/>
        </w:rPr>
        <w:t xml:space="preserve"> 8x6 mm</w:t>
      </w:r>
      <w:r w:rsidR="00AB0D88">
        <w:rPr>
          <w:b/>
          <w:bCs/>
          <w:i/>
          <w:color w:val="000000"/>
          <w:sz w:val="24"/>
          <w:szCs w:val="24"/>
        </w:rPr>
        <w:t xml:space="preserve">, classé BI-RADS </w:t>
      </w:r>
      <w:r w:rsidR="000C028B">
        <w:rPr>
          <w:b/>
          <w:bCs/>
          <w:i/>
          <w:color w:val="000000"/>
          <w:sz w:val="24"/>
          <w:szCs w:val="24"/>
        </w:rPr>
        <w:t>3</w:t>
      </w:r>
      <w:r w:rsidR="00AB0D88">
        <w:rPr>
          <w:b/>
          <w:bCs/>
          <w:i/>
          <w:color w:val="000000"/>
          <w:sz w:val="24"/>
          <w:szCs w:val="24"/>
        </w:rPr>
        <w:t xml:space="preserve"> de l'ACR</w:t>
      </w:r>
      <w:r w:rsidR="00635720">
        <w:rPr>
          <w:b/>
          <w:bCs/>
          <w:i/>
          <w:color w:val="000000"/>
          <w:sz w:val="24"/>
          <w:szCs w:val="24"/>
        </w:rPr>
        <w:t> : à cytoponctionner.</w:t>
      </w:r>
    </w:p>
    <w:p w:rsidR="00635720" w:rsidRDefault="001144D6" w:rsidP="00E64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E64440">
        <w:rPr>
          <w:b/>
          <w:bCs/>
          <w:i/>
          <w:color w:val="000000"/>
          <w:sz w:val="24"/>
          <w:szCs w:val="24"/>
        </w:rPr>
        <w:t xml:space="preserve">Ectasie canalaire simple du sein gauche, </w:t>
      </w:r>
      <w:r w:rsidR="00AB0D88">
        <w:rPr>
          <w:b/>
          <w:bCs/>
          <w:i/>
          <w:color w:val="000000"/>
          <w:sz w:val="24"/>
          <w:szCs w:val="24"/>
        </w:rPr>
        <w:t>classé</w:t>
      </w:r>
      <w:r w:rsidR="00E64440">
        <w:rPr>
          <w:b/>
          <w:bCs/>
          <w:i/>
          <w:color w:val="000000"/>
          <w:sz w:val="24"/>
          <w:szCs w:val="24"/>
        </w:rPr>
        <w:t>e</w:t>
      </w:r>
      <w:r w:rsidR="00AB0D88">
        <w:rPr>
          <w:b/>
          <w:bCs/>
          <w:i/>
          <w:color w:val="000000"/>
          <w:sz w:val="24"/>
          <w:szCs w:val="24"/>
        </w:rPr>
        <w:t xml:space="preserve"> BI-RADS 2 de l'ACR </w:t>
      </w:r>
    </w:p>
    <w:p w:rsidR="00EB2A23" w:rsidRPr="00B90FDB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B90FDB" w:rsidRDefault="00B90FDB">
      <w:pPr>
        <w:pStyle w:val="Heading3"/>
        <w:rPr>
          <w:i/>
          <w:iCs/>
          <w:szCs w:val="24"/>
        </w:rPr>
      </w:pPr>
    </w:p>
    <w:p w:rsidR="001144D6" w:rsidRPr="001144D6" w:rsidRDefault="001144D6" w:rsidP="001144D6"/>
    <w:p w:rsidR="00B90FDB" w:rsidRDefault="00B90FDB">
      <w:pPr>
        <w:pStyle w:val="Heading3"/>
        <w:rPr>
          <w:i/>
          <w:iCs/>
          <w:szCs w:val="24"/>
        </w:rPr>
      </w:pPr>
    </w:p>
    <w:p w:rsidR="00320AF6" w:rsidRPr="00B90FDB" w:rsidRDefault="00320AF6">
      <w:pPr>
        <w:rPr>
          <w:sz w:val="24"/>
          <w:szCs w:val="24"/>
        </w:rPr>
      </w:pPr>
    </w:p>
    <w:sectPr w:rsidR="00320AF6" w:rsidRPr="00B90FD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41F" w:rsidRDefault="00C8341F" w:rsidP="00FF41A6">
      <w:r>
        <w:separator/>
      </w:r>
    </w:p>
  </w:endnote>
  <w:endnote w:type="continuationSeparator" w:id="0">
    <w:p w:rsidR="00C8341F" w:rsidRDefault="00C8341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D88" w:rsidRDefault="00AB0D88" w:rsidP="00F515B5">
    <w:pPr>
      <w:jc w:val="center"/>
      <w:rPr>
        <w:rFonts w:eastAsia="Calibri"/>
        <w:i/>
        <w:iCs/>
        <w:sz w:val="18"/>
        <w:szCs w:val="18"/>
      </w:rPr>
    </w:pPr>
  </w:p>
  <w:p w:rsidR="00AB0D88" w:rsidRDefault="00AB0D88" w:rsidP="00F515B5">
    <w:pPr>
      <w:tabs>
        <w:tab w:val="center" w:pos="4536"/>
        <w:tab w:val="right" w:pos="9072"/>
      </w:tabs>
      <w:jc w:val="center"/>
    </w:pPr>
  </w:p>
  <w:p w:rsidR="00AB0D88" w:rsidRPr="00F515B5" w:rsidRDefault="00AB0D8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41F" w:rsidRDefault="00C8341F" w:rsidP="00FF41A6">
      <w:r>
        <w:separator/>
      </w:r>
    </w:p>
  </w:footnote>
  <w:footnote w:type="continuationSeparator" w:id="0">
    <w:p w:rsidR="00C8341F" w:rsidRDefault="00C8341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D88" w:rsidRDefault="00AB0D8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B0D88" w:rsidRPr="00426781" w:rsidRDefault="00AB0D88" w:rsidP="00FF41A6">
    <w:pPr>
      <w:pStyle w:val="NoSpacing"/>
      <w:jc w:val="center"/>
      <w:rPr>
        <w:rFonts w:ascii="Tw Cen MT" w:hAnsi="Tw Cen MT"/>
      </w:rPr>
    </w:pPr>
  </w:p>
  <w:p w:rsidR="00AB0D88" w:rsidRDefault="00AB0D88" w:rsidP="00FF41A6">
    <w:pPr>
      <w:pStyle w:val="NoSpacing"/>
      <w:jc w:val="center"/>
      <w:rPr>
        <w:rFonts w:ascii="Tw Cen MT" w:hAnsi="Tw Cen MT"/>
      </w:rPr>
    </w:pPr>
  </w:p>
  <w:p w:rsidR="00AB0D88" w:rsidRPr="00D104DB" w:rsidRDefault="00AB0D88" w:rsidP="00FF41A6">
    <w:pPr>
      <w:pStyle w:val="NoSpacing"/>
      <w:jc w:val="center"/>
      <w:rPr>
        <w:sz w:val="16"/>
        <w:szCs w:val="16"/>
      </w:rPr>
    </w:pPr>
  </w:p>
  <w:p w:rsidR="00AB0D88" w:rsidRDefault="00AB0D8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C028B"/>
    <w:rsid w:val="001144D6"/>
    <w:rsid w:val="00136AA7"/>
    <w:rsid w:val="00136EEF"/>
    <w:rsid w:val="001C7A94"/>
    <w:rsid w:val="0021105E"/>
    <w:rsid w:val="0021637B"/>
    <w:rsid w:val="00224ED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53B1"/>
    <w:rsid w:val="005018C7"/>
    <w:rsid w:val="0055089C"/>
    <w:rsid w:val="005617C7"/>
    <w:rsid w:val="00635720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9B56F9"/>
    <w:rsid w:val="00A0458F"/>
    <w:rsid w:val="00A11F2B"/>
    <w:rsid w:val="00A20B58"/>
    <w:rsid w:val="00A76F00"/>
    <w:rsid w:val="00AB0D88"/>
    <w:rsid w:val="00AB3DCA"/>
    <w:rsid w:val="00AF6EEF"/>
    <w:rsid w:val="00B00E2E"/>
    <w:rsid w:val="00B511D7"/>
    <w:rsid w:val="00B625CF"/>
    <w:rsid w:val="00B75A57"/>
    <w:rsid w:val="00B90949"/>
    <w:rsid w:val="00B90FDB"/>
    <w:rsid w:val="00BB7310"/>
    <w:rsid w:val="00BC18CE"/>
    <w:rsid w:val="00BE1C55"/>
    <w:rsid w:val="00C37C95"/>
    <w:rsid w:val="00C7676D"/>
    <w:rsid w:val="00C8341F"/>
    <w:rsid w:val="00CD057F"/>
    <w:rsid w:val="00CE4EF9"/>
    <w:rsid w:val="00D159C3"/>
    <w:rsid w:val="00DC7E65"/>
    <w:rsid w:val="00DE3E17"/>
    <w:rsid w:val="00DF4E97"/>
    <w:rsid w:val="00E25639"/>
    <w:rsid w:val="00E31EF8"/>
    <w:rsid w:val="00E64440"/>
    <w:rsid w:val="00EB2A23"/>
    <w:rsid w:val="00EB70B8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6293C-B41E-46F5-84D2-E4BBB99C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