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F5609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juillet 2023</w:t>
      </w:r>
    </w:p>
    <w:p w:rsidR="00BC18CE" w:rsidRDefault="00EB2A23" w:rsidP="00CE1D55">
      <w:pPr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8297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pat-107 41 ANS </w:t>
      </w:r>
    </w:p>
    <w:p w:rsidR="00EB2A23" w:rsidRDefault="00F5609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CE1D55" w:rsidRPr="00CE1D55" w:rsidRDefault="00CE1D55">
      <w:pPr>
        <w:rPr>
          <w:b/>
          <w:iCs/>
          <w:color w:val="000000"/>
          <w:sz w:val="28"/>
          <w:u w:val="single"/>
        </w:rPr>
      </w:pPr>
      <w:r w:rsidRPr="00CE1D55">
        <w:rPr>
          <w:b/>
          <w:iCs/>
          <w:color w:val="000000"/>
          <w:sz w:val="28"/>
          <w:u w:val="single"/>
        </w:rPr>
        <w:t>Indication :</w:t>
      </w:r>
    </w:p>
    <w:p w:rsidR="00CE1D55" w:rsidRPr="00CE1D55" w:rsidRDefault="00CE1D55">
      <w:pPr>
        <w:rPr>
          <w:b/>
          <w:iCs/>
          <w:color w:val="000000"/>
          <w:sz w:val="28"/>
          <w:u w:val="single"/>
        </w:rPr>
      </w:pPr>
    </w:p>
    <w:p w:rsidR="00EB2A23" w:rsidRPr="00CE1D55" w:rsidRDefault="00CE1D55">
      <w:pPr>
        <w:rPr>
          <w:bCs/>
          <w:color w:val="000000"/>
          <w:sz w:val="24"/>
        </w:rPr>
      </w:pPr>
      <w:r w:rsidRPr="00CE1D55">
        <w:rPr>
          <w:bCs/>
          <w:color w:val="000000"/>
          <w:sz w:val="24"/>
        </w:rPr>
        <w:t>Bilan d’un sein droit inflammatoire</w:t>
      </w:r>
      <w:r>
        <w:rPr>
          <w:bCs/>
          <w:color w:val="000000"/>
          <w:sz w:val="24"/>
        </w:rPr>
        <w:t xml:space="preserve"> évoluant dans un contexte fibrille depuis une semaine</w:t>
      </w:r>
      <w:r w:rsidRPr="00CE1D55">
        <w:rPr>
          <w:bCs/>
          <w:color w:val="000000"/>
          <w:sz w:val="24"/>
        </w:rPr>
        <w:t>.</w:t>
      </w:r>
    </w:p>
    <w:p w:rsidR="00CE1D55" w:rsidRDefault="00CE1D55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CE1D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CE1D55">
        <w:rPr>
          <w:bCs/>
          <w:color w:val="000000"/>
          <w:sz w:val="24"/>
        </w:rPr>
        <w:t>denses hétérogènes type c de l’</w:t>
      </w:r>
      <w:r>
        <w:rPr>
          <w:bCs/>
          <w:color w:val="000000"/>
          <w:sz w:val="24"/>
        </w:rPr>
        <w:t>ACR.</w:t>
      </w:r>
    </w:p>
    <w:p w:rsidR="00CE1D55" w:rsidRDefault="00CE1D55" w:rsidP="00216B3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Surdensité rétro aréolaire du sein droit, dense sans micro calcification associée.</w:t>
      </w:r>
    </w:p>
    <w:p w:rsidR="00CE1D55" w:rsidRDefault="00CE1D55" w:rsidP="00CE1D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diffus du revêtement cutané et de la PAM droite.</w:t>
      </w:r>
    </w:p>
    <w:p w:rsidR="00CE1D55" w:rsidRDefault="00CE1D55" w:rsidP="00CE1D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mammaire gauche.</w:t>
      </w:r>
    </w:p>
    <w:p w:rsidR="00CE1D55" w:rsidRDefault="00CE1D55" w:rsidP="00CE1D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 calcification péjorative.</w:t>
      </w:r>
    </w:p>
    <w:p w:rsidR="006555EB" w:rsidRDefault="006555EB" w:rsidP="00CE1D5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 gauche et  axillaire droite insuffisamment explorée.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551576" w:rsidRDefault="00551576" w:rsidP="00216B3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Volumineuse</w:t>
      </w:r>
      <w:r w:rsidR="00216B38">
        <w:rPr>
          <w:bCs/>
          <w:color w:val="000000"/>
          <w:sz w:val="24"/>
        </w:rPr>
        <w:t> lésion</w:t>
      </w:r>
      <w:r>
        <w:rPr>
          <w:bCs/>
          <w:color w:val="000000"/>
          <w:sz w:val="24"/>
        </w:rPr>
        <w:t xml:space="preserve"> collectée rétro aréolaire  du sein  droit, à contours irréguliers, d’échostructure hypoéchogène, hétérogène, sans caractère atténuant, mesurée 47x26 mm de grands axes.</w:t>
      </w:r>
    </w:p>
    <w:p w:rsidR="00991F2D" w:rsidRDefault="00991F2D" w:rsidP="00991F2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Infiltration hyperéchogène de la graisse sous cutanée et  épaississement diffus du revêtement cutané  et de la PAM droite.</w:t>
      </w:r>
    </w:p>
    <w:p w:rsidR="00551576" w:rsidRDefault="00BE26A3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Lésion micro kystique simple du QSI droit, mesurée 6 mm.</w:t>
      </w:r>
    </w:p>
    <w:p w:rsidR="00216B38" w:rsidRDefault="00216B38" w:rsidP="00216B3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et de la PAM droit.</w:t>
      </w:r>
    </w:p>
    <w:p w:rsidR="00BE26A3" w:rsidRDefault="00B32AB7" w:rsidP="00BE26A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BE26A3">
        <w:rPr>
          <w:bCs/>
          <w:color w:val="000000"/>
          <w:sz w:val="24"/>
        </w:rPr>
        <w:t xml:space="preserve">syndrome </w:t>
      </w:r>
      <w:r>
        <w:rPr>
          <w:bCs/>
          <w:color w:val="000000"/>
          <w:sz w:val="24"/>
        </w:rPr>
        <w:t xml:space="preserve">masse </w:t>
      </w:r>
      <w:r w:rsidR="00BE26A3">
        <w:rPr>
          <w:bCs/>
          <w:color w:val="000000"/>
          <w:sz w:val="24"/>
        </w:rPr>
        <w:t>mammaire gauche.</w:t>
      </w:r>
    </w:p>
    <w:p w:rsidR="00BE26A3" w:rsidRDefault="00BE26A3" w:rsidP="00BE26A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 gauche.</w:t>
      </w:r>
    </w:p>
    <w:p w:rsidR="00A3364A" w:rsidRDefault="00A3364A" w:rsidP="00BE26A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droites de morphologie conservée, à centre graisseux et cortex hypoéchogène développé dont la plus volumineuse mesure 24x8 mm.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991F2D" w:rsidRDefault="00B32AB7" w:rsidP="00216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45758">
        <w:rPr>
          <w:b/>
          <w:bCs/>
          <w:i/>
          <w:color w:val="000000"/>
          <w:sz w:val="24"/>
        </w:rPr>
        <w:t xml:space="preserve">en faveur d’une mastite droite </w:t>
      </w:r>
      <w:r w:rsidR="00216B38">
        <w:rPr>
          <w:b/>
          <w:bCs/>
          <w:i/>
          <w:color w:val="000000"/>
          <w:sz w:val="24"/>
        </w:rPr>
        <w:t xml:space="preserve">aigue </w:t>
      </w:r>
      <w:r w:rsidR="00C45758">
        <w:rPr>
          <w:b/>
          <w:bCs/>
          <w:i/>
          <w:color w:val="000000"/>
          <w:sz w:val="24"/>
        </w:rPr>
        <w:t>avec volumine</w:t>
      </w:r>
      <w:r w:rsidR="00216B38">
        <w:rPr>
          <w:b/>
          <w:bCs/>
          <w:i/>
          <w:color w:val="000000"/>
          <w:sz w:val="24"/>
        </w:rPr>
        <w:t xml:space="preserve">use collection rétro aréolaire, </w:t>
      </w:r>
      <w:r w:rsidR="00C45758">
        <w:rPr>
          <w:b/>
          <w:bCs/>
          <w:i/>
          <w:color w:val="000000"/>
          <w:sz w:val="24"/>
        </w:rPr>
        <w:t xml:space="preserve">nécessitant un contrôle après traitement adéquat et  une vérification histologique par microbiopsie </w:t>
      </w:r>
      <w:r w:rsidR="00991F2D">
        <w:rPr>
          <w:b/>
          <w:bCs/>
          <w:i/>
          <w:color w:val="000000"/>
          <w:sz w:val="24"/>
        </w:rPr>
        <w:t>échoguidée afin d’éliminer une lésion sous jacente.</w:t>
      </w:r>
    </w:p>
    <w:p w:rsidR="00B32AB7" w:rsidRDefault="00B32AB7" w:rsidP="00991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991F2D">
        <w:rPr>
          <w:b/>
          <w:bCs/>
          <w:i/>
          <w:color w:val="000000"/>
          <w:sz w:val="24"/>
        </w:rPr>
        <w:t>4</w:t>
      </w:r>
      <w:r>
        <w:rPr>
          <w:b/>
          <w:bCs/>
          <w:i/>
          <w:color w:val="000000"/>
          <w:sz w:val="24"/>
        </w:rPr>
        <w:t xml:space="preserve"> de l’ACR</w:t>
      </w:r>
      <w:r w:rsidR="00991F2D">
        <w:rPr>
          <w:b/>
          <w:bCs/>
          <w:i/>
          <w:color w:val="000000"/>
          <w:sz w:val="24"/>
        </w:rPr>
        <w:t xml:space="preserve"> à droite  et BI-RADS 1 de l'ACR  à gauche.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FC9" w:rsidRDefault="00644FC9" w:rsidP="00FF41A6">
      <w:r>
        <w:separator/>
      </w:r>
    </w:p>
  </w:endnote>
  <w:endnote w:type="continuationSeparator" w:id="0">
    <w:p w:rsidR="00644FC9" w:rsidRDefault="00644FC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58" w:rsidRDefault="00C45758" w:rsidP="00F515B5">
    <w:pPr>
      <w:jc w:val="center"/>
      <w:rPr>
        <w:rFonts w:eastAsia="Calibri"/>
        <w:i/>
        <w:iCs/>
        <w:sz w:val="18"/>
        <w:szCs w:val="18"/>
      </w:rPr>
    </w:pPr>
  </w:p>
  <w:p w:rsidR="00C45758" w:rsidRDefault="00C45758" w:rsidP="00F515B5">
    <w:pPr>
      <w:tabs>
        <w:tab w:val="center" w:pos="4536"/>
        <w:tab w:val="right" w:pos="9072"/>
      </w:tabs>
      <w:jc w:val="center"/>
    </w:pPr>
  </w:p>
  <w:p w:rsidR="00C45758" w:rsidRPr="00F515B5" w:rsidRDefault="00C4575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FC9" w:rsidRDefault="00644FC9" w:rsidP="00FF41A6">
      <w:r>
        <w:separator/>
      </w:r>
    </w:p>
  </w:footnote>
  <w:footnote w:type="continuationSeparator" w:id="0">
    <w:p w:rsidR="00644FC9" w:rsidRDefault="00644FC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5758" w:rsidRDefault="00C4575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45758" w:rsidRPr="00426781" w:rsidRDefault="00C45758" w:rsidP="00FF41A6">
    <w:pPr>
      <w:pStyle w:val="NoSpacing"/>
      <w:jc w:val="center"/>
      <w:rPr>
        <w:rFonts w:ascii="Tw Cen MT" w:hAnsi="Tw Cen MT"/>
      </w:rPr>
    </w:pPr>
  </w:p>
  <w:p w:rsidR="00C45758" w:rsidRDefault="00C45758" w:rsidP="00FF41A6">
    <w:pPr>
      <w:pStyle w:val="NoSpacing"/>
      <w:jc w:val="center"/>
      <w:rPr>
        <w:rFonts w:ascii="Tw Cen MT" w:hAnsi="Tw Cen MT"/>
      </w:rPr>
    </w:pPr>
  </w:p>
  <w:p w:rsidR="00C45758" w:rsidRPr="00D104DB" w:rsidRDefault="00C45758" w:rsidP="00FF41A6">
    <w:pPr>
      <w:pStyle w:val="NoSpacing"/>
      <w:jc w:val="center"/>
      <w:rPr>
        <w:sz w:val="16"/>
        <w:szCs w:val="16"/>
      </w:rPr>
    </w:pPr>
  </w:p>
  <w:p w:rsidR="00C45758" w:rsidRDefault="00C4575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16B38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276E"/>
    <w:rsid w:val="00483B47"/>
    <w:rsid w:val="00487E9D"/>
    <w:rsid w:val="004D0520"/>
    <w:rsid w:val="004E0DFB"/>
    <w:rsid w:val="004E1488"/>
    <w:rsid w:val="005018C7"/>
    <w:rsid w:val="0055089C"/>
    <w:rsid w:val="00551576"/>
    <w:rsid w:val="00644FC9"/>
    <w:rsid w:val="006555EB"/>
    <w:rsid w:val="0068297F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991F2D"/>
    <w:rsid w:val="00A11F2B"/>
    <w:rsid w:val="00A3364A"/>
    <w:rsid w:val="00A76F00"/>
    <w:rsid w:val="00AB3DCA"/>
    <w:rsid w:val="00AF02BB"/>
    <w:rsid w:val="00AF6EEF"/>
    <w:rsid w:val="00B00E2E"/>
    <w:rsid w:val="00B32AB7"/>
    <w:rsid w:val="00B511D7"/>
    <w:rsid w:val="00B625CF"/>
    <w:rsid w:val="00B75A57"/>
    <w:rsid w:val="00BA0CE4"/>
    <w:rsid w:val="00BB7310"/>
    <w:rsid w:val="00BC18CE"/>
    <w:rsid w:val="00BE1C55"/>
    <w:rsid w:val="00BE26A3"/>
    <w:rsid w:val="00C45758"/>
    <w:rsid w:val="00C7676D"/>
    <w:rsid w:val="00C821F0"/>
    <w:rsid w:val="00CD057F"/>
    <w:rsid w:val="00CE1D55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56092"/>
    <w:rsid w:val="00F7627E"/>
    <w:rsid w:val="00FB18E1"/>
    <w:rsid w:val="00FE712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6A0F30-6850-4F22-91A9-C57C791F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16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2023-07-23T14:38:00Z</cp:lastPrinted>
  <dcterms:created xsi:type="dcterms:W3CDTF">2023-09-18T22:06:00Z</dcterms:created>
  <dcterms:modified xsi:type="dcterms:W3CDTF">2023-09-18T22:06:00Z</dcterms:modified>
</cp:coreProperties>
</file>