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B4DA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27 mars 2023</w:t>
      </w:r>
    </w:p>
    <w:p w:rsidR="00260B3B" w:rsidRDefault="00260B3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84B2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pat-1093 74 ANS </w:t>
      </w:r>
    </w:p>
    <w:p w:rsidR="00EB2A23" w:rsidRDefault="00EB2A23">
      <w:pPr>
        <w:rPr>
          <w:b/>
          <w:color w:val="000000"/>
          <w:sz w:val="24"/>
        </w:rPr>
      </w:pPr>
    </w:p>
    <w:p w:rsidR="00260B3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260B3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B4DA4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3453C9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3453C9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3453C9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en rail bilatérales d’origine athéromateuse.</w:t>
      </w:r>
    </w:p>
    <w:p w:rsidR="003453C9" w:rsidRDefault="003453C9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rondes éparses et calcifications punctiformes bilatérales plus nombreuses à droite.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3453C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</w:p>
    <w:p w:rsidR="003453C9" w:rsidRDefault="003453C9" w:rsidP="000A24F3">
      <w:pPr>
        <w:ind w:firstLine="708"/>
        <w:rPr>
          <w:b/>
          <w:bCs/>
          <w:i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3453C9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simple bilatérale mesurée 2.5mm de diamètre à droite et 05mm de diamètre maximal à gauche.</w:t>
      </w: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3453C9">
        <w:rPr>
          <w:bCs/>
          <w:color w:val="000000"/>
          <w:sz w:val="24"/>
        </w:rPr>
        <w:t>axillaires fusiformes</w:t>
      </w:r>
      <w:r>
        <w:rPr>
          <w:bCs/>
          <w:color w:val="000000"/>
          <w:sz w:val="24"/>
        </w:rPr>
        <w:t xml:space="preserve">, </w:t>
      </w:r>
      <w:r w:rsidR="003453C9">
        <w:rPr>
          <w:bCs/>
          <w:color w:val="000000"/>
          <w:sz w:val="24"/>
        </w:rPr>
        <w:t xml:space="preserve">à centre graisseux et cortex hypoéchogène régulier, d'allure inflammatoire. </w:t>
      </w:r>
    </w:p>
    <w:p w:rsidR="003453C9" w:rsidRDefault="003453C9" w:rsidP="003453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Petite lésion cutanée au niveau médio-interne du sein droit centimétrique, sans atteinte sous-cutanée intra-mammaire sous jacente. </w:t>
      </w:r>
    </w:p>
    <w:p w:rsidR="003453C9" w:rsidRDefault="003453C9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67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453C9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</w:t>
      </w:r>
      <w:r w:rsidR="003453C9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3453C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3453C9">
        <w:rPr>
          <w:b/>
          <w:bCs/>
          <w:i/>
          <w:color w:val="000000"/>
          <w:sz w:val="24"/>
        </w:rPr>
        <w:t xml:space="preserve"> </w:t>
      </w:r>
      <w:r w:rsidR="00673E83">
        <w:rPr>
          <w:b/>
          <w:bCs/>
          <w:i/>
          <w:color w:val="000000"/>
          <w:sz w:val="24"/>
        </w:rPr>
        <w:t>à droite comme à gauche p</w:t>
      </w:r>
      <w:r w:rsidR="003453C9">
        <w:rPr>
          <w:b/>
          <w:bCs/>
          <w:i/>
          <w:color w:val="000000"/>
          <w:sz w:val="24"/>
        </w:rPr>
        <w:t>ar la présence d’une ectasie canalaire rétro-aréolaire simple bilatérale et de calcifications vasculaires bénigne</w:t>
      </w:r>
      <w:r w:rsidR="00673E83">
        <w:rPr>
          <w:b/>
          <w:bCs/>
          <w:i/>
          <w:color w:val="000000"/>
          <w:sz w:val="24"/>
        </w:rPr>
        <w:t>s</w:t>
      </w:r>
      <w:r w:rsidR="003453C9">
        <w:rPr>
          <w:b/>
          <w:bCs/>
          <w:i/>
          <w:color w:val="000000"/>
          <w:sz w:val="24"/>
        </w:rPr>
        <w:t xml:space="preserve"> d’origine athéromateuse</w:t>
      </w:r>
      <w:r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453C9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</w:t>
      </w:r>
    </w:p>
    <w:sectPr w:rsidR="003453C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6A" w:rsidRDefault="00EF566A" w:rsidP="00FF41A6">
      <w:r>
        <w:separator/>
      </w:r>
    </w:p>
  </w:endnote>
  <w:endnote w:type="continuationSeparator" w:id="0">
    <w:p w:rsidR="00EF566A" w:rsidRDefault="00EF566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6A" w:rsidRDefault="00EF566A" w:rsidP="00FF41A6">
      <w:r>
        <w:separator/>
      </w:r>
    </w:p>
  </w:footnote>
  <w:footnote w:type="continuationSeparator" w:id="0">
    <w:p w:rsidR="00EF566A" w:rsidRDefault="00EF566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84B26"/>
    <w:rsid w:val="00260B3B"/>
    <w:rsid w:val="00266C96"/>
    <w:rsid w:val="00291FF6"/>
    <w:rsid w:val="002B58CC"/>
    <w:rsid w:val="00320AF6"/>
    <w:rsid w:val="003453C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B4DA4"/>
    <w:rsid w:val="00673E83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09CF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EF566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EAE6DA-8CFF-4584-99D5-B4EFAC5C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73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3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2023-03-27T12:06:00Z</cp:lastPrinted>
  <dcterms:created xsi:type="dcterms:W3CDTF">2023-09-19T19:07:00Z</dcterms:created>
  <dcterms:modified xsi:type="dcterms:W3CDTF">2023-09-19T19:07:00Z</dcterms:modified>
</cp:coreProperties>
</file>