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B425C0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6072C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14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3F06D4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pat-1133 35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6072C4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Default="00EE4ACF">
      <w:pPr>
        <w:rPr>
          <w:b/>
          <w:color w:val="000000"/>
          <w:sz w:val="24"/>
        </w:rPr>
      </w:pPr>
    </w:p>
    <w:p w:rsidR="00D82CE2" w:rsidRDefault="00B00E2E" w:rsidP="00D82CE2">
      <w:pPr>
        <w:rPr>
          <w:b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D82CE2">
        <w:rPr>
          <w:b/>
          <w:iCs/>
          <w:color w:val="000000"/>
          <w:sz w:val="28"/>
          <w:u w:val="single"/>
        </w:rPr>
        <w:t>RESULTATS</w:t>
      </w:r>
      <w:r w:rsidR="00D82CE2">
        <w:rPr>
          <w:b/>
          <w:i/>
          <w:color w:val="000000"/>
          <w:sz w:val="24"/>
        </w:rPr>
        <w:t>:</w:t>
      </w:r>
      <w:r w:rsidR="00D82CE2">
        <w:rPr>
          <w:b/>
          <w:color w:val="000000"/>
          <w:sz w:val="24"/>
        </w:rPr>
        <w:t xml:space="preserve">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2C1C2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fibro-glandulaire </w:t>
      </w:r>
      <w:r w:rsidR="002C1C24">
        <w:rPr>
          <w:bCs/>
          <w:color w:val="000000"/>
          <w:sz w:val="24"/>
        </w:rPr>
        <w:t xml:space="preserve">hétérogène </w:t>
      </w:r>
      <w:r>
        <w:rPr>
          <w:bCs/>
          <w:color w:val="000000"/>
          <w:sz w:val="24"/>
        </w:rPr>
        <w:t>t</w:t>
      </w:r>
      <w:r w:rsidR="002C1C24">
        <w:rPr>
          <w:bCs/>
          <w:color w:val="000000"/>
          <w:sz w:val="24"/>
        </w:rPr>
        <w:t>ype c</w:t>
      </w:r>
      <w:r>
        <w:rPr>
          <w:bCs/>
          <w:color w:val="000000"/>
          <w:sz w:val="24"/>
        </w:rPr>
        <w:t xml:space="preserve"> de l’ACR.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2C1C24" w:rsidRDefault="002C1C24" w:rsidP="0062378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d’une opacité de densité hydrique bilobée, si</w:t>
      </w:r>
      <w:r w:rsidR="00623789">
        <w:rPr>
          <w:bCs/>
          <w:color w:val="000000"/>
          <w:sz w:val="24"/>
        </w:rPr>
        <w:t>égeant au niveau du QIE gauche</w:t>
      </w:r>
      <w:r>
        <w:rPr>
          <w:bCs/>
          <w:color w:val="000000"/>
          <w:sz w:val="24"/>
        </w:rPr>
        <w:t>, aux contours finement polylobés</w:t>
      </w:r>
      <w:r w:rsidR="00623789">
        <w:rPr>
          <w:bCs/>
          <w:color w:val="000000"/>
          <w:sz w:val="24"/>
        </w:rPr>
        <w:t xml:space="preserve">, de taille juxta centimétrique sans visualisation </w:t>
      </w:r>
      <w:r>
        <w:rPr>
          <w:bCs/>
          <w:color w:val="000000"/>
          <w:sz w:val="24"/>
        </w:rPr>
        <w:t>de microcalcifications en son sein et signes de distorsion architecturale en regard.</w:t>
      </w:r>
    </w:p>
    <w:p w:rsidR="002C1C24" w:rsidRDefault="002C1C24" w:rsidP="002C1C24">
      <w:pPr>
        <w:rPr>
          <w:bCs/>
          <w:color w:val="000000"/>
          <w:sz w:val="24"/>
        </w:rPr>
      </w:pPr>
    </w:p>
    <w:p w:rsidR="002C1C24" w:rsidRDefault="002C1C24" w:rsidP="002C1C2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D82CE2" w:rsidRDefault="00D82CE2" w:rsidP="002C1C24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2C1C24" w:rsidRDefault="002C1C24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2C1C24" w:rsidP="0062378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L’opacité sus décrite correspond à une formation nodulaire, hypoéchogène, bilobée, siégeant au niveau du QIE gauche (à 04 heures), à contours finement polylobés, hypoéchogène, homogène, sans atténuation postérieure du faisceau ultra sonore, mesurant</w:t>
      </w:r>
      <w:r w:rsidR="00623789">
        <w:rPr>
          <w:bCs/>
          <w:color w:val="000000"/>
          <w:sz w:val="24"/>
        </w:rPr>
        <w:t>15 x 08 mm.</w:t>
      </w:r>
    </w:p>
    <w:p w:rsidR="002C1C24" w:rsidRDefault="002C1C24" w:rsidP="002C1C24">
      <w:pPr>
        <w:rPr>
          <w:bCs/>
          <w:color w:val="000000"/>
          <w:sz w:val="24"/>
        </w:rPr>
      </w:pPr>
    </w:p>
    <w:p w:rsidR="00180681" w:rsidRDefault="00180681" w:rsidP="002C1C2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On signalera la présence d’un important artéfact de bord de part et d’autre.</w:t>
      </w:r>
    </w:p>
    <w:p w:rsidR="00180681" w:rsidRDefault="00180681" w:rsidP="002C1C24">
      <w:pPr>
        <w:rPr>
          <w:bCs/>
          <w:color w:val="000000"/>
          <w:sz w:val="24"/>
        </w:rPr>
      </w:pPr>
    </w:p>
    <w:p w:rsidR="002C1C24" w:rsidRDefault="00180681" w:rsidP="002C1C2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lésion solide ou kystique au niveau du sein droit.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180681" w:rsidRDefault="00180681" w:rsidP="00D82CE2">
      <w:pPr>
        <w:rPr>
          <w:bCs/>
          <w:color w:val="000000"/>
          <w:sz w:val="24"/>
        </w:rPr>
      </w:pPr>
    </w:p>
    <w:p w:rsidR="00180681" w:rsidRDefault="00180681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Intégrité du revêtement cutané.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180681" w:rsidP="0018068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millimétriques axillaires bilatéraux.</w:t>
      </w:r>
    </w:p>
    <w:p w:rsidR="00180681" w:rsidRDefault="00180681" w:rsidP="00180681">
      <w:pPr>
        <w:rPr>
          <w:bCs/>
          <w:color w:val="000000"/>
          <w:sz w:val="24"/>
        </w:rPr>
      </w:pPr>
    </w:p>
    <w:p w:rsidR="00D82CE2" w:rsidRDefault="00D82CE2" w:rsidP="00D8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B425C0" w:rsidRDefault="00B425C0" w:rsidP="00623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Formation nodulaire du sein gauche, hypoéchogène, classant l’examen BI-RADS 4b de l'ACR : justifiant une </w:t>
      </w:r>
      <w:r w:rsidR="00623789">
        <w:rPr>
          <w:b/>
          <w:bCs/>
          <w:i/>
          <w:color w:val="000000"/>
          <w:sz w:val="24"/>
        </w:rPr>
        <w:t>micro-</w:t>
      </w:r>
      <w:r>
        <w:rPr>
          <w:b/>
          <w:bCs/>
          <w:i/>
          <w:color w:val="000000"/>
          <w:sz w:val="24"/>
        </w:rPr>
        <w:t xml:space="preserve">biopsie </w:t>
      </w:r>
      <w:r w:rsidR="00623789">
        <w:rPr>
          <w:b/>
          <w:bCs/>
          <w:i/>
          <w:color w:val="000000"/>
          <w:sz w:val="24"/>
        </w:rPr>
        <w:t xml:space="preserve">pour </w:t>
      </w:r>
      <w:r>
        <w:rPr>
          <w:b/>
          <w:bCs/>
          <w:i/>
          <w:color w:val="000000"/>
          <w:sz w:val="24"/>
        </w:rPr>
        <w:t>preuve histologique.</w:t>
      </w:r>
    </w:p>
    <w:p w:rsidR="00D82CE2" w:rsidRDefault="00B425C0" w:rsidP="00B42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Sein droit</w:t>
      </w:r>
      <w:r w:rsidR="00D82CE2">
        <w:rPr>
          <w:b/>
          <w:bCs/>
          <w:i/>
          <w:color w:val="000000"/>
          <w:sz w:val="24"/>
        </w:rPr>
        <w:t xml:space="preserve"> classé BI-RADS 1 de l’ACR.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C8A" w:rsidRDefault="00856C8A" w:rsidP="00FF41A6">
      <w:r>
        <w:separator/>
      </w:r>
    </w:p>
  </w:endnote>
  <w:endnote w:type="continuationSeparator" w:id="0">
    <w:p w:rsidR="00856C8A" w:rsidRDefault="00856C8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C8A" w:rsidRDefault="00856C8A" w:rsidP="00FF41A6">
      <w:r>
        <w:separator/>
      </w:r>
    </w:p>
  </w:footnote>
  <w:footnote w:type="continuationSeparator" w:id="0">
    <w:p w:rsidR="00856C8A" w:rsidRDefault="00856C8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2CE2"/>
    <w:rsid w:val="00013B16"/>
    <w:rsid w:val="00031238"/>
    <w:rsid w:val="00094E5E"/>
    <w:rsid w:val="000A78EE"/>
    <w:rsid w:val="000B7A8F"/>
    <w:rsid w:val="00136EEF"/>
    <w:rsid w:val="00164954"/>
    <w:rsid w:val="00180681"/>
    <w:rsid w:val="00266C96"/>
    <w:rsid w:val="00291FF6"/>
    <w:rsid w:val="002B58CC"/>
    <w:rsid w:val="002C1C24"/>
    <w:rsid w:val="002D492F"/>
    <w:rsid w:val="00320AF6"/>
    <w:rsid w:val="0038353D"/>
    <w:rsid w:val="00397A26"/>
    <w:rsid w:val="003F06D4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072C4"/>
    <w:rsid w:val="00623789"/>
    <w:rsid w:val="006925A3"/>
    <w:rsid w:val="006A5983"/>
    <w:rsid w:val="006E396B"/>
    <w:rsid w:val="007571A5"/>
    <w:rsid w:val="007F2AFE"/>
    <w:rsid w:val="00856C8A"/>
    <w:rsid w:val="008B1520"/>
    <w:rsid w:val="00915587"/>
    <w:rsid w:val="00991837"/>
    <w:rsid w:val="00A11F2B"/>
    <w:rsid w:val="00A76F00"/>
    <w:rsid w:val="00AB3DCA"/>
    <w:rsid w:val="00AF6EEF"/>
    <w:rsid w:val="00B00E2E"/>
    <w:rsid w:val="00B425C0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771EA"/>
    <w:rsid w:val="00D82CE2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1C159D6-B7F4-41FB-886C-B721E336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237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37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1314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2023-03-14T15:09:00Z</cp:lastPrinted>
  <dcterms:created xsi:type="dcterms:W3CDTF">2023-09-19T19:09:00Z</dcterms:created>
  <dcterms:modified xsi:type="dcterms:W3CDTF">2023-09-19T19:09:00Z</dcterms:modified>
</cp:coreProperties>
</file>