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2A23" w:rsidRDefault="002D6BA5">
      <w:pPr>
        <w:jc w:val="right"/>
        <w:rPr>
          <w:b/>
          <w:i/>
          <w:iCs/>
          <w:color w:val="000000"/>
          <w:sz w:val="24"/>
        </w:rPr>
      </w:pPr>
      <w:bookmarkStart w:id="0" w:name="_GoBack"/>
      <w:bookmarkEnd w:id="0"/>
      <w:r>
        <w:rPr>
          <w:b/>
          <w:i/>
          <w:iCs/>
          <w:color w:val="000000"/>
          <w:sz w:val="24"/>
        </w:rPr>
        <w:t>samedi 4 mars 2023</w:t>
      </w:r>
    </w:p>
    <w:p w:rsidR="00F879FF" w:rsidRDefault="00F879FF">
      <w:pPr>
        <w:jc w:val="right"/>
        <w:rPr>
          <w:b/>
          <w:color w:val="000000"/>
          <w:sz w:val="24"/>
        </w:rPr>
      </w:pPr>
    </w:p>
    <w:p w:rsidR="00BC18CE" w:rsidRPr="00F879FF" w:rsidRDefault="00EB2A23" w:rsidP="00BC18CE">
      <w:pPr>
        <w:pBdr>
          <w:top w:val="single" w:sz="6" w:space="1" w:color="auto"/>
          <w:left w:val="single" w:sz="6" w:space="0" w:color="auto"/>
          <w:bottom w:val="single" w:sz="6" w:space="1" w:color="auto"/>
          <w:right w:val="single" w:sz="6" w:space="1" w:color="auto"/>
        </w:pBdr>
        <w:rPr>
          <w:b/>
          <w:i/>
          <w:iCs/>
          <w:color w:val="000000"/>
          <w:sz w:val="24"/>
          <w:u w:val="single"/>
        </w:rPr>
      </w:pPr>
      <w:r w:rsidRPr="00F879FF">
        <w:rPr>
          <w:b/>
          <w:i/>
          <w:iCs/>
          <w:color w:val="000000"/>
          <w:sz w:val="24"/>
          <w:u w:val="single"/>
        </w:rPr>
        <w:t xml:space="preserve">IDENTIFICATION DU PATIENT: </w:t>
      </w:r>
    </w:p>
    <w:p w:rsidR="00EB2A23" w:rsidRPr="00F879FF" w:rsidRDefault="00FC582B">
      <w:pPr>
        <w:rPr>
          <w:b/>
          <w:i/>
          <w:iCs/>
          <w:color w:val="000000"/>
          <w:sz w:val="24"/>
        </w:rPr>
      </w:pPr>
      <w:r>
        <w:rPr>
          <w:rFonts w:ascii="Bookman Old Style" w:hAnsi="Bookman Old Style"/>
          <w:i/>
          <w:iCs/>
          <w:sz w:val="24"/>
          <w:szCs w:val="24"/>
        </w:rPr>
        <w:t xml:space="preserve">Nom, Prénom : pat-1136 47 ANS </w:t>
      </w:r>
    </w:p>
    <w:p w:rsidR="00F879FF" w:rsidRPr="00F879FF" w:rsidRDefault="00EB2A23" w:rsidP="00915587">
      <w:pPr>
        <w:pBdr>
          <w:top w:val="single" w:sz="6" w:space="1" w:color="auto"/>
          <w:left w:val="single" w:sz="6" w:space="1" w:color="auto"/>
          <w:bottom w:val="single" w:sz="6" w:space="1" w:color="auto"/>
          <w:right w:val="single" w:sz="6" w:space="1" w:color="auto"/>
        </w:pBdr>
        <w:jc w:val="center"/>
        <w:rPr>
          <w:b/>
          <w:i/>
          <w:iCs/>
          <w:color w:val="000000"/>
          <w:sz w:val="24"/>
        </w:rPr>
      </w:pPr>
      <w:r w:rsidRPr="00F879FF">
        <w:rPr>
          <w:b/>
          <w:i/>
          <w:iCs/>
          <w:color w:val="000000"/>
          <w:sz w:val="24"/>
        </w:rPr>
        <w:t>COMPTE-RENDU D</w:t>
      </w:r>
      <w:r w:rsidR="00BC18CE" w:rsidRPr="00F879FF">
        <w:rPr>
          <w:b/>
          <w:i/>
          <w:iCs/>
          <w:color w:val="000000"/>
          <w:sz w:val="24"/>
        </w:rPr>
        <w:t xml:space="preserve">'EXAMEN </w:t>
      </w:r>
      <w:r w:rsidR="00BE1C55" w:rsidRPr="00F879FF">
        <w:rPr>
          <w:b/>
          <w:i/>
          <w:iCs/>
          <w:color w:val="000000"/>
          <w:sz w:val="24"/>
        </w:rPr>
        <w:t>RADIOLOGIQUE :</w:t>
      </w:r>
      <w:r w:rsidR="00BC18CE" w:rsidRPr="00F879FF">
        <w:rPr>
          <w:b/>
          <w:i/>
          <w:iCs/>
          <w:color w:val="000000"/>
          <w:sz w:val="24"/>
        </w:rPr>
        <w:t xml:space="preserve"> </w:t>
      </w:r>
    </w:p>
    <w:p w:rsidR="00EB2A23" w:rsidRPr="00F879FF" w:rsidRDefault="002D6BA5" w:rsidP="00A250B4">
      <w:pPr>
        <w:pBdr>
          <w:top w:val="single" w:sz="6" w:space="1" w:color="auto"/>
          <w:left w:val="single" w:sz="6" w:space="1" w:color="auto"/>
          <w:bottom w:val="single" w:sz="6" w:space="1" w:color="auto"/>
          <w:right w:val="single" w:sz="6" w:space="1" w:color="auto"/>
        </w:pBdr>
        <w:jc w:val="center"/>
        <w:rPr>
          <w:b/>
          <w:i/>
          <w:iCs/>
          <w:color w:val="000000"/>
          <w:sz w:val="24"/>
        </w:rPr>
      </w:pPr>
      <w:r w:rsidRPr="00F879FF">
        <w:rPr>
          <w:b/>
          <w:i/>
          <w:iCs/>
          <w:color w:val="000000"/>
          <w:sz w:val="24"/>
        </w:rPr>
        <w:t>MAMMOGRAPHIE/ ECHO COMPRISE</w:t>
      </w:r>
    </w:p>
    <w:p w:rsidR="00EB2A23" w:rsidRDefault="00EB2A23">
      <w:pPr>
        <w:rPr>
          <w:b/>
          <w:color w:val="000000"/>
          <w:sz w:val="24"/>
        </w:rPr>
      </w:pPr>
    </w:p>
    <w:p w:rsidR="00EB2A23" w:rsidRDefault="00EB2A23">
      <w:pPr>
        <w:rPr>
          <w:b/>
          <w:color w:val="000000"/>
          <w:sz w:val="24"/>
        </w:rPr>
      </w:pPr>
      <w:r>
        <w:rPr>
          <w:b/>
          <w:iCs/>
          <w:color w:val="000000"/>
          <w:sz w:val="28"/>
          <w:u w:val="single"/>
        </w:rPr>
        <w:t>RESULTATS</w:t>
      </w:r>
      <w:r>
        <w:rPr>
          <w:b/>
          <w:i/>
          <w:color w:val="000000"/>
          <w:sz w:val="24"/>
        </w:rPr>
        <w:t>:</w:t>
      </w:r>
      <w:r>
        <w:rPr>
          <w:b/>
          <w:color w:val="000000"/>
          <w:sz w:val="24"/>
        </w:rPr>
        <w:t xml:space="preserve"> </w:t>
      </w:r>
    </w:p>
    <w:p w:rsidR="00B32AB7" w:rsidRDefault="00B32AB7" w:rsidP="00B32AB7">
      <w:pPr>
        <w:rPr>
          <w:bCs/>
          <w:color w:val="000000"/>
          <w:sz w:val="24"/>
        </w:rPr>
      </w:pPr>
    </w:p>
    <w:p w:rsidR="00CA5AD0" w:rsidRDefault="00B32AB7" w:rsidP="00A250B4">
      <w:pPr>
        <w:rPr>
          <w:bCs/>
          <w:color w:val="000000"/>
          <w:sz w:val="24"/>
        </w:rPr>
      </w:pPr>
      <w:r>
        <w:rPr>
          <w:bCs/>
          <w:color w:val="000000"/>
          <w:sz w:val="24"/>
        </w:rPr>
        <w:t xml:space="preserve">Seins </w:t>
      </w:r>
      <w:r w:rsidR="00CA5AD0">
        <w:rPr>
          <w:bCs/>
          <w:color w:val="000000"/>
          <w:sz w:val="24"/>
        </w:rPr>
        <w:t>denses hétérogènes type c de l’ACR.</w:t>
      </w:r>
    </w:p>
    <w:p w:rsidR="00CA5AD0" w:rsidRDefault="00CA5AD0" w:rsidP="00C7184D">
      <w:pPr>
        <w:rPr>
          <w:bCs/>
          <w:color w:val="000000"/>
          <w:sz w:val="24"/>
        </w:rPr>
      </w:pPr>
      <w:r>
        <w:rPr>
          <w:bCs/>
          <w:color w:val="000000"/>
          <w:sz w:val="24"/>
        </w:rPr>
        <w:t>Présence d’une opacité lobulée de contours circonscrits, de tonalité hydrique homogène, occupant le QSE du sein gauche, mesurant environ 26mm de grand axe.</w:t>
      </w:r>
    </w:p>
    <w:p w:rsidR="00C7184D" w:rsidRDefault="00C7184D" w:rsidP="00C7184D">
      <w:pPr>
        <w:rPr>
          <w:bCs/>
          <w:color w:val="000000"/>
          <w:sz w:val="24"/>
        </w:rPr>
      </w:pPr>
      <w:r>
        <w:rPr>
          <w:bCs/>
          <w:color w:val="000000"/>
          <w:sz w:val="24"/>
        </w:rPr>
        <w:t>Absence d’image d’opacité nodulo-stellaire ou de distorsion architecturale.</w:t>
      </w:r>
    </w:p>
    <w:p w:rsidR="00CA5AD0" w:rsidRDefault="00C7184D" w:rsidP="00C7184D">
      <w:pPr>
        <w:rPr>
          <w:bCs/>
          <w:color w:val="000000"/>
          <w:sz w:val="24"/>
        </w:rPr>
      </w:pPr>
      <w:r w:rsidRPr="00423DB2">
        <w:rPr>
          <w:bCs/>
          <w:color w:val="000000"/>
          <w:sz w:val="24"/>
        </w:rPr>
        <w:t>L’opacité en projection des quadrants inférieurs du sein gauche cernée d’un liseré radio-clair, correspond à un naevus.</w:t>
      </w:r>
    </w:p>
    <w:p w:rsidR="00B32AB7" w:rsidRDefault="00C7184D" w:rsidP="00B32AB7">
      <w:pPr>
        <w:rPr>
          <w:bCs/>
          <w:color w:val="000000"/>
          <w:sz w:val="24"/>
        </w:rPr>
      </w:pPr>
      <w:r>
        <w:rPr>
          <w:bCs/>
          <w:color w:val="000000"/>
          <w:sz w:val="24"/>
        </w:rPr>
        <w:t>Quelques micro-calcifications éparses bilatérales, plus nombreuses à droite, sans caractère groupé.</w:t>
      </w:r>
    </w:p>
    <w:p w:rsidR="00C7184D" w:rsidRDefault="00C7184D" w:rsidP="00C7184D">
      <w:pPr>
        <w:rPr>
          <w:bCs/>
          <w:color w:val="000000"/>
          <w:sz w:val="24"/>
        </w:rPr>
      </w:pPr>
      <w:r>
        <w:rPr>
          <w:bCs/>
          <w:color w:val="000000"/>
          <w:sz w:val="24"/>
        </w:rPr>
        <w:t xml:space="preserve">Liseré cutané fin et régulier. </w:t>
      </w:r>
    </w:p>
    <w:p w:rsidR="00C7184D" w:rsidRDefault="00C7184D" w:rsidP="00C7184D">
      <w:pPr>
        <w:rPr>
          <w:bCs/>
          <w:color w:val="000000"/>
          <w:sz w:val="24"/>
        </w:rPr>
      </w:pPr>
      <w:r>
        <w:rPr>
          <w:bCs/>
          <w:color w:val="000000"/>
          <w:sz w:val="24"/>
        </w:rPr>
        <w:t>Absence d’adénopathies axillaires.</w:t>
      </w:r>
    </w:p>
    <w:p w:rsidR="00B32AB7" w:rsidRDefault="00B32AB7" w:rsidP="00B32AB7">
      <w:pPr>
        <w:rPr>
          <w:bCs/>
          <w:color w:val="000000"/>
          <w:sz w:val="24"/>
        </w:rPr>
      </w:pPr>
    </w:p>
    <w:p w:rsidR="00B32AB7" w:rsidRDefault="00B32AB7" w:rsidP="00B32AB7">
      <w:pPr>
        <w:ind w:firstLine="708"/>
        <w:rPr>
          <w:b/>
          <w:bCs/>
          <w:i/>
          <w:color w:val="000000"/>
          <w:sz w:val="24"/>
        </w:rPr>
      </w:pPr>
      <w:r>
        <w:rPr>
          <w:b/>
          <w:bCs/>
          <w:i/>
          <w:color w:val="000000"/>
          <w:sz w:val="24"/>
        </w:rPr>
        <w:t xml:space="preserve">Le complément échographique, </w:t>
      </w:r>
    </w:p>
    <w:p w:rsidR="00B32AB7" w:rsidRDefault="00B32AB7" w:rsidP="00B32AB7">
      <w:pPr>
        <w:rPr>
          <w:bCs/>
          <w:color w:val="000000"/>
          <w:sz w:val="24"/>
        </w:rPr>
      </w:pPr>
    </w:p>
    <w:p w:rsidR="004A12DA" w:rsidRDefault="00C7184D" w:rsidP="00A250B4">
      <w:pPr>
        <w:rPr>
          <w:bCs/>
          <w:color w:val="000000"/>
          <w:sz w:val="24"/>
        </w:rPr>
      </w:pPr>
      <w:r>
        <w:rPr>
          <w:bCs/>
          <w:color w:val="000000"/>
          <w:sz w:val="24"/>
        </w:rPr>
        <w:t>Il s’agit d’une formation kystique occupant le QSE du sein gauche, bien circonscrite</w:t>
      </w:r>
      <w:r w:rsidR="00B4351B">
        <w:rPr>
          <w:bCs/>
          <w:color w:val="000000"/>
          <w:sz w:val="24"/>
        </w:rPr>
        <w:t xml:space="preserve">, à paroi régulièrement épaissie, à contenu échogène, mesurée 27x18mm de grands axes, entourée d’un aspect échogène de la trame et de la </w:t>
      </w:r>
      <w:r w:rsidR="004A12DA">
        <w:rPr>
          <w:bCs/>
          <w:color w:val="000000"/>
          <w:sz w:val="24"/>
        </w:rPr>
        <w:t>graisse environnant.</w:t>
      </w:r>
    </w:p>
    <w:p w:rsidR="00423DB2" w:rsidRDefault="004A12DA" w:rsidP="00423DB2">
      <w:pPr>
        <w:rPr>
          <w:bCs/>
          <w:color w:val="000000"/>
          <w:sz w:val="24"/>
        </w:rPr>
      </w:pPr>
      <w:r>
        <w:rPr>
          <w:bCs/>
          <w:color w:val="000000"/>
          <w:sz w:val="24"/>
        </w:rPr>
        <w:t>Il s’y associe une formation nodulaire du QIE du sein gauche, de topographie sous cutanée, de forme ovalaire, de grand axe horizontal parallèle au plan cutané, de contours réguliers, d’échostructure hypoéchogène homogène, no</w:t>
      </w:r>
      <w:r w:rsidR="00423DB2">
        <w:rPr>
          <w:bCs/>
          <w:color w:val="000000"/>
          <w:sz w:val="24"/>
        </w:rPr>
        <w:t>n atténuante, mesuré 10,5x4,8mm.</w:t>
      </w:r>
    </w:p>
    <w:p w:rsidR="00241E84" w:rsidRDefault="00241E84" w:rsidP="00423DB2">
      <w:pPr>
        <w:rPr>
          <w:bCs/>
          <w:color w:val="000000"/>
          <w:sz w:val="24"/>
        </w:rPr>
      </w:pPr>
      <w:r>
        <w:rPr>
          <w:bCs/>
          <w:color w:val="000000"/>
          <w:sz w:val="24"/>
        </w:rPr>
        <w:t>Absence de syndrome de masse ou d’ombre acoustique pathologique à droite.</w:t>
      </w:r>
    </w:p>
    <w:p w:rsidR="00241E84" w:rsidRDefault="00241E84" w:rsidP="00241E84">
      <w:pPr>
        <w:rPr>
          <w:bCs/>
          <w:color w:val="000000"/>
          <w:sz w:val="24"/>
        </w:rPr>
      </w:pPr>
      <w:r>
        <w:rPr>
          <w:bCs/>
          <w:color w:val="000000"/>
          <w:sz w:val="24"/>
        </w:rPr>
        <w:t>Système canalaire non dilaté.</w:t>
      </w:r>
    </w:p>
    <w:p w:rsidR="00E954FA" w:rsidRDefault="00E954FA" w:rsidP="00E954FA">
      <w:pPr>
        <w:rPr>
          <w:bCs/>
          <w:color w:val="000000"/>
          <w:sz w:val="24"/>
        </w:rPr>
      </w:pPr>
      <w:r>
        <w:rPr>
          <w:bCs/>
          <w:color w:val="000000"/>
          <w:sz w:val="24"/>
        </w:rPr>
        <w:t>Revêtement cutané fin et régulier.</w:t>
      </w:r>
    </w:p>
    <w:p w:rsidR="00B32AB7" w:rsidRDefault="00E954FA" w:rsidP="00E954FA">
      <w:pPr>
        <w:rPr>
          <w:bCs/>
          <w:color w:val="000000"/>
          <w:sz w:val="24"/>
        </w:rPr>
      </w:pPr>
      <w:r>
        <w:rPr>
          <w:bCs/>
          <w:color w:val="000000"/>
          <w:sz w:val="24"/>
        </w:rPr>
        <w:t>Ganglions axillaires bilatéraux, fusiformes, à centre graisseux et à cortex hypoéchogène régulier, d’allure inflammatoire.</w:t>
      </w:r>
    </w:p>
    <w:p w:rsidR="00B32AB7" w:rsidRDefault="00B32AB7" w:rsidP="00B32AB7">
      <w:pPr>
        <w:rPr>
          <w:bCs/>
          <w:color w:val="000000"/>
          <w:sz w:val="24"/>
        </w:rPr>
      </w:pPr>
    </w:p>
    <w:p w:rsidR="00B32AB7" w:rsidRDefault="00B32AB7" w:rsidP="00B32AB7">
      <w:pPr>
        <w:pBdr>
          <w:top w:val="single" w:sz="4" w:space="1" w:color="auto"/>
          <w:left w:val="single" w:sz="4" w:space="4" w:color="auto"/>
          <w:bottom w:val="single" w:sz="4" w:space="1" w:color="auto"/>
          <w:right w:val="single" w:sz="4" w:space="4" w:color="auto"/>
        </w:pBdr>
        <w:rPr>
          <w:b/>
          <w:bCs/>
          <w:i/>
          <w:color w:val="000000"/>
          <w:sz w:val="24"/>
        </w:rPr>
      </w:pPr>
      <w:r>
        <w:rPr>
          <w:b/>
          <w:bCs/>
          <w:i/>
          <w:color w:val="000000"/>
          <w:sz w:val="24"/>
          <w:u w:val="single"/>
        </w:rPr>
        <w:t>Conclusion</w:t>
      </w:r>
      <w:r>
        <w:rPr>
          <w:b/>
          <w:bCs/>
          <w:i/>
          <w:color w:val="000000"/>
          <w:sz w:val="24"/>
        </w:rPr>
        <w:t xml:space="preserve"> :</w:t>
      </w:r>
    </w:p>
    <w:p w:rsidR="00B32AB7" w:rsidRDefault="00B32AB7" w:rsidP="00E954FA">
      <w:pPr>
        <w:pBdr>
          <w:top w:val="single" w:sz="4" w:space="1" w:color="auto"/>
          <w:left w:val="single" w:sz="4" w:space="4" w:color="auto"/>
          <w:bottom w:val="single" w:sz="4" w:space="1" w:color="auto"/>
          <w:right w:val="single" w:sz="4" w:space="4" w:color="auto"/>
        </w:pBdr>
        <w:rPr>
          <w:b/>
          <w:bCs/>
          <w:i/>
          <w:color w:val="000000"/>
          <w:sz w:val="24"/>
        </w:rPr>
      </w:pPr>
      <w:r>
        <w:rPr>
          <w:b/>
          <w:bCs/>
          <w:i/>
          <w:color w:val="000000"/>
          <w:sz w:val="24"/>
        </w:rPr>
        <w:t xml:space="preserve">Mammographie bilatérale et échographie mammaire </w:t>
      </w:r>
      <w:r w:rsidR="00E954FA">
        <w:rPr>
          <w:b/>
          <w:bCs/>
          <w:i/>
          <w:color w:val="000000"/>
          <w:sz w:val="24"/>
        </w:rPr>
        <w:t>retrouve une formation kystique compliquée du QSE du sein gauche (kyste inflammé), associée à une formation nodulaire du QIE homolatéral de sémiologie bénigne.</w:t>
      </w:r>
    </w:p>
    <w:p w:rsidR="00A250B4" w:rsidRDefault="00A250B4" w:rsidP="00E954FA">
      <w:pPr>
        <w:pBdr>
          <w:top w:val="single" w:sz="4" w:space="1" w:color="auto"/>
          <w:left w:val="single" w:sz="4" w:space="4" w:color="auto"/>
          <w:bottom w:val="single" w:sz="4" w:space="1" w:color="auto"/>
          <w:right w:val="single" w:sz="4" w:space="4" w:color="auto"/>
        </w:pBdr>
        <w:rPr>
          <w:b/>
          <w:bCs/>
          <w:i/>
          <w:color w:val="000000"/>
          <w:sz w:val="24"/>
        </w:rPr>
      </w:pPr>
      <w:r>
        <w:rPr>
          <w:b/>
          <w:bCs/>
          <w:i/>
          <w:color w:val="000000"/>
          <w:sz w:val="24"/>
        </w:rPr>
        <w:t>Absence d’anomalie péjorative décelable ce jour du sein droit classé BI-RADS 2 de l'ACR.</w:t>
      </w:r>
    </w:p>
    <w:p w:rsidR="00E954FA" w:rsidRDefault="00A250B4" w:rsidP="00A250B4">
      <w:pPr>
        <w:pBdr>
          <w:top w:val="single" w:sz="4" w:space="1" w:color="auto"/>
          <w:left w:val="single" w:sz="4" w:space="4" w:color="auto"/>
          <w:bottom w:val="single" w:sz="4" w:space="1" w:color="auto"/>
          <w:right w:val="single" w:sz="4" w:space="4" w:color="auto"/>
        </w:pBdr>
        <w:rPr>
          <w:b/>
          <w:bCs/>
          <w:i/>
          <w:color w:val="000000"/>
          <w:sz w:val="24"/>
        </w:rPr>
      </w:pPr>
      <w:r>
        <w:rPr>
          <w:b/>
          <w:bCs/>
          <w:i/>
          <w:color w:val="000000"/>
          <w:sz w:val="24"/>
        </w:rPr>
        <w:t xml:space="preserve">L’examen du sein gauche est classé BI-RADS 3 de l'ACR, justifiant un contrôle  échographique après traitement médical et une étude cytologique. </w:t>
      </w:r>
    </w:p>
    <w:p w:rsidR="00EB2A23" w:rsidRPr="00397A26" w:rsidRDefault="00EB2A23" w:rsidP="00B32AB7">
      <w:pPr>
        <w:rPr>
          <w:b/>
          <w:i/>
          <w:iCs/>
          <w:color w:val="000000"/>
          <w:sz w:val="24"/>
        </w:rPr>
      </w:pPr>
    </w:p>
    <w:sectPr w:rsidR="00EB2A23" w:rsidRPr="00397A26" w:rsidSect="000A78EE">
      <w:headerReference w:type="default" r:id="rId6"/>
      <w:footerReference w:type="default" r:id="rId7"/>
      <w:pgSz w:w="11906" w:h="16838"/>
      <w:pgMar w:top="1134" w:right="1418" w:bottom="567" w:left="1418" w:header="283" w:footer="283"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669D" w:rsidRDefault="000C669D" w:rsidP="00FF41A6">
      <w:r>
        <w:separator/>
      </w:r>
    </w:p>
  </w:endnote>
  <w:endnote w:type="continuationSeparator" w:id="0">
    <w:p w:rsidR="000C669D" w:rsidRDefault="000C669D" w:rsidP="00FF4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1E84" w:rsidRDefault="00241E84" w:rsidP="00F515B5">
    <w:pPr>
      <w:jc w:val="center"/>
      <w:rPr>
        <w:rFonts w:eastAsia="Calibri"/>
        <w:i/>
        <w:iCs/>
        <w:sz w:val="18"/>
        <w:szCs w:val="18"/>
      </w:rPr>
    </w:pPr>
  </w:p>
  <w:p w:rsidR="00241E84" w:rsidRDefault="00241E84" w:rsidP="00F515B5">
    <w:pPr>
      <w:tabs>
        <w:tab w:val="center" w:pos="4536"/>
        <w:tab w:val="right" w:pos="9072"/>
      </w:tabs>
      <w:jc w:val="center"/>
    </w:pPr>
  </w:p>
  <w:p w:rsidR="00241E84" w:rsidRPr="00F515B5" w:rsidRDefault="00241E84" w:rsidP="00F51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669D" w:rsidRDefault="000C669D" w:rsidP="00FF41A6">
      <w:r>
        <w:separator/>
      </w:r>
    </w:p>
  </w:footnote>
  <w:footnote w:type="continuationSeparator" w:id="0">
    <w:p w:rsidR="000C669D" w:rsidRDefault="000C669D" w:rsidP="00FF41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1E84" w:rsidRDefault="00241E84" w:rsidP="00FF41A6">
    <w:pPr>
      <w:pStyle w:val="NoSpacing"/>
      <w:jc w:val="center"/>
      <w:rPr>
        <w:rFonts w:ascii="Tw Cen MT" w:hAnsi="Tw Cen MT"/>
        <w:sz w:val="44"/>
        <w:szCs w:val="44"/>
      </w:rPr>
    </w:pPr>
  </w:p>
  <w:p w:rsidR="00241E84" w:rsidRPr="00426781" w:rsidRDefault="00241E84" w:rsidP="00FF41A6">
    <w:pPr>
      <w:pStyle w:val="NoSpacing"/>
      <w:jc w:val="center"/>
      <w:rPr>
        <w:rFonts w:ascii="Tw Cen MT" w:hAnsi="Tw Cen MT"/>
      </w:rPr>
    </w:pPr>
  </w:p>
  <w:p w:rsidR="00241E84" w:rsidRDefault="00241E84" w:rsidP="00FF41A6">
    <w:pPr>
      <w:pStyle w:val="NoSpacing"/>
      <w:jc w:val="center"/>
      <w:rPr>
        <w:rFonts w:ascii="Tw Cen MT" w:hAnsi="Tw Cen MT"/>
      </w:rPr>
    </w:pPr>
  </w:p>
  <w:p w:rsidR="00241E84" w:rsidRPr="00D104DB" w:rsidRDefault="00241E84" w:rsidP="00FF41A6">
    <w:pPr>
      <w:pStyle w:val="NoSpacing"/>
      <w:jc w:val="center"/>
      <w:rPr>
        <w:sz w:val="16"/>
        <w:szCs w:val="16"/>
      </w:rPr>
    </w:pPr>
  </w:p>
  <w:p w:rsidR="00241E84" w:rsidRDefault="00241E84" w:rsidP="00FF41A6">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32AB7"/>
    <w:rsid w:val="00013B16"/>
    <w:rsid w:val="00094E5E"/>
    <w:rsid w:val="000A78EE"/>
    <w:rsid w:val="000B7A8F"/>
    <w:rsid w:val="000C669D"/>
    <w:rsid w:val="00136EEF"/>
    <w:rsid w:val="00241E84"/>
    <w:rsid w:val="00266C96"/>
    <w:rsid w:val="00291FF6"/>
    <w:rsid w:val="002A53C2"/>
    <w:rsid w:val="002B58CC"/>
    <w:rsid w:val="002D6BA5"/>
    <w:rsid w:val="00320AF6"/>
    <w:rsid w:val="0038353D"/>
    <w:rsid w:val="00397A26"/>
    <w:rsid w:val="004038CE"/>
    <w:rsid w:val="00413297"/>
    <w:rsid w:val="00423DB2"/>
    <w:rsid w:val="00425DD9"/>
    <w:rsid w:val="00483B47"/>
    <w:rsid w:val="00487E9D"/>
    <w:rsid w:val="004A12DA"/>
    <w:rsid w:val="004E0DFB"/>
    <w:rsid w:val="004E1488"/>
    <w:rsid w:val="005018C7"/>
    <w:rsid w:val="0055089C"/>
    <w:rsid w:val="006925A3"/>
    <w:rsid w:val="006A5983"/>
    <w:rsid w:val="006E396B"/>
    <w:rsid w:val="007571A5"/>
    <w:rsid w:val="007E091E"/>
    <w:rsid w:val="007F2AFE"/>
    <w:rsid w:val="008B1520"/>
    <w:rsid w:val="008E5D5F"/>
    <w:rsid w:val="00915587"/>
    <w:rsid w:val="0097545C"/>
    <w:rsid w:val="00991837"/>
    <w:rsid w:val="00A11F2B"/>
    <w:rsid w:val="00A250B4"/>
    <w:rsid w:val="00A76F00"/>
    <w:rsid w:val="00AB3DCA"/>
    <w:rsid w:val="00AF6EEF"/>
    <w:rsid w:val="00B00E2E"/>
    <w:rsid w:val="00B32AB7"/>
    <w:rsid w:val="00B4351B"/>
    <w:rsid w:val="00B511D7"/>
    <w:rsid w:val="00B625CF"/>
    <w:rsid w:val="00B75A57"/>
    <w:rsid w:val="00BB7310"/>
    <w:rsid w:val="00BC18CE"/>
    <w:rsid w:val="00BE1C55"/>
    <w:rsid w:val="00C7184D"/>
    <w:rsid w:val="00C7676D"/>
    <w:rsid w:val="00C821F0"/>
    <w:rsid w:val="00CA5AD0"/>
    <w:rsid w:val="00CD057F"/>
    <w:rsid w:val="00D159C3"/>
    <w:rsid w:val="00DC7E65"/>
    <w:rsid w:val="00DE3E17"/>
    <w:rsid w:val="00E25639"/>
    <w:rsid w:val="00E31EF8"/>
    <w:rsid w:val="00E954FA"/>
    <w:rsid w:val="00EB2A23"/>
    <w:rsid w:val="00EE4ACF"/>
    <w:rsid w:val="00F45755"/>
    <w:rsid w:val="00F515B5"/>
    <w:rsid w:val="00F7627E"/>
    <w:rsid w:val="00F879FF"/>
    <w:rsid w:val="00FB18E1"/>
    <w:rsid w:val="00FC582B"/>
    <w:rsid w:val="00FF41A6"/>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C41BF2E-D0D8-4C84-ACD6-D6D2E9BAC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fr-FR" w:eastAsia="fr-FR"/>
    </w:rPr>
  </w:style>
  <w:style w:type="paragraph" w:styleId="Heading1">
    <w:name w:val="heading 1"/>
    <w:basedOn w:val="Normal"/>
    <w:next w:val="Normal"/>
    <w:qFormat/>
    <w:pPr>
      <w:keepNext/>
      <w:pBdr>
        <w:top w:val="single" w:sz="6" w:space="1" w:color="auto"/>
        <w:left w:val="single" w:sz="6" w:space="0" w:color="auto"/>
        <w:bottom w:val="single" w:sz="6" w:space="1" w:color="auto"/>
        <w:right w:val="single" w:sz="6" w:space="1" w:color="auto"/>
      </w:pBdr>
      <w:outlineLvl w:val="0"/>
    </w:pPr>
    <w:rPr>
      <w:sz w:val="24"/>
    </w:rPr>
  </w:style>
  <w:style w:type="paragraph" w:styleId="Heading2">
    <w:name w:val="heading 2"/>
    <w:basedOn w:val="Normal"/>
    <w:next w:val="Normal"/>
    <w:qFormat/>
    <w:pPr>
      <w:keepNext/>
      <w:tabs>
        <w:tab w:val="left" w:pos="3686"/>
      </w:tabs>
      <w:outlineLvl w:val="1"/>
    </w:pPr>
    <w:rPr>
      <w:bCs/>
      <w:iCs/>
      <w:color w:val="000000"/>
      <w:sz w:val="24"/>
    </w:rPr>
  </w:style>
  <w:style w:type="paragraph" w:styleId="Heading3">
    <w:name w:val="heading 3"/>
    <w:basedOn w:val="Normal"/>
    <w:next w:val="Normal"/>
    <w:qFormat/>
    <w:pPr>
      <w:keepNext/>
      <w:tabs>
        <w:tab w:val="left" w:pos="3686"/>
      </w:tabs>
      <w:jc w:val="right"/>
      <w:outlineLvl w:val="2"/>
    </w:pPr>
    <w:rPr>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Pr>
      <w:color w:val="000000"/>
      <w:sz w:val="24"/>
    </w:rPr>
  </w:style>
  <w:style w:type="paragraph" w:styleId="Header">
    <w:name w:val="header"/>
    <w:basedOn w:val="Normal"/>
    <w:link w:val="HeaderChar"/>
    <w:rsid w:val="00FF41A6"/>
    <w:pPr>
      <w:tabs>
        <w:tab w:val="center" w:pos="4536"/>
        <w:tab w:val="right" w:pos="9072"/>
      </w:tabs>
    </w:pPr>
  </w:style>
  <w:style w:type="character" w:customStyle="1" w:styleId="HeaderChar">
    <w:name w:val="Header Char"/>
    <w:basedOn w:val="DefaultParagraphFont"/>
    <w:link w:val="Header"/>
    <w:rsid w:val="00FF41A6"/>
  </w:style>
  <w:style w:type="paragraph" w:styleId="Footer">
    <w:name w:val="footer"/>
    <w:basedOn w:val="Normal"/>
    <w:link w:val="FooterChar"/>
    <w:rsid w:val="00FF41A6"/>
    <w:pPr>
      <w:tabs>
        <w:tab w:val="center" w:pos="4536"/>
        <w:tab w:val="right" w:pos="9072"/>
      </w:tabs>
    </w:pPr>
  </w:style>
  <w:style w:type="character" w:customStyle="1" w:styleId="FooterChar">
    <w:name w:val="Footer Char"/>
    <w:basedOn w:val="DefaultParagraphFont"/>
    <w:link w:val="Footer"/>
    <w:rsid w:val="00FF41A6"/>
  </w:style>
  <w:style w:type="paragraph" w:styleId="NoSpacing">
    <w:name w:val="No Spacing"/>
    <w:uiPriority w:val="1"/>
    <w:qFormat/>
    <w:rsid w:val="00FF41A6"/>
    <w:rPr>
      <w:rFonts w:ascii="Calibri" w:eastAsia="Calibri" w:hAnsi="Calibri" w:cs="Arial"/>
      <w:sz w:val="22"/>
      <w:szCs w:val="22"/>
      <w:lang w:val="fr-FR" w:eastAsia="en-US"/>
    </w:rPr>
  </w:style>
  <w:style w:type="character" w:styleId="Hyperlink">
    <w:name w:val="Hyperlink"/>
    <w:basedOn w:val="DefaultParagraphFont"/>
    <w:uiPriority w:val="99"/>
    <w:unhideWhenUsed/>
    <w:rsid w:val="00A11F2B"/>
    <w:rPr>
      <w:color w:val="0000FF"/>
      <w:u w:val="single"/>
    </w:rPr>
  </w:style>
  <w:style w:type="paragraph" w:styleId="BalloonText">
    <w:name w:val="Balloon Text"/>
    <w:basedOn w:val="Normal"/>
    <w:link w:val="BalloonTextChar"/>
    <w:rsid w:val="00423DB2"/>
    <w:rPr>
      <w:rFonts w:ascii="Tahoma" w:hAnsi="Tahoma" w:cs="Tahoma"/>
      <w:sz w:val="16"/>
      <w:szCs w:val="16"/>
    </w:rPr>
  </w:style>
  <w:style w:type="character" w:customStyle="1" w:styleId="BalloonTextChar">
    <w:name w:val="Balloon Text Char"/>
    <w:basedOn w:val="DefaultParagraphFont"/>
    <w:link w:val="BalloonText"/>
    <w:rsid w:val="00423D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962071">
      <w:bodyDiv w:val="1"/>
      <w:marLeft w:val="0"/>
      <w:marRight w:val="0"/>
      <w:marTop w:val="0"/>
      <w:marBottom w:val="0"/>
      <w:divBdr>
        <w:top w:val="none" w:sz="0" w:space="0" w:color="auto"/>
        <w:left w:val="none" w:sz="0" w:space="0" w:color="auto"/>
        <w:bottom w:val="none" w:sz="0" w:space="0" w:color="auto"/>
        <w:right w:val="none" w:sz="0" w:space="0" w:color="auto"/>
      </w:divBdr>
    </w:div>
    <w:div w:id="463083111">
      <w:bodyDiv w:val="1"/>
      <w:marLeft w:val="0"/>
      <w:marRight w:val="0"/>
      <w:marTop w:val="0"/>
      <w:marBottom w:val="0"/>
      <w:divBdr>
        <w:top w:val="none" w:sz="0" w:space="0" w:color="auto"/>
        <w:left w:val="none" w:sz="0" w:space="0" w:color="auto"/>
        <w:bottom w:val="none" w:sz="0" w:space="0" w:color="auto"/>
        <w:right w:val="none" w:sz="0" w:space="0" w:color="auto"/>
      </w:divBdr>
    </w:div>
    <w:div w:id="472916159">
      <w:bodyDiv w:val="1"/>
      <w:marLeft w:val="0"/>
      <w:marRight w:val="0"/>
      <w:marTop w:val="0"/>
      <w:marBottom w:val="0"/>
      <w:divBdr>
        <w:top w:val="none" w:sz="0" w:space="0" w:color="auto"/>
        <w:left w:val="none" w:sz="0" w:space="0" w:color="auto"/>
        <w:bottom w:val="none" w:sz="0" w:space="0" w:color="auto"/>
        <w:right w:val="none" w:sz="0" w:space="0" w:color="auto"/>
      </w:divBdr>
    </w:div>
    <w:div w:id="653796048">
      <w:bodyDiv w:val="1"/>
      <w:marLeft w:val="0"/>
      <w:marRight w:val="0"/>
      <w:marTop w:val="0"/>
      <w:marBottom w:val="0"/>
      <w:divBdr>
        <w:top w:val="none" w:sz="0" w:space="0" w:color="auto"/>
        <w:left w:val="none" w:sz="0" w:space="0" w:color="auto"/>
        <w:bottom w:val="none" w:sz="0" w:space="0" w:color="auto"/>
        <w:right w:val="none" w:sz="0" w:space="0" w:color="auto"/>
      </w:divBdr>
    </w:div>
    <w:div w:id="919095824">
      <w:bodyDiv w:val="1"/>
      <w:marLeft w:val="0"/>
      <w:marRight w:val="0"/>
      <w:marTop w:val="0"/>
      <w:marBottom w:val="0"/>
      <w:divBdr>
        <w:top w:val="none" w:sz="0" w:space="0" w:color="auto"/>
        <w:left w:val="none" w:sz="0" w:space="0" w:color="auto"/>
        <w:bottom w:val="none" w:sz="0" w:space="0" w:color="auto"/>
        <w:right w:val="none" w:sz="0" w:space="0" w:color="auto"/>
      </w:divBdr>
    </w:div>
    <w:div w:id="169144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1676</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20/10/03</vt:lpstr>
    </vt:vector>
  </TitlesOfParts>
  <Company>LAKHAL</Company>
  <LinksUpToDate>false</LinksUpToDate>
  <CharactersWithSpaces>1967</CharactersWithSpaces>
  <SharedDoc>false</SharedDoc>
  <HLinks>
    <vt:vector size="6" baseType="variant">
      <vt:variant>
        <vt:i4>2883667</vt:i4>
      </vt:variant>
      <vt:variant>
        <vt:i4>0</vt:i4>
      </vt:variant>
      <vt:variant>
        <vt:i4>0</vt:i4>
      </vt:variant>
      <vt:variant>
        <vt:i4>5</vt:i4>
      </vt:variant>
      <vt:variant>
        <vt:lpwstr>mailto:contact@cilm-dz.com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20/10/03</dc:title>
  <dc:subject/>
  <dc:creator>lenovo</dc:creator>
  <cp:keywords/>
  <dc:description/>
  <cp:lastModifiedBy>PC-RAYANE</cp:lastModifiedBy>
  <cp:revision>2</cp:revision>
  <cp:lastPrinted>2023-03-04T13:00:00Z</cp:lastPrinted>
  <dcterms:created xsi:type="dcterms:W3CDTF">2023-09-19T19:10:00Z</dcterms:created>
  <dcterms:modified xsi:type="dcterms:W3CDTF">2023-09-19T19:10:00Z</dcterms:modified>
</cp:coreProperties>
</file>