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12B6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20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128C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pat-1137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38292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12B62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masse, de désorganisation architecturale ou d’asymétrie de densité.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du stroma conjonctivo-glandulaire.</w:t>
      </w:r>
    </w:p>
    <w:p w:rsidR="00EB565C" w:rsidRDefault="00EB565C" w:rsidP="0038292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solide.</w:t>
      </w:r>
    </w:p>
    <w:p w:rsidR="00382929" w:rsidRDefault="00382929" w:rsidP="0038292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formation micro-kystique du QSE droit simple de 6x4 mm.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38292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82929">
        <w:rPr>
          <w:rFonts w:ascii="Georgia" w:hAnsi="Georgia"/>
          <w:b/>
          <w:bCs/>
          <w:i/>
          <w:color w:val="000000"/>
          <w:sz w:val="24"/>
        </w:rPr>
        <w:t xml:space="preserve">en faveur une lésion microkystique du QSE droit, examen classé 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382929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 w:rsidR="00382929">
        <w:rPr>
          <w:rFonts w:ascii="Georgia" w:hAnsi="Georgia"/>
          <w:b/>
          <w:bCs/>
          <w:i/>
          <w:color w:val="000000"/>
          <w:sz w:val="24"/>
        </w:rPr>
        <w:t>et BIRADS 1 de l’ACR à gauche.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382929" w:rsidRDefault="00382929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06" w:rsidRDefault="00CA7306" w:rsidP="00FF41A6">
      <w:r>
        <w:separator/>
      </w:r>
    </w:p>
  </w:endnote>
  <w:endnote w:type="continuationSeparator" w:id="0">
    <w:p w:rsidR="00CA7306" w:rsidRDefault="00CA730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06" w:rsidRDefault="00CA7306" w:rsidP="00FF41A6">
      <w:r>
        <w:separator/>
      </w:r>
    </w:p>
  </w:footnote>
  <w:footnote w:type="continuationSeparator" w:id="0">
    <w:p w:rsidR="00CA7306" w:rsidRDefault="00CA730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128C5"/>
    <w:rsid w:val="00112B62"/>
    <w:rsid w:val="00136EEF"/>
    <w:rsid w:val="001D67F0"/>
    <w:rsid w:val="00266C96"/>
    <w:rsid w:val="00291FF6"/>
    <w:rsid w:val="002B58CC"/>
    <w:rsid w:val="00320AF6"/>
    <w:rsid w:val="0038292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7306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E60CC3-5C87-4AA9-90F7-1266A11D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