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C5B8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5 mars 2023</w:t>
      </w:r>
    </w:p>
    <w:p w:rsidR="00EB2A23" w:rsidRDefault="00222AB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pat-1160 38 ANS </w:t>
      </w:r>
    </w:p>
    <w:p w:rsidR="00EB2A23" w:rsidRDefault="000C5B82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2F04D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2F04D1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2F04D1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2F04D1" w:rsidRDefault="002F04D1" w:rsidP="002F04D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bien circonscrite régulière du quadrant supéro interne droit, sans signal calcique associé.</w:t>
      </w:r>
    </w:p>
    <w:p w:rsidR="002F04D1" w:rsidRDefault="002F04D1" w:rsidP="002F04D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2F04D1" w:rsidRDefault="002F04D1" w:rsidP="002F04D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2F04D1" w:rsidRDefault="002F04D1" w:rsidP="002F04D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2F04D1" w:rsidRDefault="002F04D1" w:rsidP="002F04D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 de morphologie conservée.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2F04D1" w:rsidRDefault="002F04D1" w:rsidP="00755EC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La masse du quadrant supéro interne droit correspond à une formation nodulaire hypoéchogène, </w:t>
      </w:r>
      <w:r w:rsidR="00755ECF">
        <w:rPr>
          <w:rFonts w:ascii="Georgia" w:hAnsi="Georgia"/>
          <w:bCs/>
          <w:color w:val="000000"/>
          <w:sz w:val="24"/>
        </w:rPr>
        <w:t>bien</w:t>
      </w:r>
      <w:r>
        <w:rPr>
          <w:rFonts w:ascii="Georgia" w:hAnsi="Georgia"/>
          <w:bCs/>
          <w:color w:val="000000"/>
          <w:sz w:val="24"/>
        </w:rPr>
        <w:t xml:space="preserve"> circonscrite régulièr</w:t>
      </w:r>
      <w:r w:rsidR="00755ECF">
        <w:rPr>
          <w:rFonts w:ascii="Georgia" w:hAnsi="Georgia"/>
          <w:bCs/>
          <w:color w:val="000000"/>
          <w:sz w:val="24"/>
        </w:rPr>
        <w:t xml:space="preserve">e et non atténuante, estimée à </w:t>
      </w:r>
      <w:r>
        <w:rPr>
          <w:rFonts w:ascii="Georgia" w:hAnsi="Georgia"/>
          <w:bCs/>
          <w:color w:val="000000"/>
          <w:sz w:val="24"/>
        </w:rPr>
        <w:t>11x6,5 mm.</w:t>
      </w:r>
    </w:p>
    <w:p w:rsidR="002F04D1" w:rsidRDefault="002F04D1" w:rsidP="002F04D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2F04D1" w:rsidRDefault="002F04D1" w:rsidP="002F04D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2F04D1" w:rsidRDefault="002F04D1" w:rsidP="002F04D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 de morphologie conservée, d’allure inflammatoire.</w:t>
      </w:r>
    </w:p>
    <w:p w:rsidR="002F04D1" w:rsidRDefault="002F04D1" w:rsidP="002F04D1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2F04D1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2F04D1">
        <w:rPr>
          <w:rFonts w:ascii="Georgia" w:hAnsi="Georgia"/>
          <w:b/>
          <w:bCs/>
          <w:i/>
          <w:color w:val="000000"/>
          <w:sz w:val="24"/>
        </w:rPr>
        <w:t xml:space="preserve"> en faveur d’une masse du quadrant supéro interne droit à sémiologie bénigne faisant classer l’examen BI-RADS 3 de l'ACR.</w:t>
      </w:r>
    </w:p>
    <w:p w:rsidR="002F04D1" w:rsidRDefault="002F04D1" w:rsidP="002F0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du sein gauche classé BI-RADS 1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60E" w:rsidRDefault="009B260E" w:rsidP="00FF41A6">
      <w:r>
        <w:separator/>
      </w:r>
    </w:p>
  </w:endnote>
  <w:endnote w:type="continuationSeparator" w:id="0">
    <w:p w:rsidR="009B260E" w:rsidRDefault="009B260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60E" w:rsidRDefault="009B260E" w:rsidP="00FF41A6">
      <w:r>
        <w:separator/>
      </w:r>
    </w:p>
  </w:footnote>
  <w:footnote w:type="continuationSeparator" w:id="0">
    <w:p w:rsidR="009B260E" w:rsidRDefault="009B260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C5B82"/>
    <w:rsid w:val="00136EEF"/>
    <w:rsid w:val="00222ABE"/>
    <w:rsid w:val="00266C96"/>
    <w:rsid w:val="002B58CC"/>
    <w:rsid w:val="002F04D1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5ECF"/>
    <w:rsid w:val="007571A5"/>
    <w:rsid w:val="007F2AFE"/>
    <w:rsid w:val="008B1520"/>
    <w:rsid w:val="00915587"/>
    <w:rsid w:val="0096769E"/>
    <w:rsid w:val="009B260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66883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C6031F-5A92-408B-BB65-9C92F1E7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