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A26" w:rsidRDefault="00F700AF" w:rsidP="00A90B0A">
      <w:pPr>
        <w:rPr>
          <w:bCs/>
          <w:color w:val="000000"/>
          <w:sz w:val="24"/>
        </w:rPr>
      </w:pPr>
      <w:bookmarkStart w:id="0" w:name="_GoBack"/>
      <w:bookmarkEnd w:id="0"/>
      <w:r>
        <w:rPr>
          <w:bCs/>
          <w:color w:val="000000"/>
          <w:sz w:val="24"/>
        </w:rPr>
        <w:t xml:space="preserve"> </w:t>
      </w:r>
    </w:p>
    <w:p w:rsidR="00EB2A23" w:rsidRDefault="00EE4AA3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samedi 25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791059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pat-1176 51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F700AF" w:rsidRDefault="00EE4AA3" w:rsidP="00F700A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F700AF">
        <w:rPr>
          <w:b/>
          <w:i/>
          <w:iCs/>
          <w:color w:val="000000"/>
          <w:sz w:val="24"/>
        </w:rPr>
        <w:t>MAMMOGRAPHIE</w:t>
      </w:r>
      <w:r w:rsidR="00F700AF" w:rsidRPr="00F700AF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F700AF" w:rsidRDefault="00EB2A23">
      <w:pPr>
        <w:rPr>
          <w:b/>
          <w:color w:val="000000"/>
          <w:sz w:val="24"/>
          <w:szCs w:val="24"/>
        </w:rPr>
      </w:pPr>
      <w:r w:rsidRPr="00F700AF">
        <w:rPr>
          <w:b/>
          <w:iCs/>
          <w:color w:val="000000"/>
          <w:sz w:val="24"/>
          <w:szCs w:val="24"/>
          <w:u w:val="single"/>
        </w:rPr>
        <w:t>RESULTATS</w:t>
      </w:r>
      <w:r w:rsidRPr="00F700AF">
        <w:rPr>
          <w:b/>
          <w:i/>
          <w:color w:val="000000"/>
          <w:sz w:val="24"/>
          <w:szCs w:val="24"/>
        </w:rPr>
        <w:t>:</w:t>
      </w:r>
      <w:r w:rsidRPr="00F700AF">
        <w:rPr>
          <w:b/>
          <w:color w:val="000000"/>
          <w:sz w:val="24"/>
          <w:szCs w:val="24"/>
        </w:rPr>
        <w:t xml:space="preserve"> </w:t>
      </w:r>
    </w:p>
    <w:p w:rsidR="00EE4ACF" w:rsidRPr="00F700AF" w:rsidRDefault="00EE4ACF">
      <w:pPr>
        <w:rPr>
          <w:b/>
          <w:color w:val="000000"/>
          <w:sz w:val="24"/>
          <w:szCs w:val="24"/>
        </w:rPr>
      </w:pPr>
    </w:p>
    <w:p w:rsidR="00A90B0A" w:rsidRPr="00F700AF" w:rsidRDefault="00B00E2E" w:rsidP="00F700AF">
      <w:pPr>
        <w:ind w:firstLine="708"/>
        <w:rPr>
          <w:b/>
          <w:i/>
          <w:color w:val="000000"/>
          <w:sz w:val="24"/>
          <w:szCs w:val="24"/>
          <w:u w:val="single"/>
        </w:rPr>
      </w:pPr>
      <w:r w:rsidRPr="00F700AF">
        <w:rPr>
          <w:bCs/>
          <w:color w:val="000000"/>
          <w:sz w:val="24"/>
          <w:szCs w:val="24"/>
          <w:u w:val="single"/>
        </w:rPr>
        <w:t xml:space="preserve"> </w:t>
      </w:r>
      <w:r w:rsidR="00A90B0A" w:rsidRPr="00F700AF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F700AF" w:rsidRPr="00F700AF">
        <w:rPr>
          <w:b/>
          <w:bCs/>
          <w:i/>
          <w:color w:val="000000"/>
          <w:sz w:val="24"/>
          <w:szCs w:val="24"/>
          <w:u w:val="single"/>
        </w:rPr>
        <w:t> :</w:t>
      </w:r>
    </w:p>
    <w:p w:rsidR="00A90B0A" w:rsidRPr="00F700AF" w:rsidRDefault="00A90B0A" w:rsidP="00A90B0A">
      <w:pPr>
        <w:rPr>
          <w:bCs/>
          <w:color w:val="000000"/>
          <w:sz w:val="24"/>
          <w:szCs w:val="24"/>
        </w:rPr>
      </w:pPr>
      <w:r w:rsidRPr="00F700AF">
        <w:rPr>
          <w:bCs/>
          <w:color w:val="000000"/>
          <w:sz w:val="24"/>
          <w:szCs w:val="24"/>
        </w:rPr>
        <w:t>Seins à trame fibro-graisseuse hétérogène type b de l’ACR.</w:t>
      </w:r>
    </w:p>
    <w:p w:rsidR="00A90B0A" w:rsidRDefault="00251088" w:rsidP="003424B7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Présence au niveau du QII droit d’une masse de forme ovalaire, </w:t>
      </w:r>
      <w:r w:rsidR="00C87918">
        <w:rPr>
          <w:bCs/>
          <w:color w:val="000000"/>
          <w:sz w:val="24"/>
          <w:szCs w:val="24"/>
        </w:rPr>
        <w:t>a</w:t>
      </w:r>
      <w:r>
        <w:rPr>
          <w:bCs/>
          <w:color w:val="000000"/>
          <w:sz w:val="24"/>
          <w:szCs w:val="24"/>
        </w:rPr>
        <w:t xml:space="preserve">ux contours circonscrits, homogène, sans </w:t>
      </w:r>
      <w:r w:rsidR="006F5E66">
        <w:rPr>
          <w:bCs/>
          <w:color w:val="000000"/>
          <w:sz w:val="24"/>
          <w:szCs w:val="24"/>
        </w:rPr>
        <w:t>micro-calcifications</w:t>
      </w:r>
      <w:r w:rsidR="003424B7">
        <w:rPr>
          <w:bCs/>
          <w:color w:val="000000"/>
          <w:sz w:val="24"/>
          <w:szCs w:val="24"/>
        </w:rPr>
        <w:t xml:space="preserve"> </w:t>
      </w:r>
      <w:r>
        <w:rPr>
          <w:bCs/>
          <w:color w:val="000000"/>
          <w:sz w:val="24"/>
          <w:szCs w:val="24"/>
        </w:rPr>
        <w:t>en son sein.</w:t>
      </w:r>
    </w:p>
    <w:p w:rsidR="00251088" w:rsidRPr="00F700AF" w:rsidRDefault="00251088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 intra-mammaire du QSE gauche.</w:t>
      </w:r>
    </w:p>
    <w:p w:rsidR="00A90B0A" w:rsidRPr="00F700AF" w:rsidRDefault="00A90B0A" w:rsidP="00EB54A2">
      <w:pPr>
        <w:rPr>
          <w:bCs/>
          <w:color w:val="000000"/>
          <w:sz w:val="24"/>
          <w:szCs w:val="24"/>
        </w:rPr>
      </w:pPr>
      <w:r w:rsidRPr="00F700AF">
        <w:rPr>
          <w:bCs/>
          <w:color w:val="000000"/>
          <w:sz w:val="24"/>
          <w:szCs w:val="24"/>
        </w:rPr>
        <w:t>Absence de foyer de micro-calcifications péjoratif.</w:t>
      </w:r>
    </w:p>
    <w:p w:rsidR="00A90B0A" w:rsidRPr="00F700AF" w:rsidRDefault="00A90B0A" w:rsidP="00A90B0A">
      <w:pPr>
        <w:rPr>
          <w:bCs/>
          <w:color w:val="000000"/>
          <w:sz w:val="24"/>
          <w:szCs w:val="24"/>
        </w:rPr>
      </w:pPr>
      <w:r w:rsidRPr="00F700AF">
        <w:rPr>
          <w:bCs/>
          <w:color w:val="000000"/>
          <w:sz w:val="24"/>
          <w:szCs w:val="24"/>
        </w:rPr>
        <w:t xml:space="preserve">Liseré cutané fin et régulier. </w:t>
      </w:r>
    </w:p>
    <w:p w:rsidR="00A90B0A" w:rsidRPr="00F700AF" w:rsidRDefault="00A90B0A" w:rsidP="00A90B0A">
      <w:pPr>
        <w:rPr>
          <w:bCs/>
          <w:color w:val="000000"/>
          <w:sz w:val="24"/>
          <w:szCs w:val="24"/>
        </w:rPr>
      </w:pPr>
    </w:p>
    <w:p w:rsidR="00A90B0A" w:rsidRPr="00F700AF" w:rsidRDefault="00A90B0A" w:rsidP="00F700AF">
      <w:pPr>
        <w:ind w:firstLine="708"/>
        <w:rPr>
          <w:bCs/>
          <w:color w:val="000000"/>
          <w:sz w:val="24"/>
          <w:szCs w:val="24"/>
        </w:rPr>
      </w:pPr>
      <w:r w:rsidRPr="00F700AF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F700AF" w:rsidRPr="00F700AF">
        <w:rPr>
          <w:b/>
          <w:bCs/>
          <w:i/>
          <w:color w:val="000000"/>
          <w:sz w:val="24"/>
          <w:szCs w:val="24"/>
          <w:u w:val="single"/>
        </w:rPr>
        <w:t> :</w:t>
      </w:r>
      <w:r w:rsidRPr="00F700AF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A90B0A" w:rsidRDefault="00251088" w:rsidP="00A04761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La masse sus-déc</w:t>
      </w:r>
      <w:r w:rsidR="00EB54A2">
        <w:rPr>
          <w:bCs/>
          <w:color w:val="000000"/>
          <w:sz w:val="24"/>
          <w:szCs w:val="24"/>
        </w:rPr>
        <w:t>r</w:t>
      </w:r>
      <w:r>
        <w:rPr>
          <w:bCs/>
          <w:color w:val="000000"/>
          <w:sz w:val="24"/>
          <w:szCs w:val="24"/>
        </w:rPr>
        <w:t xml:space="preserve">ite correspond à une formation de forme lobulée, aux contours circonscrits, hypoéchogène homogène du QII droit, mesurant </w:t>
      </w:r>
      <w:r w:rsidR="00A04761">
        <w:rPr>
          <w:bCs/>
          <w:color w:val="000000"/>
          <w:sz w:val="24"/>
          <w:szCs w:val="24"/>
        </w:rPr>
        <w:t>9 mm.</w:t>
      </w:r>
    </w:p>
    <w:p w:rsidR="00251088" w:rsidRPr="00F700AF" w:rsidRDefault="00251088" w:rsidP="00A90B0A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Il s’y associe la présence au niveau du QSE gauche d’</w:t>
      </w:r>
      <w:r w:rsidR="00E01845">
        <w:rPr>
          <w:bCs/>
          <w:color w:val="000000"/>
          <w:sz w:val="24"/>
          <w:szCs w:val="24"/>
        </w:rPr>
        <w:t>un gang</w:t>
      </w:r>
      <w:r>
        <w:rPr>
          <w:bCs/>
          <w:color w:val="000000"/>
          <w:sz w:val="24"/>
          <w:szCs w:val="24"/>
        </w:rPr>
        <w:t>lion intra-mammaire de morphologie conservée, mesurant 4 mm de grand axe.</w:t>
      </w:r>
    </w:p>
    <w:p w:rsidR="00A90B0A" w:rsidRPr="00F700AF" w:rsidRDefault="00A90B0A" w:rsidP="00A90B0A">
      <w:pPr>
        <w:rPr>
          <w:bCs/>
          <w:color w:val="000000"/>
          <w:sz w:val="24"/>
          <w:szCs w:val="24"/>
        </w:rPr>
      </w:pPr>
      <w:r w:rsidRPr="00F700AF">
        <w:rPr>
          <w:bCs/>
          <w:color w:val="000000"/>
          <w:sz w:val="24"/>
          <w:szCs w:val="24"/>
        </w:rPr>
        <w:t>Absence d’ombre acoustique pathologique.</w:t>
      </w:r>
    </w:p>
    <w:p w:rsidR="00A90B0A" w:rsidRPr="00F700AF" w:rsidRDefault="00A90B0A" w:rsidP="00430462">
      <w:pPr>
        <w:rPr>
          <w:bCs/>
          <w:color w:val="000000"/>
          <w:sz w:val="24"/>
          <w:szCs w:val="24"/>
        </w:rPr>
      </w:pPr>
      <w:r w:rsidRPr="00F700AF">
        <w:rPr>
          <w:bCs/>
          <w:color w:val="000000"/>
          <w:sz w:val="24"/>
          <w:szCs w:val="24"/>
        </w:rPr>
        <w:t>Système canalaire non dilaté.</w:t>
      </w:r>
    </w:p>
    <w:p w:rsidR="00A90B0A" w:rsidRPr="00F700AF" w:rsidRDefault="00A90B0A" w:rsidP="00A90B0A">
      <w:pPr>
        <w:rPr>
          <w:bCs/>
          <w:color w:val="000000"/>
          <w:sz w:val="24"/>
          <w:szCs w:val="24"/>
        </w:rPr>
      </w:pPr>
      <w:r w:rsidRPr="00F700AF">
        <w:rPr>
          <w:bCs/>
          <w:color w:val="000000"/>
          <w:sz w:val="24"/>
          <w:szCs w:val="24"/>
        </w:rPr>
        <w:t>Absence d’adénopathies axillaires.</w:t>
      </w:r>
    </w:p>
    <w:p w:rsidR="00A90B0A" w:rsidRPr="00F700AF" w:rsidRDefault="00A90B0A" w:rsidP="00A90B0A">
      <w:pPr>
        <w:rPr>
          <w:bCs/>
          <w:color w:val="000000"/>
          <w:sz w:val="24"/>
          <w:szCs w:val="24"/>
        </w:rPr>
      </w:pPr>
    </w:p>
    <w:p w:rsidR="00A90B0A" w:rsidRPr="00F700AF" w:rsidRDefault="00F700AF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F700AF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F700AF">
        <w:rPr>
          <w:b/>
          <w:bCs/>
          <w:iCs/>
          <w:color w:val="000000"/>
          <w:sz w:val="24"/>
          <w:szCs w:val="24"/>
        </w:rPr>
        <w:t xml:space="preserve"> :</w:t>
      </w:r>
    </w:p>
    <w:p w:rsidR="00A90B0A" w:rsidRPr="00F700AF" w:rsidRDefault="003754DF" w:rsidP="001C5E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F700AF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 w:rsidR="00FF52AA">
        <w:rPr>
          <w:b/>
          <w:bCs/>
          <w:i/>
          <w:color w:val="000000"/>
          <w:sz w:val="24"/>
          <w:szCs w:val="24"/>
        </w:rPr>
        <w:t>en faveur d’une masse mammaire droite et d’un ganglion intra-mammaire gauche.</w:t>
      </w:r>
    </w:p>
    <w:p w:rsidR="00A90B0A" w:rsidRPr="00F700AF" w:rsidRDefault="003754DF" w:rsidP="001C5E4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A90B0A" w:rsidRPr="00F700AF">
        <w:rPr>
          <w:b/>
          <w:bCs/>
          <w:i/>
          <w:color w:val="000000"/>
          <w:sz w:val="24"/>
          <w:szCs w:val="24"/>
        </w:rPr>
        <w:t xml:space="preserve">Examen classé BI-RADS </w:t>
      </w:r>
      <w:r w:rsidR="001C5E4A">
        <w:rPr>
          <w:b/>
          <w:bCs/>
          <w:i/>
          <w:color w:val="000000"/>
          <w:sz w:val="24"/>
          <w:szCs w:val="24"/>
        </w:rPr>
        <w:t>3</w:t>
      </w:r>
      <w:r w:rsidR="00A90B0A" w:rsidRPr="00F700AF">
        <w:rPr>
          <w:b/>
          <w:bCs/>
          <w:i/>
          <w:color w:val="000000"/>
          <w:sz w:val="24"/>
          <w:szCs w:val="24"/>
        </w:rPr>
        <w:t xml:space="preserve"> de l’ACR</w:t>
      </w:r>
      <w:r w:rsidR="001C5E4A">
        <w:rPr>
          <w:b/>
          <w:bCs/>
          <w:i/>
          <w:color w:val="000000"/>
          <w:sz w:val="24"/>
          <w:szCs w:val="24"/>
        </w:rPr>
        <w:t xml:space="preserve"> à droite et BI-RADS 2 de l'ACR à gauche</w:t>
      </w:r>
      <w:r w:rsidR="00A90B0A" w:rsidRPr="00F700AF">
        <w:rPr>
          <w:b/>
          <w:bCs/>
          <w:i/>
          <w:color w:val="000000"/>
          <w:sz w:val="24"/>
          <w:szCs w:val="24"/>
        </w:rPr>
        <w:t>.</w:t>
      </w:r>
    </w:p>
    <w:p w:rsidR="00EE4ACF" w:rsidRPr="00F700AF" w:rsidRDefault="003754DF" w:rsidP="00A90B0A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Cs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1C5E4A">
        <w:rPr>
          <w:b/>
          <w:bCs/>
          <w:i/>
          <w:color w:val="000000"/>
          <w:sz w:val="24"/>
          <w:szCs w:val="24"/>
        </w:rPr>
        <w:t>A recontrôler entre 04 et 06 mois.</w:t>
      </w:r>
    </w:p>
    <w:p w:rsidR="00EB2A23" w:rsidRPr="00F700AF" w:rsidRDefault="00BC18CE">
      <w:pPr>
        <w:tabs>
          <w:tab w:val="left" w:pos="3686"/>
        </w:tabs>
        <w:rPr>
          <w:sz w:val="24"/>
          <w:szCs w:val="24"/>
        </w:rPr>
      </w:pPr>
      <w:r w:rsidRPr="00F700AF">
        <w:rPr>
          <w:b/>
          <w:i/>
          <w:color w:val="000000"/>
          <w:sz w:val="24"/>
          <w:szCs w:val="24"/>
        </w:rPr>
        <w:t xml:space="preserve"> </w:t>
      </w:r>
    </w:p>
    <w:p w:rsidR="00EB2A23" w:rsidRDefault="00EB2A23">
      <w:pPr>
        <w:tabs>
          <w:tab w:val="left" w:pos="3686"/>
        </w:tabs>
        <w:rPr>
          <w:sz w:val="24"/>
          <w:szCs w:val="24"/>
        </w:rPr>
      </w:pPr>
    </w:p>
    <w:p w:rsidR="00F700AF" w:rsidRDefault="00F700AF">
      <w:pPr>
        <w:tabs>
          <w:tab w:val="left" w:pos="3686"/>
        </w:tabs>
        <w:rPr>
          <w:sz w:val="24"/>
          <w:szCs w:val="24"/>
        </w:rPr>
      </w:pPr>
    </w:p>
    <w:p w:rsidR="004C17E7" w:rsidRPr="00F700AF" w:rsidRDefault="004C17E7">
      <w:pPr>
        <w:tabs>
          <w:tab w:val="left" w:pos="3686"/>
        </w:tabs>
        <w:rPr>
          <w:sz w:val="24"/>
          <w:szCs w:val="24"/>
        </w:rPr>
      </w:pPr>
    </w:p>
    <w:p w:rsidR="00EB2A23" w:rsidRPr="00F700AF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EB2A23" w:rsidRPr="00F700AF" w:rsidRDefault="00EB2A23">
      <w:pPr>
        <w:rPr>
          <w:b/>
          <w:color w:val="000000"/>
          <w:sz w:val="24"/>
          <w:szCs w:val="24"/>
        </w:rPr>
      </w:pPr>
    </w:p>
    <w:p w:rsidR="00EB2A23" w:rsidRPr="00F700AF" w:rsidRDefault="00EB2A23">
      <w:pPr>
        <w:rPr>
          <w:sz w:val="24"/>
          <w:szCs w:val="24"/>
        </w:rPr>
      </w:pPr>
    </w:p>
    <w:p w:rsidR="00EB2A23" w:rsidRPr="00F700AF" w:rsidRDefault="00EB2A23">
      <w:pPr>
        <w:rPr>
          <w:sz w:val="24"/>
          <w:szCs w:val="24"/>
        </w:rPr>
      </w:pPr>
    </w:p>
    <w:p w:rsidR="00320AF6" w:rsidRPr="00F700AF" w:rsidRDefault="00320AF6">
      <w:pPr>
        <w:rPr>
          <w:sz w:val="24"/>
          <w:szCs w:val="24"/>
        </w:rPr>
      </w:pPr>
    </w:p>
    <w:sectPr w:rsidR="00320AF6" w:rsidRPr="00F700AF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726" w:rsidRDefault="00E11726" w:rsidP="00FF41A6">
      <w:r>
        <w:separator/>
      </w:r>
    </w:p>
  </w:endnote>
  <w:endnote w:type="continuationSeparator" w:id="0">
    <w:p w:rsidR="00E11726" w:rsidRDefault="00E1172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726" w:rsidRDefault="00E11726" w:rsidP="00FF41A6">
      <w:r>
        <w:separator/>
      </w:r>
    </w:p>
  </w:footnote>
  <w:footnote w:type="continuationSeparator" w:id="0">
    <w:p w:rsidR="00E11726" w:rsidRDefault="00E1172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90B0A"/>
    <w:rsid w:val="00013B16"/>
    <w:rsid w:val="00094E5E"/>
    <w:rsid w:val="000A78EE"/>
    <w:rsid w:val="000B3F3C"/>
    <w:rsid w:val="000B7A8F"/>
    <w:rsid w:val="00136EEF"/>
    <w:rsid w:val="001C5E4A"/>
    <w:rsid w:val="00251088"/>
    <w:rsid w:val="00266C96"/>
    <w:rsid w:val="00291FF6"/>
    <w:rsid w:val="002B58CC"/>
    <w:rsid w:val="00320AF6"/>
    <w:rsid w:val="003424B7"/>
    <w:rsid w:val="003754DF"/>
    <w:rsid w:val="0038353D"/>
    <w:rsid w:val="00397A26"/>
    <w:rsid w:val="004038CE"/>
    <w:rsid w:val="00413297"/>
    <w:rsid w:val="00425DD9"/>
    <w:rsid w:val="00430462"/>
    <w:rsid w:val="00483B47"/>
    <w:rsid w:val="00487E9D"/>
    <w:rsid w:val="004C17E7"/>
    <w:rsid w:val="004E0DFB"/>
    <w:rsid w:val="004E1488"/>
    <w:rsid w:val="005018C7"/>
    <w:rsid w:val="0055089C"/>
    <w:rsid w:val="005B0C00"/>
    <w:rsid w:val="006925A3"/>
    <w:rsid w:val="00693E1B"/>
    <w:rsid w:val="006A5983"/>
    <w:rsid w:val="006E396B"/>
    <w:rsid w:val="006F5E66"/>
    <w:rsid w:val="007571A5"/>
    <w:rsid w:val="00791059"/>
    <w:rsid w:val="007F2AFE"/>
    <w:rsid w:val="008B1520"/>
    <w:rsid w:val="00915587"/>
    <w:rsid w:val="00991837"/>
    <w:rsid w:val="00A04761"/>
    <w:rsid w:val="00A11F2B"/>
    <w:rsid w:val="00A76F00"/>
    <w:rsid w:val="00A90B0A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7676D"/>
    <w:rsid w:val="00C87918"/>
    <w:rsid w:val="00CD057F"/>
    <w:rsid w:val="00CE2491"/>
    <w:rsid w:val="00D159C3"/>
    <w:rsid w:val="00D77CF5"/>
    <w:rsid w:val="00DB660D"/>
    <w:rsid w:val="00DC7E65"/>
    <w:rsid w:val="00DE3E17"/>
    <w:rsid w:val="00E01845"/>
    <w:rsid w:val="00E11726"/>
    <w:rsid w:val="00E25639"/>
    <w:rsid w:val="00E31EF8"/>
    <w:rsid w:val="00EB2A23"/>
    <w:rsid w:val="00EB54A2"/>
    <w:rsid w:val="00EE4AA3"/>
    <w:rsid w:val="00EE4ACF"/>
    <w:rsid w:val="00F45755"/>
    <w:rsid w:val="00F515B5"/>
    <w:rsid w:val="00F700AF"/>
    <w:rsid w:val="00F7627E"/>
    <w:rsid w:val="00FB18E1"/>
    <w:rsid w:val="00FF41A6"/>
    <w:rsid w:val="00FF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A784E84-DBB1-48A8-83CE-86CDA8DD1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1146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2023-09-19T19:12:00Z</dcterms:created>
  <dcterms:modified xsi:type="dcterms:W3CDTF">2023-09-19T19:12:00Z</dcterms:modified>
</cp:coreProperties>
</file>