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52A34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18 juillet 2023</w:t>
      </w:r>
    </w:p>
    <w:p w:rsidR="007273A5" w:rsidRDefault="007273A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051C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pat-118 57 ANS </w:t>
      </w:r>
    </w:p>
    <w:p w:rsidR="00397A26" w:rsidRDefault="00397A26">
      <w:pPr>
        <w:rPr>
          <w:b/>
          <w:bCs/>
        </w:rPr>
      </w:pPr>
    </w:p>
    <w:p w:rsidR="00EB2A23" w:rsidRDefault="00B52A3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943619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7273A5">
        <w:rPr>
          <w:sz w:val="24"/>
          <w:szCs w:val="24"/>
        </w:rPr>
        <w:t xml:space="preserve">graisseux hétérogènes type  </w:t>
      </w:r>
      <w:r w:rsidR="00943619">
        <w:rPr>
          <w:sz w:val="24"/>
          <w:szCs w:val="24"/>
        </w:rPr>
        <w:t>b</w:t>
      </w:r>
      <w:r w:rsidR="007273A5">
        <w:rPr>
          <w:sz w:val="24"/>
          <w:szCs w:val="24"/>
        </w:rPr>
        <w:t xml:space="preserve"> </w:t>
      </w:r>
      <w:r>
        <w:rPr>
          <w:sz w:val="24"/>
          <w:szCs w:val="24"/>
        </w:rPr>
        <w:t>de l’ACR.</w:t>
      </w:r>
    </w:p>
    <w:p w:rsidR="007273A5" w:rsidRDefault="007273A5" w:rsidP="007273A5">
      <w:pPr>
        <w:rPr>
          <w:sz w:val="24"/>
          <w:szCs w:val="24"/>
        </w:rPr>
      </w:pPr>
    </w:p>
    <w:p w:rsidR="007273A5" w:rsidRDefault="007273A5" w:rsidP="00943619">
      <w:pPr>
        <w:rPr>
          <w:sz w:val="24"/>
          <w:szCs w:val="24"/>
        </w:rPr>
      </w:pPr>
      <w:r>
        <w:rPr>
          <w:sz w:val="24"/>
          <w:szCs w:val="24"/>
        </w:rPr>
        <w:t xml:space="preserve">Mise en évidence </w:t>
      </w:r>
      <w:r w:rsidR="00943619">
        <w:rPr>
          <w:sz w:val="24"/>
          <w:szCs w:val="24"/>
        </w:rPr>
        <w:t xml:space="preserve">au niveau </w:t>
      </w:r>
      <w:r>
        <w:rPr>
          <w:sz w:val="24"/>
          <w:szCs w:val="24"/>
        </w:rPr>
        <w:t xml:space="preserve">du QME du sein droit d’une opacité </w:t>
      </w:r>
      <w:r w:rsidR="00943619">
        <w:rPr>
          <w:sz w:val="24"/>
          <w:szCs w:val="24"/>
        </w:rPr>
        <w:t>de densité élevée</w:t>
      </w:r>
      <w:r w:rsidR="00943619" w:rsidRPr="00943619">
        <w:rPr>
          <w:sz w:val="24"/>
          <w:szCs w:val="24"/>
        </w:rPr>
        <w:t xml:space="preserve"> </w:t>
      </w:r>
      <w:r w:rsidR="00943619">
        <w:rPr>
          <w:sz w:val="24"/>
          <w:szCs w:val="24"/>
        </w:rPr>
        <w:t xml:space="preserve">siège de micro calcifications éparses, </w:t>
      </w:r>
      <w:r>
        <w:rPr>
          <w:sz w:val="24"/>
          <w:szCs w:val="24"/>
        </w:rPr>
        <w:t>faite d’une partie arrondie bilobé</w:t>
      </w:r>
      <w:r w:rsidR="0067541B">
        <w:rPr>
          <w:sz w:val="24"/>
          <w:szCs w:val="24"/>
        </w:rPr>
        <w:t>e</w:t>
      </w:r>
      <w:r w:rsidR="00943619">
        <w:rPr>
          <w:sz w:val="24"/>
          <w:szCs w:val="24"/>
        </w:rPr>
        <w:t>, et</w:t>
      </w:r>
      <w:r>
        <w:rPr>
          <w:sz w:val="24"/>
          <w:szCs w:val="24"/>
        </w:rPr>
        <w:t xml:space="preserve"> d’une autre partie contigüe de forme </w:t>
      </w:r>
      <w:r w:rsidR="00943619">
        <w:rPr>
          <w:sz w:val="24"/>
          <w:szCs w:val="24"/>
        </w:rPr>
        <w:t>irrégulière</w:t>
      </w:r>
      <w:r>
        <w:rPr>
          <w:sz w:val="24"/>
          <w:szCs w:val="24"/>
        </w:rPr>
        <w:t xml:space="preserve"> à contours spiculés.</w:t>
      </w:r>
    </w:p>
    <w:p w:rsidR="00183ACC" w:rsidRDefault="007273A5" w:rsidP="007273A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273A5" w:rsidRDefault="007273A5" w:rsidP="007273A5">
      <w:pPr>
        <w:rPr>
          <w:sz w:val="24"/>
          <w:szCs w:val="24"/>
        </w:rPr>
      </w:pPr>
      <w:r>
        <w:rPr>
          <w:sz w:val="24"/>
          <w:szCs w:val="24"/>
        </w:rPr>
        <w:t>Présence également au niveau du QSE</w:t>
      </w:r>
      <w:r w:rsidR="00943619">
        <w:rPr>
          <w:sz w:val="24"/>
          <w:szCs w:val="24"/>
        </w:rPr>
        <w:t xml:space="preserve"> du sein gauche</w:t>
      </w:r>
      <w:r>
        <w:rPr>
          <w:sz w:val="24"/>
          <w:szCs w:val="24"/>
        </w:rPr>
        <w:t xml:space="preserve"> de deux opacités ovalaire</w:t>
      </w:r>
      <w:r w:rsidR="00412A97">
        <w:rPr>
          <w:sz w:val="24"/>
          <w:szCs w:val="24"/>
        </w:rPr>
        <w:t>s</w:t>
      </w:r>
      <w:r w:rsidR="00943619">
        <w:rPr>
          <w:sz w:val="24"/>
          <w:szCs w:val="24"/>
        </w:rPr>
        <w:t xml:space="preserve"> à centre clair</w:t>
      </w:r>
      <w:r w:rsidR="00412A97">
        <w:rPr>
          <w:sz w:val="24"/>
          <w:szCs w:val="24"/>
        </w:rPr>
        <w:t xml:space="preserve">, correspondant </w:t>
      </w:r>
      <w:r>
        <w:rPr>
          <w:sz w:val="24"/>
          <w:szCs w:val="24"/>
        </w:rPr>
        <w:t xml:space="preserve"> probablement à des ganglions intra mammaires.</w:t>
      </w:r>
    </w:p>
    <w:p w:rsidR="007273A5" w:rsidRDefault="007273A5" w:rsidP="007273A5">
      <w:pPr>
        <w:rPr>
          <w:sz w:val="24"/>
          <w:szCs w:val="24"/>
        </w:rPr>
      </w:pPr>
    </w:p>
    <w:p w:rsidR="007273A5" w:rsidRDefault="007273A5" w:rsidP="00943619">
      <w:pPr>
        <w:rPr>
          <w:sz w:val="24"/>
          <w:szCs w:val="24"/>
        </w:rPr>
      </w:pPr>
      <w:r>
        <w:rPr>
          <w:sz w:val="24"/>
          <w:szCs w:val="24"/>
        </w:rPr>
        <w:t>Micro</w:t>
      </w:r>
      <w:r w:rsidR="00A44EC5">
        <w:rPr>
          <w:sz w:val="24"/>
          <w:szCs w:val="24"/>
        </w:rPr>
        <w:t>-</w:t>
      </w:r>
      <w:r>
        <w:rPr>
          <w:sz w:val="24"/>
          <w:szCs w:val="24"/>
        </w:rPr>
        <w:t>calcification</w:t>
      </w:r>
      <w:r w:rsidR="00A44EC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A44EC5">
        <w:rPr>
          <w:sz w:val="24"/>
          <w:szCs w:val="24"/>
        </w:rPr>
        <w:t>épar</w:t>
      </w:r>
      <w:r>
        <w:rPr>
          <w:sz w:val="24"/>
          <w:szCs w:val="24"/>
        </w:rPr>
        <w:t>s</w:t>
      </w:r>
      <w:r w:rsidR="00A44EC5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943619">
        <w:rPr>
          <w:sz w:val="24"/>
          <w:szCs w:val="24"/>
        </w:rPr>
        <w:t xml:space="preserve">bilatérale </w:t>
      </w:r>
      <w:r>
        <w:rPr>
          <w:sz w:val="24"/>
          <w:szCs w:val="24"/>
        </w:rPr>
        <w:t>d’allure dystrophique.</w:t>
      </w:r>
    </w:p>
    <w:p w:rsidR="007273A5" w:rsidRDefault="007273A5" w:rsidP="007273A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43619" w:rsidRDefault="002E3E65" w:rsidP="00943619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7273A5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objective</w:t>
      </w:r>
      <w:r w:rsidR="007273A5">
        <w:rPr>
          <w:b/>
          <w:i/>
          <w:sz w:val="24"/>
          <w:szCs w:val="24"/>
        </w:rPr>
        <w:t xml:space="preserve"> </w:t>
      </w:r>
      <w:r w:rsidR="00183ACC">
        <w:rPr>
          <w:sz w:val="24"/>
          <w:szCs w:val="24"/>
        </w:rPr>
        <w:t xml:space="preserve"> </w:t>
      </w:r>
      <w:r w:rsidR="007273A5">
        <w:rPr>
          <w:sz w:val="24"/>
          <w:szCs w:val="24"/>
        </w:rPr>
        <w:t xml:space="preserve">la lésion décrite en médio-externe droit </w:t>
      </w:r>
      <w:r w:rsidR="00A44EC5">
        <w:rPr>
          <w:sz w:val="24"/>
          <w:szCs w:val="24"/>
        </w:rPr>
        <w:t>correspondant</w:t>
      </w:r>
      <w:r w:rsidR="007273A5">
        <w:rPr>
          <w:sz w:val="24"/>
          <w:szCs w:val="24"/>
        </w:rPr>
        <w:t xml:space="preserve"> à une masse comportant une portion tissulaire </w:t>
      </w:r>
      <w:r w:rsidR="00943619">
        <w:rPr>
          <w:sz w:val="24"/>
          <w:szCs w:val="24"/>
        </w:rPr>
        <w:t xml:space="preserve">hypoéchogène </w:t>
      </w:r>
      <w:r w:rsidR="007273A5">
        <w:rPr>
          <w:sz w:val="24"/>
          <w:szCs w:val="24"/>
        </w:rPr>
        <w:t xml:space="preserve">de forme </w:t>
      </w:r>
      <w:r w:rsidR="00A44EC5">
        <w:rPr>
          <w:sz w:val="24"/>
          <w:szCs w:val="24"/>
        </w:rPr>
        <w:t>irrégulière</w:t>
      </w:r>
      <w:r w:rsidR="00943619">
        <w:rPr>
          <w:sz w:val="24"/>
          <w:szCs w:val="24"/>
        </w:rPr>
        <w:t>,</w:t>
      </w:r>
      <w:r w:rsidR="007273A5">
        <w:rPr>
          <w:sz w:val="24"/>
          <w:szCs w:val="24"/>
        </w:rPr>
        <w:t xml:space="preserve"> à contours </w:t>
      </w:r>
      <w:r w:rsidR="00A44EC5">
        <w:rPr>
          <w:sz w:val="24"/>
          <w:szCs w:val="24"/>
        </w:rPr>
        <w:t>anfractueux</w:t>
      </w:r>
      <w:r w:rsidR="00943619" w:rsidRPr="00943619">
        <w:rPr>
          <w:sz w:val="24"/>
          <w:szCs w:val="24"/>
        </w:rPr>
        <w:t xml:space="preserve"> </w:t>
      </w:r>
      <w:r w:rsidR="00943619">
        <w:rPr>
          <w:sz w:val="24"/>
          <w:szCs w:val="24"/>
        </w:rPr>
        <w:t>mesuré à 19x06mm,</w:t>
      </w:r>
      <w:r w:rsidR="007273A5">
        <w:rPr>
          <w:sz w:val="24"/>
          <w:szCs w:val="24"/>
        </w:rPr>
        <w:t xml:space="preserve"> entouré</w:t>
      </w:r>
      <w:r w:rsidR="00A44EC5">
        <w:rPr>
          <w:sz w:val="24"/>
          <w:szCs w:val="24"/>
        </w:rPr>
        <w:t>e</w:t>
      </w:r>
      <w:r w:rsidR="007273A5">
        <w:rPr>
          <w:sz w:val="24"/>
          <w:szCs w:val="24"/>
        </w:rPr>
        <w:t xml:space="preserve"> par un l</w:t>
      </w:r>
      <w:r w:rsidR="00943619">
        <w:rPr>
          <w:sz w:val="24"/>
          <w:szCs w:val="24"/>
        </w:rPr>
        <w:t>i</w:t>
      </w:r>
      <w:r w:rsidR="007273A5">
        <w:rPr>
          <w:sz w:val="24"/>
          <w:szCs w:val="24"/>
        </w:rPr>
        <w:t xml:space="preserve">seré </w:t>
      </w:r>
      <w:r w:rsidR="00943619">
        <w:rPr>
          <w:sz w:val="24"/>
          <w:szCs w:val="24"/>
        </w:rPr>
        <w:t xml:space="preserve">périphérique </w:t>
      </w:r>
      <w:r w:rsidR="00A44EC5">
        <w:rPr>
          <w:sz w:val="24"/>
          <w:szCs w:val="24"/>
        </w:rPr>
        <w:t>hyperéchogène</w:t>
      </w:r>
      <w:r w:rsidR="00943619">
        <w:rPr>
          <w:sz w:val="24"/>
          <w:szCs w:val="24"/>
        </w:rPr>
        <w:t>.</w:t>
      </w:r>
    </w:p>
    <w:p w:rsidR="002E3E65" w:rsidRDefault="00943619" w:rsidP="00803C6A">
      <w:pPr>
        <w:rPr>
          <w:sz w:val="24"/>
          <w:szCs w:val="24"/>
        </w:rPr>
      </w:pPr>
      <w:r>
        <w:rPr>
          <w:sz w:val="24"/>
          <w:szCs w:val="24"/>
        </w:rPr>
        <w:t xml:space="preserve">Il s’y </w:t>
      </w:r>
      <w:r w:rsidR="007273A5">
        <w:rPr>
          <w:sz w:val="24"/>
          <w:szCs w:val="24"/>
        </w:rPr>
        <w:t xml:space="preserve"> associ</w:t>
      </w:r>
      <w:r>
        <w:rPr>
          <w:sz w:val="24"/>
          <w:szCs w:val="24"/>
        </w:rPr>
        <w:t>e</w:t>
      </w:r>
      <w:r w:rsidR="007273A5">
        <w:rPr>
          <w:sz w:val="24"/>
          <w:szCs w:val="24"/>
        </w:rPr>
        <w:t xml:space="preserve"> une </w:t>
      </w:r>
      <w:r>
        <w:rPr>
          <w:sz w:val="24"/>
          <w:szCs w:val="24"/>
        </w:rPr>
        <w:t>notre</w:t>
      </w:r>
      <w:r w:rsidR="007273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portion </w:t>
      </w:r>
      <w:r w:rsidR="007273A5">
        <w:rPr>
          <w:sz w:val="24"/>
          <w:szCs w:val="24"/>
        </w:rPr>
        <w:t>kystique bilobé</w:t>
      </w:r>
      <w:r>
        <w:rPr>
          <w:sz w:val="24"/>
          <w:szCs w:val="24"/>
        </w:rPr>
        <w:t>e</w:t>
      </w:r>
      <w:r w:rsidR="00803C6A">
        <w:rPr>
          <w:sz w:val="24"/>
          <w:szCs w:val="24"/>
        </w:rPr>
        <w:t>, dont</w:t>
      </w:r>
      <w:r w:rsidR="007273A5">
        <w:rPr>
          <w:sz w:val="24"/>
          <w:szCs w:val="24"/>
        </w:rPr>
        <w:t xml:space="preserve"> la plus </w:t>
      </w:r>
      <w:r w:rsidR="00A44EC5">
        <w:rPr>
          <w:sz w:val="24"/>
          <w:szCs w:val="24"/>
        </w:rPr>
        <w:t>volumineuse</w:t>
      </w:r>
      <w:r w:rsidR="007273A5">
        <w:rPr>
          <w:sz w:val="24"/>
          <w:szCs w:val="24"/>
        </w:rPr>
        <w:t xml:space="preserve"> </w:t>
      </w:r>
      <w:r w:rsidR="00803C6A">
        <w:rPr>
          <w:sz w:val="24"/>
          <w:szCs w:val="24"/>
        </w:rPr>
        <w:t xml:space="preserve">mesurée à 20x18mm, </w:t>
      </w:r>
      <w:r>
        <w:rPr>
          <w:sz w:val="24"/>
          <w:szCs w:val="24"/>
        </w:rPr>
        <w:t>présentant</w:t>
      </w:r>
      <w:r w:rsidR="007273A5">
        <w:rPr>
          <w:sz w:val="24"/>
          <w:szCs w:val="24"/>
        </w:rPr>
        <w:t xml:space="preserve"> un épaississement pariétal irrégulier </w:t>
      </w:r>
      <w:r>
        <w:rPr>
          <w:sz w:val="24"/>
          <w:szCs w:val="24"/>
        </w:rPr>
        <w:t>ainsi</w:t>
      </w:r>
      <w:r w:rsidR="007273A5">
        <w:rPr>
          <w:sz w:val="24"/>
          <w:szCs w:val="24"/>
        </w:rPr>
        <w:t xml:space="preserve"> qu’un contenu d’allure tissulaire</w:t>
      </w:r>
      <w:r w:rsidR="00803C6A">
        <w:rPr>
          <w:sz w:val="24"/>
          <w:szCs w:val="24"/>
        </w:rPr>
        <w:t>, l</w:t>
      </w:r>
      <w:r w:rsidR="008D395B">
        <w:rPr>
          <w:sz w:val="24"/>
          <w:szCs w:val="24"/>
        </w:rPr>
        <w:t xml:space="preserve">’autre partie présente un </w:t>
      </w:r>
      <w:r>
        <w:rPr>
          <w:sz w:val="24"/>
          <w:szCs w:val="24"/>
        </w:rPr>
        <w:t>contenu</w:t>
      </w:r>
      <w:r w:rsidR="008D395B">
        <w:rPr>
          <w:sz w:val="24"/>
          <w:szCs w:val="24"/>
        </w:rPr>
        <w:t xml:space="preserve"> finement </w:t>
      </w:r>
      <w:r>
        <w:rPr>
          <w:sz w:val="24"/>
          <w:szCs w:val="24"/>
        </w:rPr>
        <w:t>échogène</w:t>
      </w:r>
      <w:r w:rsidR="008D395B">
        <w:rPr>
          <w:sz w:val="24"/>
          <w:szCs w:val="24"/>
        </w:rPr>
        <w:t xml:space="preserve"> </w:t>
      </w:r>
      <w:r w:rsidR="002E3E65">
        <w:rPr>
          <w:sz w:val="24"/>
          <w:szCs w:val="24"/>
        </w:rPr>
        <w:t xml:space="preserve">mesuré à </w:t>
      </w:r>
      <w:r w:rsidR="00803C6A">
        <w:rPr>
          <w:sz w:val="24"/>
          <w:szCs w:val="24"/>
        </w:rPr>
        <w:t>13x12mm.</w:t>
      </w:r>
    </w:p>
    <w:p w:rsidR="002E3E65" w:rsidRDefault="00943619" w:rsidP="00803C6A">
      <w:pPr>
        <w:rPr>
          <w:sz w:val="24"/>
          <w:szCs w:val="24"/>
        </w:rPr>
      </w:pPr>
      <w:r>
        <w:rPr>
          <w:sz w:val="24"/>
          <w:szCs w:val="24"/>
        </w:rPr>
        <w:t>Discrète den</w:t>
      </w:r>
      <w:r w:rsidR="002E3E65">
        <w:rPr>
          <w:sz w:val="24"/>
          <w:szCs w:val="24"/>
        </w:rPr>
        <w:t>sification péri-lésionnelle</w:t>
      </w:r>
      <w:r>
        <w:rPr>
          <w:sz w:val="24"/>
          <w:szCs w:val="24"/>
        </w:rPr>
        <w:t>.</w:t>
      </w:r>
    </w:p>
    <w:p w:rsidR="00803C6A" w:rsidRDefault="00803C6A" w:rsidP="00803C6A">
      <w:pPr>
        <w:rPr>
          <w:sz w:val="24"/>
          <w:szCs w:val="24"/>
        </w:rPr>
      </w:pPr>
    </w:p>
    <w:p w:rsidR="002E3E65" w:rsidRDefault="002E3E65" w:rsidP="00803C6A">
      <w:pPr>
        <w:rPr>
          <w:sz w:val="24"/>
          <w:szCs w:val="24"/>
        </w:rPr>
      </w:pPr>
      <w:r>
        <w:rPr>
          <w:sz w:val="24"/>
          <w:szCs w:val="24"/>
        </w:rPr>
        <w:t>Les opacités décrites</w:t>
      </w:r>
      <w:r w:rsidR="00943619">
        <w:rPr>
          <w:sz w:val="24"/>
          <w:szCs w:val="24"/>
        </w:rPr>
        <w:t xml:space="preserve"> au niveau du QSE gau</w:t>
      </w:r>
      <w:r>
        <w:rPr>
          <w:sz w:val="24"/>
          <w:szCs w:val="24"/>
        </w:rPr>
        <w:t xml:space="preserve">che </w:t>
      </w:r>
      <w:r w:rsidR="00803C6A">
        <w:rPr>
          <w:sz w:val="24"/>
          <w:szCs w:val="24"/>
        </w:rPr>
        <w:t>correspondent</w:t>
      </w:r>
      <w:r>
        <w:rPr>
          <w:sz w:val="24"/>
          <w:szCs w:val="24"/>
        </w:rPr>
        <w:t xml:space="preserve"> </w:t>
      </w:r>
      <w:r w:rsidR="00943619">
        <w:rPr>
          <w:sz w:val="24"/>
          <w:szCs w:val="24"/>
        </w:rPr>
        <w:t>effectivement</w:t>
      </w:r>
      <w:r>
        <w:rPr>
          <w:sz w:val="24"/>
          <w:szCs w:val="24"/>
        </w:rPr>
        <w:t xml:space="preserve"> à deux ganglions intra </w:t>
      </w:r>
      <w:r w:rsidR="00943619">
        <w:rPr>
          <w:sz w:val="24"/>
          <w:szCs w:val="24"/>
        </w:rPr>
        <w:t>mammaires</w:t>
      </w:r>
      <w:r>
        <w:rPr>
          <w:sz w:val="24"/>
          <w:szCs w:val="24"/>
        </w:rPr>
        <w:t xml:space="preserve"> </w:t>
      </w:r>
      <w:r w:rsidR="00803C6A">
        <w:rPr>
          <w:sz w:val="24"/>
          <w:szCs w:val="24"/>
        </w:rPr>
        <w:t>mesurés</w:t>
      </w:r>
      <w:r>
        <w:rPr>
          <w:sz w:val="24"/>
          <w:szCs w:val="24"/>
        </w:rPr>
        <w:t xml:space="preserve"> à </w:t>
      </w:r>
      <w:r w:rsidR="00803C6A">
        <w:rPr>
          <w:sz w:val="24"/>
          <w:szCs w:val="24"/>
        </w:rPr>
        <w:t>07mm et 05mm.</w:t>
      </w:r>
    </w:p>
    <w:p w:rsidR="002E3E65" w:rsidRDefault="002E3E65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Absence par ailleurs de lésion nodulaire solide ou </w:t>
      </w:r>
      <w:r w:rsidR="00943619">
        <w:rPr>
          <w:sz w:val="24"/>
          <w:szCs w:val="24"/>
        </w:rPr>
        <w:t>kystique</w:t>
      </w:r>
      <w:r>
        <w:rPr>
          <w:sz w:val="24"/>
          <w:szCs w:val="24"/>
        </w:rPr>
        <w:t xml:space="preserve"> à </w:t>
      </w:r>
      <w:r w:rsidR="00943619">
        <w:rPr>
          <w:sz w:val="24"/>
          <w:szCs w:val="24"/>
        </w:rPr>
        <w:t>caractère</w:t>
      </w:r>
      <w:r>
        <w:rPr>
          <w:sz w:val="24"/>
          <w:szCs w:val="24"/>
        </w:rPr>
        <w:t xml:space="preserve"> péjoratif au niveau du sein gauche.</w:t>
      </w:r>
    </w:p>
    <w:p w:rsidR="002E3E65" w:rsidRDefault="002E3E65" w:rsidP="002E3E6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2E3E65" w:rsidRDefault="002E3E65" w:rsidP="002E3E6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943619" w:rsidRDefault="00943619" w:rsidP="002E3E6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2E3E65" w:rsidRDefault="002E3E65" w:rsidP="00803C6A">
      <w:pPr>
        <w:rPr>
          <w:sz w:val="24"/>
          <w:szCs w:val="24"/>
        </w:rPr>
      </w:pPr>
      <w:r>
        <w:rPr>
          <w:sz w:val="24"/>
          <w:szCs w:val="24"/>
        </w:rPr>
        <w:t xml:space="preserve">L’examen des creux axillaires </w:t>
      </w:r>
      <w:r w:rsidR="00943619">
        <w:rPr>
          <w:sz w:val="24"/>
          <w:szCs w:val="24"/>
        </w:rPr>
        <w:t>objectivent à droit</w:t>
      </w:r>
      <w:r w:rsidR="00803C6A">
        <w:rPr>
          <w:sz w:val="24"/>
          <w:szCs w:val="24"/>
        </w:rPr>
        <w:t>e</w:t>
      </w:r>
      <w:r w:rsidR="00943619">
        <w:rPr>
          <w:sz w:val="24"/>
          <w:szCs w:val="24"/>
        </w:rPr>
        <w:t xml:space="preserve"> deux adénomégalies</w:t>
      </w:r>
      <w:r>
        <w:rPr>
          <w:sz w:val="24"/>
          <w:szCs w:val="24"/>
        </w:rPr>
        <w:t xml:space="preserve"> à cortex épaissi </w:t>
      </w:r>
      <w:r w:rsidR="00943619">
        <w:rPr>
          <w:sz w:val="24"/>
          <w:szCs w:val="24"/>
        </w:rPr>
        <w:t>mesurés</w:t>
      </w:r>
      <w:r>
        <w:rPr>
          <w:sz w:val="24"/>
          <w:szCs w:val="24"/>
        </w:rPr>
        <w:t xml:space="preserve"> </w:t>
      </w:r>
      <w:r w:rsidR="00803C6A">
        <w:rPr>
          <w:sz w:val="24"/>
          <w:szCs w:val="24"/>
        </w:rPr>
        <w:t>à 13mm et 05mm</w:t>
      </w:r>
    </w:p>
    <w:p w:rsidR="002E3E65" w:rsidRDefault="002E3E65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803C6A" w:rsidRDefault="00183ACC" w:rsidP="002E3E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2E3E65">
        <w:rPr>
          <w:b/>
          <w:i/>
          <w:sz w:val="24"/>
          <w:szCs w:val="24"/>
        </w:rPr>
        <w:t xml:space="preserve">en rapport avec une lésion </w:t>
      </w:r>
      <w:r w:rsidR="00943619">
        <w:rPr>
          <w:b/>
          <w:i/>
          <w:sz w:val="24"/>
          <w:szCs w:val="24"/>
        </w:rPr>
        <w:t>tumorale complexe</w:t>
      </w:r>
      <w:r w:rsidR="00803C6A">
        <w:rPr>
          <w:b/>
          <w:i/>
          <w:sz w:val="24"/>
          <w:szCs w:val="24"/>
        </w:rPr>
        <w:t xml:space="preserve"> solido-</w:t>
      </w:r>
      <w:r w:rsidR="002E3E65">
        <w:rPr>
          <w:b/>
          <w:i/>
          <w:sz w:val="24"/>
          <w:szCs w:val="24"/>
        </w:rPr>
        <w:t xml:space="preserve">kystique para-aréolaire </w:t>
      </w:r>
      <w:r w:rsidR="00943619">
        <w:rPr>
          <w:b/>
          <w:i/>
          <w:sz w:val="24"/>
          <w:szCs w:val="24"/>
        </w:rPr>
        <w:t>externe</w:t>
      </w:r>
      <w:r w:rsidR="002E3E65">
        <w:rPr>
          <w:b/>
          <w:i/>
          <w:sz w:val="24"/>
          <w:szCs w:val="24"/>
        </w:rPr>
        <w:t xml:space="preserve"> s’</w:t>
      </w:r>
      <w:r w:rsidR="00943619">
        <w:rPr>
          <w:b/>
          <w:i/>
          <w:sz w:val="24"/>
          <w:szCs w:val="24"/>
        </w:rPr>
        <w:t>étendant</w:t>
      </w:r>
      <w:r w:rsidR="002E3E65">
        <w:rPr>
          <w:b/>
          <w:i/>
          <w:sz w:val="24"/>
          <w:szCs w:val="24"/>
        </w:rPr>
        <w:t xml:space="preserve"> en rétro-aréolaire </w:t>
      </w:r>
      <w:r w:rsidR="00803C6A">
        <w:rPr>
          <w:b/>
          <w:i/>
          <w:sz w:val="24"/>
          <w:szCs w:val="24"/>
        </w:rPr>
        <w:t xml:space="preserve">droit </w:t>
      </w:r>
      <w:r w:rsidR="002E3E65">
        <w:rPr>
          <w:b/>
          <w:i/>
          <w:sz w:val="24"/>
          <w:szCs w:val="24"/>
        </w:rPr>
        <w:t xml:space="preserve">nécessitant une </w:t>
      </w:r>
      <w:r w:rsidR="00943619">
        <w:rPr>
          <w:b/>
          <w:i/>
          <w:sz w:val="24"/>
          <w:szCs w:val="24"/>
        </w:rPr>
        <w:t>vérification</w:t>
      </w:r>
      <w:r w:rsidR="002E3E65">
        <w:rPr>
          <w:b/>
          <w:i/>
          <w:sz w:val="24"/>
          <w:szCs w:val="24"/>
        </w:rPr>
        <w:t xml:space="preserve"> </w:t>
      </w:r>
      <w:r w:rsidR="00943619">
        <w:rPr>
          <w:b/>
          <w:i/>
          <w:sz w:val="24"/>
          <w:szCs w:val="24"/>
        </w:rPr>
        <w:t xml:space="preserve">histologique </w:t>
      </w:r>
      <w:r w:rsidR="00803C6A">
        <w:rPr>
          <w:b/>
          <w:i/>
          <w:sz w:val="24"/>
          <w:szCs w:val="24"/>
        </w:rPr>
        <w:t>(</w:t>
      </w:r>
      <w:r w:rsidR="002E3E65">
        <w:rPr>
          <w:b/>
          <w:i/>
          <w:sz w:val="24"/>
          <w:szCs w:val="24"/>
        </w:rPr>
        <w:t xml:space="preserve">microbiopsie </w:t>
      </w:r>
      <w:r w:rsidR="00943619">
        <w:rPr>
          <w:b/>
          <w:i/>
          <w:sz w:val="24"/>
          <w:szCs w:val="24"/>
        </w:rPr>
        <w:t>échoguidée</w:t>
      </w:r>
      <w:r w:rsidR="00803C6A">
        <w:rPr>
          <w:b/>
          <w:i/>
          <w:sz w:val="24"/>
          <w:szCs w:val="24"/>
        </w:rPr>
        <w:t>).</w:t>
      </w:r>
    </w:p>
    <w:p w:rsidR="002E3E65" w:rsidRDefault="00803C6A" w:rsidP="00803C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Adénomégalies</w:t>
      </w:r>
      <w:r w:rsidR="002E3E65">
        <w:rPr>
          <w:b/>
          <w:i/>
          <w:sz w:val="24"/>
          <w:szCs w:val="24"/>
        </w:rPr>
        <w:t xml:space="preserve"> </w:t>
      </w:r>
      <w:r w:rsidR="00943619">
        <w:rPr>
          <w:b/>
          <w:i/>
          <w:sz w:val="24"/>
          <w:szCs w:val="24"/>
        </w:rPr>
        <w:t>axillaires</w:t>
      </w:r>
      <w:r w:rsidR="002E3E65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homolatérales</w:t>
      </w:r>
      <w:r w:rsidR="002E3E65">
        <w:rPr>
          <w:b/>
          <w:i/>
          <w:sz w:val="24"/>
          <w:szCs w:val="24"/>
        </w:rPr>
        <w:t xml:space="preserve"> à cortex épaissi </w:t>
      </w:r>
      <w:r>
        <w:rPr>
          <w:b/>
          <w:i/>
          <w:sz w:val="24"/>
          <w:szCs w:val="24"/>
        </w:rPr>
        <w:t xml:space="preserve">nécessitant </w:t>
      </w:r>
      <w:r w:rsidR="002E3E65">
        <w:rPr>
          <w:b/>
          <w:i/>
          <w:sz w:val="24"/>
          <w:szCs w:val="24"/>
        </w:rPr>
        <w:t xml:space="preserve">une vérification </w:t>
      </w:r>
      <w:r w:rsidR="00943619">
        <w:rPr>
          <w:b/>
          <w:i/>
          <w:sz w:val="24"/>
          <w:szCs w:val="24"/>
        </w:rPr>
        <w:t>cytologique</w:t>
      </w:r>
      <w:r w:rsidR="002E3E65">
        <w:rPr>
          <w:b/>
          <w:i/>
          <w:sz w:val="24"/>
          <w:szCs w:val="24"/>
        </w:rPr>
        <w:t>.</w:t>
      </w:r>
    </w:p>
    <w:p w:rsidR="002E3E65" w:rsidRDefault="002E3E65" w:rsidP="002E3E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4c de l'ACR  à droite et BI-RADS 2 de l'ACR à gauche.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C54" w:rsidRDefault="00477C54" w:rsidP="00FF41A6">
      <w:r>
        <w:separator/>
      </w:r>
    </w:p>
  </w:endnote>
  <w:endnote w:type="continuationSeparator" w:id="0">
    <w:p w:rsidR="00477C54" w:rsidRDefault="00477C5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619" w:rsidRDefault="00943619" w:rsidP="00F515B5">
    <w:pPr>
      <w:jc w:val="center"/>
      <w:rPr>
        <w:rFonts w:eastAsia="Calibri"/>
        <w:i/>
        <w:iCs/>
        <w:sz w:val="18"/>
        <w:szCs w:val="18"/>
      </w:rPr>
    </w:pPr>
  </w:p>
  <w:p w:rsidR="00943619" w:rsidRDefault="00943619" w:rsidP="00F515B5">
    <w:pPr>
      <w:tabs>
        <w:tab w:val="center" w:pos="4536"/>
        <w:tab w:val="right" w:pos="9072"/>
      </w:tabs>
      <w:jc w:val="center"/>
    </w:pPr>
  </w:p>
  <w:p w:rsidR="00943619" w:rsidRPr="00F515B5" w:rsidRDefault="0094361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C54" w:rsidRDefault="00477C54" w:rsidP="00FF41A6">
      <w:r>
        <w:separator/>
      </w:r>
    </w:p>
  </w:footnote>
  <w:footnote w:type="continuationSeparator" w:id="0">
    <w:p w:rsidR="00477C54" w:rsidRDefault="00477C5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619" w:rsidRDefault="0094361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43619" w:rsidRPr="00426781" w:rsidRDefault="00943619" w:rsidP="00FF41A6">
    <w:pPr>
      <w:pStyle w:val="NoSpacing"/>
      <w:jc w:val="center"/>
      <w:rPr>
        <w:rFonts w:ascii="Tw Cen MT" w:hAnsi="Tw Cen MT"/>
      </w:rPr>
    </w:pPr>
  </w:p>
  <w:p w:rsidR="00943619" w:rsidRDefault="00943619" w:rsidP="00FF41A6">
    <w:pPr>
      <w:pStyle w:val="NoSpacing"/>
      <w:jc w:val="center"/>
      <w:rPr>
        <w:rFonts w:ascii="Tw Cen MT" w:hAnsi="Tw Cen MT"/>
      </w:rPr>
    </w:pPr>
  </w:p>
  <w:p w:rsidR="00943619" w:rsidRPr="00D104DB" w:rsidRDefault="00943619" w:rsidP="00FF41A6">
    <w:pPr>
      <w:pStyle w:val="NoSpacing"/>
      <w:jc w:val="center"/>
      <w:rPr>
        <w:sz w:val="16"/>
        <w:szCs w:val="16"/>
      </w:rPr>
    </w:pPr>
  </w:p>
  <w:p w:rsidR="00943619" w:rsidRDefault="0094361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2E3E65"/>
    <w:rsid w:val="00320AF6"/>
    <w:rsid w:val="0038353D"/>
    <w:rsid w:val="00397A26"/>
    <w:rsid w:val="004038CE"/>
    <w:rsid w:val="00412A97"/>
    <w:rsid w:val="00413297"/>
    <w:rsid w:val="00425DD9"/>
    <w:rsid w:val="00477C54"/>
    <w:rsid w:val="00483B47"/>
    <w:rsid w:val="00487E9D"/>
    <w:rsid w:val="004E0DFB"/>
    <w:rsid w:val="004E1488"/>
    <w:rsid w:val="005018C7"/>
    <w:rsid w:val="005051C4"/>
    <w:rsid w:val="0055089C"/>
    <w:rsid w:val="0067541B"/>
    <w:rsid w:val="006925A3"/>
    <w:rsid w:val="006A5983"/>
    <w:rsid w:val="006E396B"/>
    <w:rsid w:val="007273A5"/>
    <w:rsid w:val="007571A5"/>
    <w:rsid w:val="007F2AFE"/>
    <w:rsid w:val="00803C6A"/>
    <w:rsid w:val="008536C3"/>
    <w:rsid w:val="008B1520"/>
    <w:rsid w:val="008D395B"/>
    <w:rsid w:val="00915587"/>
    <w:rsid w:val="00943619"/>
    <w:rsid w:val="00991837"/>
    <w:rsid w:val="009E7DF1"/>
    <w:rsid w:val="00A11F2B"/>
    <w:rsid w:val="00A44EC5"/>
    <w:rsid w:val="00A76F00"/>
    <w:rsid w:val="00AB3DCA"/>
    <w:rsid w:val="00AF6EEF"/>
    <w:rsid w:val="00B00E2E"/>
    <w:rsid w:val="00B511D7"/>
    <w:rsid w:val="00B52A34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525187-60BB-4325-A479-60A539BF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03C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2031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2023-07-18T13:10:00Z</cp:lastPrinted>
  <dcterms:created xsi:type="dcterms:W3CDTF">2023-09-18T22:07:00Z</dcterms:created>
  <dcterms:modified xsi:type="dcterms:W3CDTF">2023-09-18T22:07:00Z</dcterms:modified>
</cp:coreProperties>
</file>