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1E125C" w:rsidRDefault="001E125C">
      <w:pPr>
        <w:jc w:val="right"/>
        <w:rPr>
          <w:b/>
          <w:i/>
          <w:iCs/>
          <w:color w:val="000000"/>
          <w:sz w:val="24"/>
        </w:rPr>
      </w:pPr>
    </w:p>
    <w:p w:rsidR="00EB2A23" w:rsidRDefault="003E275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B0D1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pat-1194 42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316D5" w:rsidRDefault="00BC18CE" w:rsidP="007316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316D5">
        <w:rPr>
          <w:b/>
          <w:i/>
          <w:iCs/>
          <w:color w:val="000000"/>
          <w:sz w:val="24"/>
        </w:rPr>
        <w:t xml:space="preserve"> </w:t>
      </w:r>
      <w:r w:rsidR="003E2751" w:rsidRPr="007316D5">
        <w:rPr>
          <w:b/>
          <w:i/>
          <w:iCs/>
          <w:color w:val="000000"/>
          <w:sz w:val="24"/>
        </w:rPr>
        <w:t>MAMMOGRAPHIE</w:t>
      </w:r>
      <w:r w:rsidR="007316D5" w:rsidRPr="007316D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908A6" w:rsidRDefault="00EB2A23">
      <w:pPr>
        <w:rPr>
          <w:b/>
          <w:color w:val="000000"/>
          <w:sz w:val="24"/>
          <w:szCs w:val="24"/>
        </w:rPr>
      </w:pPr>
      <w:r w:rsidRPr="003908A6">
        <w:rPr>
          <w:b/>
          <w:iCs/>
          <w:color w:val="000000"/>
          <w:sz w:val="24"/>
          <w:szCs w:val="24"/>
          <w:u w:val="single"/>
        </w:rPr>
        <w:t>RESULTATS</w:t>
      </w:r>
      <w:r w:rsidRPr="003908A6">
        <w:rPr>
          <w:b/>
          <w:i/>
          <w:color w:val="000000"/>
          <w:sz w:val="24"/>
          <w:szCs w:val="24"/>
        </w:rPr>
        <w:t>:</w:t>
      </w:r>
      <w:r w:rsidRPr="003908A6">
        <w:rPr>
          <w:b/>
          <w:color w:val="000000"/>
          <w:sz w:val="24"/>
          <w:szCs w:val="24"/>
        </w:rPr>
        <w:t xml:space="preserve"> </w:t>
      </w:r>
    </w:p>
    <w:p w:rsidR="00EE4ACF" w:rsidRPr="003908A6" w:rsidRDefault="00EE4ACF">
      <w:pPr>
        <w:rPr>
          <w:b/>
          <w:color w:val="000000"/>
          <w:sz w:val="24"/>
          <w:szCs w:val="24"/>
        </w:rPr>
      </w:pPr>
    </w:p>
    <w:p w:rsidR="00A90B0A" w:rsidRPr="003908A6" w:rsidRDefault="00B00E2E" w:rsidP="007316D5">
      <w:pPr>
        <w:ind w:firstLine="708"/>
        <w:rPr>
          <w:b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908A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316D5" w:rsidRPr="003908A6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3908A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908A6" w:rsidRDefault="00A90B0A" w:rsidP="001E125C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3908A6" w:rsidRDefault="00A90B0A" w:rsidP="001E125C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Absence de masse suspecte.</w:t>
      </w:r>
    </w:p>
    <w:p w:rsidR="00A90B0A" w:rsidRPr="003908A6" w:rsidRDefault="00A90B0A" w:rsidP="001E125C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</w:p>
    <w:p w:rsidR="00A90B0A" w:rsidRPr="003908A6" w:rsidRDefault="00A90B0A" w:rsidP="007316D5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3908A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316D5" w:rsidRPr="003908A6">
        <w:rPr>
          <w:b/>
          <w:bCs/>
          <w:i/>
          <w:color w:val="000000"/>
          <w:sz w:val="24"/>
          <w:szCs w:val="24"/>
          <w:u w:val="single"/>
        </w:rPr>
        <w:t> :</w:t>
      </w:r>
      <w:r w:rsidRPr="003908A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908A6" w:rsidRDefault="00A90B0A" w:rsidP="001E125C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Absence d’ombre acoustique pathologique.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Système canalaire non dilaté.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  <w:r w:rsidRPr="003908A6">
        <w:rPr>
          <w:bCs/>
          <w:color w:val="000000"/>
          <w:sz w:val="24"/>
          <w:szCs w:val="24"/>
        </w:rPr>
        <w:t>Absence d’adénopathies axillaires.</w:t>
      </w:r>
    </w:p>
    <w:p w:rsidR="00A90B0A" w:rsidRPr="003908A6" w:rsidRDefault="00A90B0A" w:rsidP="00A90B0A">
      <w:pPr>
        <w:rPr>
          <w:bCs/>
          <w:color w:val="000000"/>
          <w:sz w:val="24"/>
          <w:szCs w:val="24"/>
        </w:rPr>
      </w:pPr>
    </w:p>
    <w:p w:rsidR="00A90B0A" w:rsidRPr="003908A6" w:rsidRDefault="003908A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908A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908A6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3908A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3908A6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3908A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3908A6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3908A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3908A6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3908A6" w:rsidRDefault="00BC18CE">
      <w:pPr>
        <w:tabs>
          <w:tab w:val="left" w:pos="3686"/>
        </w:tabs>
        <w:rPr>
          <w:sz w:val="24"/>
          <w:szCs w:val="24"/>
        </w:rPr>
      </w:pPr>
      <w:r w:rsidRPr="003908A6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3908A6" w:rsidRPr="003908A6" w:rsidRDefault="003908A6">
      <w:pPr>
        <w:tabs>
          <w:tab w:val="left" w:pos="3686"/>
        </w:tabs>
        <w:rPr>
          <w:sz w:val="24"/>
          <w:szCs w:val="24"/>
        </w:rPr>
      </w:pPr>
    </w:p>
    <w:p w:rsidR="00EB2A23" w:rsidRPr="003908A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E125C" w:rsidRDefault="001E125C">
      <w:pPr>
        <w:pStyle w:val="Heading3"/>
        <w:rPr>
          <w:i/>
          <w:iCs/>
          <w:szCs w:val="24"/>
        </w:rPr>
      </w:pPr>
    </w:p>
    <w:p w:rsidR="00EB2A23" w:rsidRPr="003908A6" w:rsidRDefault="00EB2A23">
      <w:pPr>
        <w:rPr>
          <w:b/>
          <w:color w:val="000000"/>
          <w:sz w:val="24"/>
          <w:szCs w:val="24"/>
        </w:rPr>
      </w:pPr>
    </w:p>
    <w:p w:rsidR="00EB2A23" w:rsidRPr="003908A6" w:rsidRDefault="00EB2A23">
      <w:pPr>
        <w:rPr>
          <w:sz w:val="24"/>
          <w:szCs w:val="24"/>
        </w:rPr>
      </w:pPr>
    </w:p>
    <w:p w:rsidR="00EB2A23" w:rsidRPr="003908A6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E61" w:rsidRDefault="007A1E61" w:rsidP="00FF41A6">
      <w:r>
        <w:separator/>
      </w:r>
    </w:p>
  </w:endnote>
  <w:endnote w:type="continuationSeparator" w:id="0">
    <w:p w:rsidR="007A1E61" w:rsidRDefault="007A1E6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E61" w:rsidRDefault="007A1E61" w:rsidP="00FF41A6">
      <w:r>
        <w:separator/>
      </w:r>
    </w:p>
  </w:footnote>
  <w:footnote w:type="continuationSeparator" w:id="0">
    <w:p w:rsidR="007A1E61" w:rsidRDefault="007A1E6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E125C"/>
    <w:rsid w:val="00266C96"/>
    <w:rsid w:val="00291FF6"/>
    <w:rsid w:val="002B58CC"/>
    <w:rsid w:val="00320AF6"/>
    <w:rsid w:val="0038353D"/>
    <w:rsid w:val="003908A6"/>
    <w:rsid w:val="00397A26"/>
    <w:rsid w:val="003E2751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316D5"/>
    <w:rsid w:val="007571A5"/>
    <w:rsid w:val="007A1E61"/>
    <w:rsid w:val="007B0D19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04BE5"/>
    <w:rsid w:val="00B511D7"/>
    <w:rsid w:val="00B625CF"/>
    <w:rsid w:val="00B754DC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298F32-AD02-48FA-93D1-720B093E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